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adjustRightInd/>
        <w:snapToGrid/>
        <w:spacing w:line="800" w:lineRule="exact"/>
        <w:ind w:firstLine="0"/>
        <w:jc w:val="center"/>
        <w:textAlignment w:val="auto"/>
        <w:rPr>
          <w:rFonts w:hint="eastAsia" w:ascii="方正小标宋简体" w:eastAsia="方正小标宋简体"/>
          <w:b w:val="0"/>
          <w:bCs w:val="0"/>
          <w:color w:val="0D0D0D"/>
          <w:kern w:val="0"/>
          <w:sz w:val="44"/>
          <w:szCs w:val="44"/>
          <w:lang w:val="en-US" w:eastAsia="zh-CN" w:bidi="ar-SA"/>
        </w:rPr>
      </w:pPr>
      <w:r>
        <w:rPr>
          <w:rFonts w:hint="eastAsia" w:ascii="方正小标宋简体" w:eastAsia="方正小标宋简体"/>
          <w:b w:val="0"/>
          <w:bCs w:val="0"/>
          <w:color w:val="0D0D0D"/>
          <w:kern w:val="0"/>
          <w:sz w:val="44"/>
          <w:szCs w:val="44"/>
          <w:lang w:val="en-US" w:eastAsia="zh-CN" w:bidi="ar-SA"/>
        </w:rPr>
        <w:t>北京市应急管理部门行政裁量权基准</w:t>
      </w:r>
    </w:p>
    <w:p>
      <w:pPr>
        <w:pStyle w:val="10"/>
        <w:keepNext w:val="0"/>
        <w:keepLines w:val="0"/>
        <w:pageBreakBefore w:val="0"/>
        <w:widowControl w:val="0"/>
        <w:kinsoku/>
        <w:wordWrap/>
        <w:overflowPunct/>
        <w:topLinePunct w:val="0"/>
        <w:autoSpaceDE/>
        <w:autoSpaceDN/>
        <w:bidi w:val="0"/>
        <w:adjustRightInd/>
        <w:snapToGrid/>
        <w:spacing w:line="800" w:lineRule="exact"/>
        <w:ind w:firstLine="0"/>
        <w:jc w:val="center"/>
        <w:textAlignment w:val="auto"/>
        <w:rPr>
          <w:rFonts w:hint="eastAsia" w:ascii="方正小标宋简体" w:eastAsia="方正小标宋简体"/>
          <w:b w:val="0"/>
          <w:bCs w:val="0"/>
          <w:color w:val="0D0D0D"/>
          <w:kern w:val="0"/>
          <w:sz w:val="44"/>
          <w:szCs w:val="44"/>
          <w:lang w:val="en-US" w:eastAsia="zh-CN" w:bidi="ar-SA"/>
        </w:rPr>
      </w:pPr>
      <w:r>
        <w:rPr>
          <w:rFonts w:hint="eastAsia" w:ascii="方正小标宋简体" w:eastAsia="方正小标宋简体"/>
          <w:b w:val="0"/>
          <w:bCs w:val="0"/>
          <w:color w:val="0D0D0D"/>
          <w:kern w:val="0"/>
          <w:sz w:val="44"/>
          <w:szCs w:val="44"/>
          <w:lang w:val="en-US" w:eastAsia="zh-CN" w:bidi="ar-SA"/>
        </w:rPr>
        <w:t>（征求意见稿）编制说明</w:t>
      </w:r>
    </w:p>
    <w:p>
      <w:pPr>
        <w:pStyle w:val="10"/>
        <w:keepNext w:val="0"/>
        <w:keepLines w:val="0"/>
        <w:pageBreakBefore w:val="0"/>
        <w:widowControl w:val="0"/>
        <w:tabs>
          <w:tab w:val="left" w:pos="1501"/>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eastAsia="zh-CN"/>
        </w:rPr>
      </w:pPr>
    </w:p>
    <w:p>
      <w:pPr>
        <w:pStyle w:val="10"/>
        <w:keepNext w:val="0"/>
        <w:keepLines w:val="0"/>
        <w:pageBreakBefore w:val="0"/>
        <w:widowControl w:val="0"/>
        <w:tabs>
          <w:tab w:val="left" w:pos="1501"/>
        </w:tabs>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000000"/>
          <w:sz w:val="32"/>
          <w:szCs w:val="32"/>
          <w:lang w:eastAsia="zh-CN"/>
        </w:rPr>
      </w:pPr>
      <w:r>
        <w:rPr>
          <w:rFonts w:hint="eastAsia" w:ascii="黑体" w:hAnsi="黑体" w:eastAsia="黑体" w:cs="黑体"/>
          <w:color w:val="000000"/>
          <w:sz w:val="32"/>
          <w:szCs w:val="32"/>
          <w:lang w:eastAsia="zh-CN"/>
        </w:rPr>
        <w:t>一、编制背景</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为健全完善北京市应急管理部门行政裁量权基准制度，规范行使北京市应急管理行政裁量权，提高依法行政能力和水平，根据《国务院办公厅关于进一步规范行政裁量权基准制定和管理工作的意见》（国办发〔2022〕27号）和市推进依法行政工作领导小组办公室《关于进一步规范行政裁量权基准制定和管理工作的实施意见》（京依法行政办发〔2023〕4号）的要求，结合本市应急管理工作实际，编制了《北京市应急管理部门行政裁量权基准》（以下简称《基准》）。</w:t>
      </w:r>
    </w:p>
    <w:p>
      <w:pPr>
        <w:pStyle w:val="10"/>
        <w:keepNext w:val="0"/>
        <w:keepLines w:val="0"/>
        <w:pageBreakBefore w:val="0"/>
        <w:widowControl w:val="0"/>
        <w:tabs>
          <w:tab w:val="left" w:pos="1501"/>
        </w:tabs>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000000"/>
          <w:sz w:val="32"/>
          <w:szCs w:val="32"/>
          <w:lang w:eastAsia="zh-CN"/>
        </w:rPr>
      </w:pPr>
      <w:r>
        <w:rPr>
          <w:rFonts w:hint="eastAsia" w:ascii="黑体" w:hAnsi="黑体" w:eastAsia="黑体" w:cs="黑体"/>
          <w:color w:val="000000"/>
          <w:sz w:val="32"/>
          <w:szCs w:val="32"/>
          <w:lang w:val="en-US" w:eastAsia="zh-CN"/>
        </w:rPr>
        <w:t>二、</w:t>
      </w:r>
      <w:r>
        <w:rPr>
          <w:rFonts w:hint="eastAsia" w:ascii="黑体" w:hAnsi="黑体" w:eastAsia="黑体" w:cs="黑体"/>
          <w:color w:val="000000"/>
          <w:sz w:val="32"/>
          <w:szCs w:val="32"/>
          <w:lang w:eastAsia="zh-CN"/>
        </w:rPr>
        <w:t>编制依据</w:t>
      </w:r>
    </w:p>
    <w:p>
      <w:pPr>
        <w:pStyle w:val="10"/>
        <w:keepNext w:val="0"/>
        <w:keepLines w:val="0"/>
        <w:pageBreakBefore w:val="0"/>
        <w:widowControl w:val="0"/>
        <w:tabs>
          <w:tab w:val="left" w:pos="1501"/>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本《基准》依据《中华人民共和国安全生产法》</w:t>
      </w:r>
      <w:r>
        <w:rPr>
          <w:rFonts w:hint="eastAsia" w:ascii="仿宋_GB2312" w:hAnsi="仿宋_GB2312" w:eastAsia="仿宋_GB2312" w:cs="仿宋_GB2312"/>
          <w:sz w:val="32"/>
          <w:szCs w:val="32"/>
        </w:rPr>
        <w:t>《中华人民共和国矿山安全法》《安全生产许可证条例》《危险化学品安全管理条例》《生产安全事故报告和调查处理条例》、《易制毒化学品管理条例》《烟花爆竹安全管理条例》《危险化学品经营许可证管理办法》《危险化学品生产企业安全生产许可证实施办法》《危险化学品建设项目安全监督管理办法》《非药品类易制毒化学品生产、经营许可办法》《工贸企业粉尘防爆安全规定》《特种作业人员安全技术培训考核管理规定》《安全评价检测检验机构管理办法》《注册安全工程师管理规定》《安全生产培训管理办法》《非煤矿矿山企业安全生产许可证实施办法》《北京市安全生产条例》《北京市生产安全事故报告和调查处理办法》《北京市生产安全事故隐患排查治理办法》《北京市生产经营单位安全生产主体责任规定》等有关法律、法规、规章，以及</w:t>
      </w:r>
      <w:r>
        <w:rPr>
          <w:rFonts w:hint="eastAsia" w:ascii="仿宋_GB2312" w:hAnsi="仿宋_GB2312" w:eastAsia="仿宋_GB2312" w:cs="仿宋_GB2312"/>
          <w:color w:val="000000"/>
          <w:sz w:val="32"/>
          <w:szCs w:val="32"/>
          <w:lang w:eastAsia="zh-CN"/>
        </w:rPr>
        <w:t>《中华人民共和国行政处罚法》《中华人民共和国行政强制法》规定进行编制。</w:t>
      </w:r>
    </w:p>
    <w:p>
      <w:pPr>
        <w:pStyle w:val="10"/>
        <w:keepNext w:val="0"/>
        <w:keepLines w:val="0"/>
        <w:pageBreakBefore w:val="0"/>
        <w:widowControl w:val="0"/>
        <w:tabs>
          <w:tab w:val="left" w:pos="1501"/>
        </w:tabs>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000000"/>
          <w:sz w:val="32"/>
          <w:szCs w:val="32"/>
          <w:lang w:eastAsia="zh-CN"/>
        </w:rPr>
      </w:pP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lang w:eastAsia="zh-CN"/>
        </w:rPr>
        <w:t>主要内容</w:t>
      </w:r>
    </w:p>
    <w:p>
      <w:pPr>
        <w:pStyle w:val="10"/>
        <w:keepNext w:val="0"/>
        <w:keepLines w:val="0"/>
        <w:pageBreakBefore w:val="0"/>
        <w:widowControl w:val="0"/>
        <w:tabs>
          <w:tab w:val="left" w:pos="1501"/>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本《基准》包含行政处罚裁量权基准、行政许可裁量权基准、行政检查裁量权基准、行政强制裁量权基准、行政征收征用裁量权基准、行政给付裁量权基准、行政奖励裁量权基准以及其他职权裁量权基准。其中行政处罚裁量权基准仍</w:t>
      </w:r>
      <w:r>
        <w:rPr>
          <w:rFonts w:hint="eastAsia" w:ascii="仿宋_GB2312" w:hAnsi="仿宋_GB2312" w:eastAsia="仿宋_GB2312" w:cs="仿宋_GB2312"/>
          <w:color w:val="000000"/>
          <w:sz w:val="32"/>
          <w:szCs w:val="32"/>
        </w:rPr>
        <w:t>按现行《北京市安全生产行政处罚自由裁量基准（202</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年修订版）》《北京市应急管理轻微违法行为依法不予行政处罚事项清单》执行</w:t>
      </w:r>
      <w:r>
        <w:rPr>
          <w:rFonts w:hint="eastAsia" w:ascii="仿宋_GB2312" w:hAnsi="仿宋_GB2312" w:eastAsia="仿宋_GB2312" w:cs="仿宋_GB2312"/>
          <w:color w:val="000000"/>
          <w:sz w:val="32"/>
          <w:szCs w:val="32"/>
          <w:lang w:eastAsia="zh-CN"/>
        </w:rPr>
        <w:t>，行政检查裁量权基准遵照现行北京市应急管理局行政规范化检查单执行，行政许可裁量权基准、行政强制裁量权基准、行政征收征用裁量权基准、行政给付裁量权基准、行政奖励裁量权基准以及其他职权裁量权基准为新编制裁量权基准。</w:t>
      </w:r>
    </w:p>
    <w:p>
      <w:pPr>
        <w:pStyle w:val="10"/>
        <w:keepNext w:val="0"/>
        <w:keepLines w:val="0"/>
        <w:pageBreakBefore w:val="0"/>
        <w:widowControl w:val="0"/>
        <w:tabs>
          <w:tab w:val="left" w:pos="1501"/>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新编制的各</w:t>
      </w:r>
      <w:bookmarkStart w:id="0" w:name="_GoBack"/>
      <w:bookmarkEnd w:id="0"/>
      <w:r>
        <w:rPr>
          <w:rFonts w:hint="eastAsia" w:ascii="仿宋_GB2312" w:hAnsi="仿宋_GB2312" w:eastAsia="仿宋_GB2312" w:cs="仿宋_GB2312"/>
          <w:color w:val="000000"/>
          <w:sz w:val="32"/>
          <w:szCs w:val="32"/>
          <w:lang w:eastAsia="zh-CN"/>
        </w:rPr>
        <w:t>裁量权基准均载明了具体职权事项和其设定依据，同时结合不同职权的具体实施情况，分别细化明确了其具体实施条件、流程、时限等内容。其中行政许可裁量权基准细化明确了行政许可条件、申请材料、中介服务、审批程序、审批时限、收费、许可证件、数量限制、年检年报、不予受理、变更、撤回、撤销、注销等内容；行政强制裁量权基准细化明确了实施行政强制的种类、实施条件、实施程序、办理时限、采取行政措施后的处置事项、行政强制解除等内容；行政征收征用裁量权基准细化明确了征收征用条件、征收征用财产和物品的范围、征收征用的期限、征收征用的补偿标准、征收征用的程序等内容；行政给付裁量权基准细化明确了行政给付的条件、办理程序、所需资料、办理时限等内容；行政奖励裁量权基准细化明确了奖励条件、奖励标准、申请方式、领取方式等内容；其他职权裁量权基准细化明确了其他各职权的实施程序。</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jc w:val="right"/>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jc w:val="right"/>
                    </w:pPr>
                    <w:r>
                      <w:fldChar w:fldCharType="begin"/>
                    </w:r>
                    <w:r>
                      <w:instrText xml:space="preserve">PAGE   \* MERGEFORMAT</w:instrText>
                    </w:r>
                    <w:r>
                      <w:fldChar w:fldCharType="separate"/>
                    </w:r>
                    <w:r>
                      <w:rPr>
                        <w:lang w:val="zh-CN"/>
                      </w:rPr>
                      <w:t>2</w:t>
                    </w:r>
                    <w: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false"/>
  <w:bordersDoNotSurroundFooter w:val="false"/>
  <w:documentProtection w:enforcement="0"/>
  <w:defaultTabStop w:val="420"/>
  <w:hyphenationZone w:val="36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F78"/>
    <w:rsid w:val="00005115"/>
    <w:rsid w:val="000446BA"/>
    <w:rsid w:val="00050AC2"/>
    <w:rsid w:val="00053EE4"/>
    <w:rsid w:val="0005632A"/>
    <w:rsid w:val="00073F78"/>
    <w:rsid w:val="000A43C4"/>
    <w:rsid w:val="000C3DD3"/>
    <w:rsid w:val="00130ADF"/>
    <w:rsid w:val="00173440"/>
    <w:rsid w:val="001C5482"/>
    <w:rsid w:val="001F34DC"/>
    <w:rsid w:val="002377F3"/>
    <w:rsid w:val="00261B4F"/>
    <w:rsid w:val="00282C4B"/>
    <w:rsid w:val="002D70F1"/>
    <w:rsid w:val="002F79B7"/>
    <w:rsid w:val="00323DBA"/>
    <w:rsid w:val="00361A58"/>
    <w:rsid w:val="00362DA5"/>
    <w:rsid w:val="004026C1"/>
    <w:rsid w:val="00422C3C"/>
    <w:rsid w:val="00464E53"/>
    <w:rsid w:val="004702F5"/>
    <w:rsid w:val="004779C1"/>
    <w:rsid w:val="004A34BF"/>
    <w:rsid w:val="004E68B9"/>
    <w:rsid w:val="004E7111"/>
    <w:rsid w:val="0050615F"/>
    <w:rsid w:val="005652A2"/>
    <w:rsid w:val="00567F2A"/>
    <w:rsid w:val="006540C4"/>
    <w:rsid w:val="006D0F4B"/>
    <w:rsid w:val="00704C8E"/>
    <w:rsid w:val="007421BB"/>
    <w:rsid w:val="007422FE"/>
    <w:rsid w:val="00756928"/>
    <w:rsid w:val="007624C3"/>
    <w:rsid w:val="00763CD7"/>
    <w:rsid w:val="007832C5"/>
    <w:rsid w:val="007A514C"/>
    <w:rsid w:val="007A7E7E"/>
    <w:rsid w:val="007C4A41"/>
    <w:rsid w:val="007C7A7A"/>
    <w:rsid w:val="008158EF"/>
    <w:rsid w:val="00824EAB"/>
    <w:rsid w:val="00832231"/>
    <w:rsid w:val="008866E4"/>
    <w:rsid w:val="008D1C93"/>
    <w:rsid w:val="009124E9"/>
    <w:rsid w:val="00932797"/>
    <w:rsid w:val="00933A01"/>
    <w:rsid w:val="00933E50"/>
    <w:rsid w:val="009470C0"/>
    <w:rsid w:val="00962A67"/>
    <w:rsid w:val="0098616D"/>
    <w:rsid w:val="009D1F6F"/>
    <w:rsid w:val="009F01C5"/>
    <w:rsid w:val="009F104B"/>
    <w:rsid w:val="00A00C9E"/>
    <w:rsid w:val="00A04754"/>
    <w:rsid w:val="00A3084B"/>
    <w:rsid w:val="00A33A02"/>
    <w:rsid w:val="00A63E05"/>
    <w:rsid w:val="00A736C5"/>
    <w:rsid w:val="00AA346B"/>
    <w:rsid w:val="00AA4550"/>
    <w:rsid w:val="00AB52E4"/>
    <w:rsid w:val="00AC3EAD"/>
    <w:rsid w:val="00B0119F"/>
    <w:rsid w:val="00BA54BE"/>
    <w:rsid w:val="00BB401A"/>
    <w:rsid w:val="00C001C4"/>
    <w:rsid w:val="00C02610"/>
    <w:rsid w:val="00C15264"/>
    <w:rsid w:val="00C638E0"/>
    <w:rsid w:val="00C76E38"/>
    <w:rsid w:val="00C93690"/>
    <w:rsid w:val="00D2117D"/>
    <w:rsid w:val="00D5146B"/>
    <w:rsid w:val="00D56897"/>
    <w:rsid w:val="00D73C17"/>
    <w:rsid w:val="00DB2F5A"/>
    <w:rsid w:val="00DE47E3"/>
    <w:rsid w:val="00E2723E"/>
    <w:rsid w:val="00EB0234"/>
    <w:rsid w:val="00F0553C"/>
    <w:rsid w:val="00F473BC"/>
    <w:rsid w:val="00F47FF1"/>
    <w:rsid w:val="00F75CCF"/>
    <w:rsid w:val="00FC534B"/>
    <w:rsid w:val="00FF42BF"/>
    <w:rsid w:val="00FF6978"/>
    <w:rsid w:val="37FFD6B2"/>
    <w:rsid w:val="3B5BFD4B"/>
    <w:rsid w:val="3B7EC6A5"/>
    <w:rsid w:val="5BEB1D01"/>
    <w:rsid w:val="5F9E03F0"/>
    <w:rsid w:val="6B57B6E9"/>
    <w:rsid w:val="7FAD108F"/>
    <w:rsid w:val="7FFFD917"/>
    <w:rsid w:val="DDB34521"/>
    <w:rsid w:val="DF37EE3C"/>
    <w:rsid w:val="F55274A4"/>
    <w:rsid w:val="F79D9C8F"/>
    <w:rsid w:val="F8CC2496"/>
    <w:rsid w:val="FBEF3BD8"/>
    <w:rsid w:val="FF372B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szCs w:val="21"/>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8">
    <w:name w:val="页脚 Char"/>
    <w:link w:val="3"/>
    <w:semiHidden/>
    <w:qFormat/>
    <w:uiPriority w:val="99"/>
    <w:rPr>
      <w:sz w:val="18"/>
      <w:szCs w:val="18"/>
    </w:rPr>
  </w:style>
  <w:style w:type="character" w:customStyle="1" w:styleId="9">
    <w:name w:val="页眉 Char"/>
    <w:link w:val="4"/>
    <w:semiHidden/>
    <w:qFormat/>
    <w:uiPriority w:val="99"/>
    <w:rPr>
      <w:sz w:val="18"/>
      <w:szCs w:val="18"/>
    </w:rPr>
  </w:style>
  <w:style w:type="paragraph" w:customStyle="1" w:styleId="10">
    <w:name w:val="Body text|1"/>
    <w:basedOn w:val="1"/>
    <w:qFormat/>
    <w:uiPriority w:val="0"/>
    <w:pPr>
      <w:suppressAutoHyphens/>
      <w:spacing w:line="396" w:lineRule="auto"/>
      <w:ind w:firstLine="400"/>
    </w:pPr>
    <w:rPr>
      <w:rFonts w:ascii="宋体" w:hAnsi="宋体" w:cs="宋体"/>
      <w:sz w:val="30"/>
      <w:szCs w:val="30"/>
      <w:lang w:val="zh-TW" w:eastAsia="zh-TW" w:bidi="zh-TW"/>
    </w:rPr>
  </w:style>
  <w:style w:type="character" w:customStyle="1" w:styleId="11">
    <w:name w:val="纯文本 字符"/>
    <w:link w:val="2"/>
    <w:qFormat/>
    <w:uiPriority w:val="0"/>
    <w:rPr>
      <w:rFonts w:ascii="宋体" w:hAnsi="Courier New"/>
      <w:kern w:val="2"/>
      <w:sz w:val="21"/>
      <w:szCs w:val="21"/>
    </w:rPr>
  </w:style>
  <w:style w:type="character" w:customStyle="1" w:styleId="12">
    <w:name w:val="页脚 字符"/>
    <w:basedOn w:val="7"/>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198</Words>
  <Characters>1129</Characters>
  <Lines>9</Lines>
  <Paragraphs>2</Paragraphs>
  <TotalTime>5</TotalTime>
  <ScaleCrop>false</ScaleCrop>
  <LinksUpToDate>false</LinksUpToDate>
  <CharactersWithSpaces>1325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2023-08-05T00:35:00Z</dcterms:created>
  <dc:creator>侯可斌</dc:creator>
  <cp:lastModifiedBy>王洪志</cp:lastModifiedBy>
  <dcterms:modified xsi:type="dcterms:W3CDTF">2023-09-22T16:16:00Z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