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4FD4F">
      <w:pPr>
        <w:adjustRightInd w:val="0"/>
        <w:snapToGrid w:val="0"/>
        <w:rPr>
          <w:rFonts w:ascii="仿宋_GB2312" w:eastAsia="仿宋_GB2312"/>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1.北京市危险化学品生产企业生产安全事故隐患目录（2023年度）</w:t>
      </w:r>
    </w:p>
    <w:p w14:paraId="017F9138">
      <w:pPr>
        <w:adjustRightInd w:val="0"/>
        <w:snapToGrid w:val="0"/>
        <w:rPr>
          <w:rFonts w:ascii="仿宋_GB2312" w:eastAsia="仿宋_GB2312"/>
          <w:sz w:val="20"/>
          <w:szCs w:val="20"/>
        </w:rPr>
      </w:pP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58"/>
        <w:gridCol w:w="950"/>
        <w:gridCol w:w="1089"/>
        <w:gridCol w:w="5270"/>
        <w:gridCol w:w="4578"/>
        <w:gridCol w:w="530"/>
      </w:tblGrid>
      <w:tr w14:paraId="3165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vMerge w:val="restart"/>
            <w:shd w:val="clear" w:color="000000" w:fill="E7E6E6"/>
            <w:vAlign w:val="center"/>
          </w:tcPr>
          <w:p w14:paraId="30929E87">
            <w:pPr>
              <w:widowControl/>
              <w:adjustRightInd w:val="0"/>
              <w:snapToGrid w:val="0"/>
              <w:jc w:val="center"/>
              <w:rPr>
                <w:rFonts w:ascii="仿宋_GB2312" w:hAnsi="等线" w:eastAsia="仿宋_GB2312" w:cs="宋体"/>
                <w:b/>
                <w:bCs/>
                <w:color w:val="000000" w:themeColor="text1"/>
                <w:kern w:val="0"/>
                <w:sz w:val="20"/>
                <w:szCs w:val="20"/>
                <w14:textFill>
                  <w14:solidFill>
                    <w14:schemeClr w14:val="tx1"/>
                  </w14:solidFill>
                </w14:textFill>
              </w:rPr>
            </w:pPr>
            <w:r>
              <w:rPr>
                <w:rFonts w:hint="eastAsia" w:ascii="仿宋_GB2312" w:hAnsi="等线" w:eastAsia="仿宋_GB2312" w:cs="宋体"/>
                <w:b/>
                <w:bCs/>
                <w:color w:val="000000" w:themeColor="text1"/>
                <w:kern w:val="0"/>
                <w:sz w:val="20"/>
                <w:szCs w:val="20"/>
                <w14:textFill>
                  <w14:solidFill>
                    <w14:schemeClr w14:val="tx1"/>
                  </w14:solidFill>
                </w14:textFill>
              </w:rPr>
              <w:t>编号</w:t>
            </w:r>
          </w:p>
        </w:tc>
        <w:tc>
          <w:tcPr>
            <w:tcW w:w="719" w:type="pct"/>
            <w:gridSpan w:val="2"/>
            <w:shd w:val="clear" w:color="000000" w:fill="E7E6E6"/>
            <w:vAlign w:val="center"/>
          </w:tcPr>
          <w:p w14:paraId="15D77861">
            <w:pPr>
              <w:widowControl/>
              <w:adjustRightInd w:val="0"/>
              <w:snapToGrid w:val="0"/>
              <w:jc w:val="center"/>
              <w:rPr>
                <w:rFonts w:ascii="仿宋_GB2312" w:hAnsi="等线" w:eastAsia="仿宋_GB2312" w:cs="宋体"/>
                <w:b/>
                <w:bCs/>
                <w:color w:val="000000" w:themeColor="text1"/>
                <w:kern w:val="0"/>
                <w:sz w:val="20"/>
                <w:szCs w:val="20"/>
                <w14:textFill>
                  <w14:solidFill>
                    <w14:schemeClr w14:val="tx1"/>
                  </w14:solidFill>
                </w14:textFill>
              </w:rPr>
            </w:pPr>
            <w:r>
              <w:rPr>
                <w:rFonts w:hint="eastAsia" w:ascii="仿宋_GB2312" w:hAnsi="等线" w:eastAsia="仿宋_GB2312" w:cs="宋体"/>
                <w:b/>
                <w:bCs/>
                <w:color w:val="000000" w:themeColor="text1"/>
                <w:kern w:val="0"/>
                <w:sz w:val="20"/>
                <w:szCs w:val="20"/>
                <w14:textFill>
                  <w14:solidFill>
                    <w14:schemeClr w14:val="tx1"/>
                  </w14:solidFill>
                </w14:textFill>
              </w:rPr>
              <w:t>分类</w:t>
            </w:r>
          </w:p>
        </w:tc>
        <w:tc>
          <w:tcPr>
            <w:tcW w:w="1859" w:type="pct"/>
            <w:vMerge w:val="restart"/>
            <w:shd w:val="clear" w:color="000000" w:fill="E7E6E6"/>
            <w:vAlign w:val="center"/>
          </w:tcPr>
          <w:p w14:paraId="6B8D0985">
            <w:pPr>
              <w:widowControl/>
              <w:adjustRightInd w:val="0"/>
              <w:snapToGrid w:val="0"/>
              <w:jc w:val="center"/>
              <w:rPr>
                <w:rFonts w:ascii="仿宋_GB2312" w:hAnsi="等线" w:eastAsia="仿宋_GB2312" w:cs="宋体"/>
                <w:b/>
                <w:bCs/>
                <w:color w:val="000000" w:themeColor="text1"/>
                <w:kern w:val="0"/>
                <w:sz w:val="20"/>
                <w:szCs w:val="20"/>
                <w14:textFill>
                  <w14:solidFill>
                    <w14:schemeClr w14:val="tx1"/>
                  </w14:solidFill>
                </w14:textFill>
              </w:rPr>
            </w:pPr>
            <w:r>
              <w:rPr>
                <w:rFonts w:hint="eastAsia" w:ascii="仿宋_GB2312" w:hAnsi="等线" w:eastAsia="仿宋_GB2312" w:cs="宋体"/>
                <w:b/>
                <w:bCs/>
                <w:color w:val="000000" w:themeColor="text1"/>
                <w:kern w:val="0"/>
                <w:sz w:val="20"/>
                <w:szCs w:val="20"/>
                <w14:textFill>
                  <w14:solidFill>
                    <w14:schemeClr w14:val="tx1"/>
                  </w14:solidFill>
                </w14:textFill>
              </w:rPr>
              <w:t>隐患内容</w:t>
            </w:r>
          </w:p>
        </w:tc>
        <w:tc>
          <w:tcPr>
            <w:tcW w:w="1615" w:type="pct"/>
            <w:vMerge w:val="restart"/>
            <w:shd w:val="clear" w:color="000000" w:fill="E7E6E6"/>
            <w:vAlign w:val="center"/>
          </w:tcPr>
          <w:p w14:paraId="1EA6A584">
            <w:pPr>
              <w:widowControl/>
              <w:adjustRightInd w:val="0"/>
              <w:snapToGrid w:val="0"/>
              <w:jc w:val="center"/>
              <w:rPr>
                <w:rFonts w:ascii="仿宋_GB2312" w:hAnsi="等线" w:eastAsia="仿宋_GB2312" w:cs="宋体"/>
                <w:b/>
                <w:bCs/>
                <w:color w:val="000000" w:themeColor="text1"/>
                <w:kern w:val="0"/>
                <w:sz w:val="20"/>
                <w:szCs w:val="20"/>
                <w14:textFill>
                  <w14:solidFill>
                    <w14:schemeClr w14:val="tx1"/>
                  </w14:solidFill>
                </w14:textFill>
              </w:rPr>
            </w:pPr>
            <w:r>
              <w:rPr>
                <w:rFonts w:hint="eastAsia" w:ascii="仿宋_GB2312" w:hAnsi="等线" w:eastAsia="仿宋_GB2312" w:cs="宋体"/>
                <w:b/>
                <w:bCs/>
                <w:color w:val="000000" w:themeColor="text1"/>
                <w:kern w:val="0"/>
                <w:sz w:val="20"/>
                <w:szCs w:val="20"/>
                <w14:textFill>
                  <w14:solidFill>
                    <w14:schemeClr w14:val="tx1"/>
                  </w14:solidFill>
                </w14:textFill>
              </w:rPr>
              <w:t>依据</w:t>
            </w:r>
          </w:p>
        </w:tc>
        <w:tc>
          <w:tcPr>
            <w:tcW w:w="187" w:type="pct"/>
            <w:vMerge w:val="restart"/>
            <w:shd w:val="clear" w:color="000000" w:fill="E7E6E6"/>
            <w:vAlign w:val="center"/>
          </w:tcPr>
          <w:p w14:paraId="089252DD">
            <w:pPr>
              <w:widowControl/>
              <w:adjustRightInd w:val="0"/>
              <w:snapToGrid w:val="0"/>
              <w:jc w:val="center"/>
              <w:rPr>
                <w:rFonts w:ascii="仿宋_GB2312" w:hAnsi="等线" w:eastAsia="仿宋_GB2312" w:cs="宋体"/>
                <w:b/>
                <w:bCs/>
                <w:color w:val="000000" w:themeColor="text1"/>
                <w:kern w:val="0"/>
                <w:sz w:val="20"/>
                <w:szCs w:val="20"/>
                <w14:textFill>
                  <w14:solidFill>
                    <w14:schemeClr w14:val="tx1"/>
                  </w14:solidFill>
                </w14:textFill>
              </w:rPr>
            </w:pPr>
            <w:r>
              <w:rPr>
                <w:rFonts w:hint="eastAsia" w:ascii="仿宋_GB2312" w:hAnsi="等线" w:eastAsia="仿宋_GB2312" w:cs="宋体"/>
                <w:b/>
                <w:bCs/>
                <w:color w:val="000000" w:themeColor="text1"/>
                <w:kern w:val="0"/>
                <w:sz w:val="20"/>
                <w:szCs w:val="20"/>
                <w14:textFill>
                  <w14:solidFill>
                    <w14:schemeClr w14:val="tx1"/>
                  </w14:solidFill>
                </w14:textFill>
              </w:rPr>
              <w:t>备注</w:t>
            </w:r>
          </w:p>
        </w:tc>
      </w:tr>
      <w:tr w14:paraId="0FE72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vMerge w:val="continue"/>
            <w:vAlign w:val="center"/>
          </w:tcPr>
          <w:p w14:paraId="5F5F05BD">
            <w:pPr>
              <w:widowControl/>
              <w:adjustRightInd w:val="0"/>
              <w:snapToGrid w:val="0"/>
              <w:jc w:val="left"/>
              <w:rPr>
                <w:rFonts w:ascii="仿宋_GB2312" w:hAnsi="等线" w:eastAsia="仿宋_GB2312" w:cs="宋体"/>
                <w:b/>
                <w:bCs/>
                <w:color w:val="000000" w:themeColor="text1"/>
                <w:kern w:val="0"/>
                <w:sz w:val="20"/>
                <w:szCs w:val="20"/>
                <w14:textFill>
                  <w14:solidFill>
                    <w14:schemeClr w14:val="tx1"/>
                  </w14:solidFill>
                </w14:textFill>
              </w:rPr>
            </w:pPr>
          </w:p>
        </w:tc>
        <w:tc>
          <w:tcPr>
            <w:tcW w:w="335" w:type="pct"/>
            <w:shd w:val="clear" w:color="000000" w:fill="E7E6E6"/>
            <w:vAlign w:val="center"/>
          </w:tcPr>
          <w:p w14:paraId="25A4CAD7">
            <w:pPr>
              <w:widowControl/>
              <w:adjustRightInd w:val="0"/>
              <w:snapToGrid w:val="0"/>
              <w:jc w:val="center"/>
              <w:rPr>
                <w:rFonts w:ascii="仿宋_GB2312" w:hAnsi="等线" w:eastAsia="仿宋_GB2312" w:cs="宋体"/>
                <w:b/>
                <w:bCs/>
                <w:color w:val="000000" w:themeColor="text1"/>
                <w:kern w:val="0"/>
                <w:sz w:val="20"/>
                <w:szCs w:val="20"/>
                <w14:textFill>
                  <w14:solidFill>
                    <w14:schemeClr w14:val="tx1"/>
                  </w14:solidFill>
                </w14:textFill>
              </w:rPr>
            </w:pPr>
            <w:r>
              <w:rPr>
                <w:rFonts w:hint="eastAsia" w:ascii="仿宋_GB2312" w:hAnsi="等线" w:eastAsia="仿宋_GB2312" w:cs="宋体"/>
                <w:b/>
                <w:bCs/>
                <w:color w:val="000000" w:themeColor="text1"/>
                <w:kern w:val="0"/>
                <w:sz w:val="20"/>
                <w:szCs w:val="20"/>
                <w14:textFill>
                  <w14:solidFill>
                    <w14:schemeClr w14:val="tx1"/>
                  </w14:solidFill>
                </w14:textFill>
              </w:rPr>
              <w:t>一类</w:t>
            </w:r>
          </w:p>
        </w:tc>
        <w:tc>
          <w:tcPr>
            <w:tcW w:w="384" w:type="pct"/>
            <w:shd w:val="clear" w:color="000000" w:fill="E7E6E6"/>
            <w:vAlign w:val="center"/>
          </w:tcPr>
          <w:p w14:paraId="7AF11180">
            <w:pPr>
              <w:widowControl/>
              <w:adjustRightInd w:val="0"/>
              <w:snapToGrid w:val="0"/>
              <w:jc w:val="center"/>
              <w:rPr>
                <w:rFonts w:ascii="仿宋_GB2312" w:hAnsi="等线" w:eastAsia="仿宋_GB2312" w:cs="宋体"/>
                <w:b/>
                <w:bCs/>
                <w:color w:val="000000" w:themeColor="text1"/>
                <w:kern w:val="0"/>
                <w:sz w:val="20"/>
                <w:szCs w:val="20"/>
                <w14:textFill>
                  <w14:solidFill>
                    <w14:schemeClr w14:val="tx1"/>
                  </w14:solidFill>
                </w14:textFill>
              </w:rPr>
            </w:pPr>
            <w:r>
              <w:rPr>
                <w:rFonts w:hint="eastAsia" w:ascii="仿宋_GB2312" w:hAnsi="等线" w:eastAsia="仿宋_GB2312" w:cs="宋体"/>
                <w:b/>
                <w:bCs/>
                <w:color w:val="000000" w:themeColor="text1"/>
                <w:kern w:val="0"/>
                <w:sz w:val="20"/>
                <w:szCs w:val="20"/>
                <w14:textFill>
                  <w14:solidFill>
                    <w14:schemeClr w14:val="tx1"/>
                  </w14:solidFill>
                </w14:textFill>
              </w:rPr>
              <w:t>二类</w:t>
            </w:r>
          </w:p>
        </w:tc>
        <w:tc>
          <w:tcPr>
            <w:tcW w:w="1859" w:type="pct"/>
            <w:vMerge w:val="continue"/>
            <w:vAlign w:val="center"/>
          </w:tcPr>
          <w:p w14:paraId="686D5092">
            <w:pPr>
              <w:widowControl/>
              <w:adjustRightInd w:val="0"/>
              <w:snapToGrid w:val="0"/>
              <w:jc w:val="left"/>
              <w:rPr>
                <w:rFonts w:ascii="仿宋_GB2312" w:hAnsi="等线" w:eastAsia="仿宋_GB2312" w:cs="宋体"/>
                <w:b/>
                <w:bCs/>
                <w:color w:val="000000" w:themeColor="text1"/>
                <w:kern w:val="0"/>
                <w:sz w:val="20"/>
                <w:szCs w:val="20"/>
                <w14:textFill>
                  <w14:solidFill>
                    <w14:schemeClr w14:val="tx1"/>
                  </w14:solidFill>
                </w14:textFill>
              </w:rPr>
            </w:pPr>
          </w:p>
        </w:tc>
        <w:tc>
          <w:tcPr>
            <w:tcW w:w="1615" w:type="pct"/>
            <w:vMerge w:val="continue"/>
            <w:vAlign w:val="center"/>
          </w:tcPr>
          <w:p w14:paraId="577B01E6">
            <w:pPr>
              <w:widowControl/>
              <w:adjustRightInd w:val="0"/>
              <w:snapToGrid w:val="0"/>
              <w:jc w:val="left"/>
              <w:rPr>
                <w:rFonts w:ascii="仿宋_GB2312" w:hAnsi="等线" w:eastAsia="仿宋_GB2312" w:cs="宋体"/>
                <w:b/>
                <w:bCs/>
                <w:color w:val="000000" w:themeColor="text1"/>
                <w:kern w:val="0"/>
                <w:sz w:val="20"/>
                <w:szCs w:val="20"/>
                <w14:textFill>
                  <w14:solidFill>
                    <w14:schemeClr w14:val="tx1"/>
                  </w14:solidFill>
                </w14:textFill>
              </w:rPr>
            </w:pPr>
          </w:p>
        </w:tc>
        <w:tc>
          <w:tcPr>
            <w:tcW w:w="187" w:type="pct"/>
            <w:vMerge w:val="continue"/>
            <w:vAlign w:val="center"/>
          </w:tcPr>
          <w:p w14:paraId="54360424">
            <w:pPr>
              <w:widowControl/>
              <w:adjustRightInd w:val="0"/>
              <w:snapToGrid w:val="0"/>
              <w:jc w:val="left"/>
              <w:rPr>
                <w:rFonts w:ascii="仿宋_GB2312" w:hAnsi="等线" w:eastAsia="仿宋_GB2312" w:cs="宋体"/>
                <w:b/>
                <w:bCs/>
                <w:color w:val="000000" w:themeColor="text1"/>
                <w:kern w:val="0"/>
                <w:sz w:val="20"/>
                <w:szCs w:val="20"/>
                <w14:textFill>
                  <w14:solidFill>
                    <w14:schemeClr w14:val="tx1"/>
                  </w14:solidFill>
                </w14:textFill>
              </w:rPr>
            </w:pPr>
          </w:p>
        </w:tc>
      </w:tr>
      <w:tr w14:paraId="56741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05BEE3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2D52A2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1B5926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资质证照类</w:t>
            </w:r>
          </w:p>
        </w:tc>
        <w:tc>
          <w:tcPr>
            <w:tcW w:w="1859" w:type="pct"/>
            <w:shd w:val="clear" w:color="auto" w:fill="auto"/>
            <w:vAlign w:val="center"/>
          </w:tcPr>
          <w:p w14:paraId="193F686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超许可范围从事危险化学品生产活动。</w:t>
            </w:r>
          </w:p>
        </w:tc>
        <w:tc>
          <w:tcPr>
            <w:tcW w:w="1615" w:type="pct"/>
            <w:shd w:val="clear" w:color="auto" w:fill="auto"/>
            <w:vAlign w:val="center"/>
          </w:tcPr>
          <w:p w14:paraId="3BC25EA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《危险化学品安全管理条例》（国务院令第591号） 第十四条</w:t>
            </w:r>
          </w:p>
        </w:tc>
        <w:tc>
          <w:tcPr>
            <w:tcW w:w="187" w:type="pct"/>
            <w:shd w:val="clear" w:color="000000" w:fill="FFFFFF"/>
            <w:vAlign w:val="center"/>
          </w:tcPr>
          <w:p w14:paraId="7A44506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8588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2DBF0E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A2FF02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CBB7FF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机构及人员配备类</w:t>
            </w:r>
          </w:p>
        </w:tc>
        <w:tc>
          <w:tcPr>
            <w:tcW w:w="1859" w:type="pct"/>
            <w:shd w:val="clear" w:color="auto" w:fill="auto"/>
            <w:vAlign w:val="center"/>
          </w:tcPr>
          <w:p w14:paraId="1789C40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依法设置安全生产管理机构或配备专职安全生产管理人员。专职安全生产管理人员少于企业员工总数的2%（不足50人的企业至少配备1人），未具备化工或安全管理相关专业中专以上学历，没有从事化工生产相关工作2年以上经历，未取得安全管理人员资格证书。</w:t>
            </w:r>
            <w:r>
              <w:rPr>
                <w:rFonts w:ascii="仿宋_GB2312" w:hAnsi="等线" w:eastAsia="仿宋_GB2312" w:cs="宋体"/>
                <w:color w:val="000000" w:themeColor="text1"/>
                <w:kern w:val="0"/>
                <w:sz w:val="20"/>
                <w:szCs w:val="20"/>
                <w14:textFill>
                  <w14:solidFill>
                    <w14:schemeClr w14:val="tx1"/>
                  </w14:solidFill>
                </w14:textFill>
              </w:rPr>
              <w:t>从业人员300人以上企业，未按照不少于安全生产管理人员15%的比例配备注册安全生产工</w:t>
            </w:r>
            <w:r>
              <w:rPr>
                <w:rFonts w:hint="eastAsia" w:ascii="仿宋_GB2312" w:hAnsi="等线" w:eastAsia="仿宋_GB2312" w:cs="宋体"/>
                <w:color w:val="000000" w:themeColor="text1"/>
                <w:kern w:val="0"/>
                <w:sz w:val="20"/>
                <w:szCs w:val="20"/>
                <w14:textFill>
                  <w14:solidFill>
                    <w14:schemeClr w14:val="tx1"/>
                  </w14:solidFill>
                </w14:textFill>
              </w:rPr>
              <w:t>程师，安全生产管理人员在</w:t>
            </w:r>
            <w:r>
              <w:rPr>
                <w:rFonts w:ascii="仿宋_GB2312" w:hAnsi="等线" w:eastAsia="仿宋_GB2312" w:cs="宋体"/>
                <w:color w:val="000000" w:themeColor="text1"/>
                <w:kern w:val="0"/>
                <w:sz w:val="20"/>
                <w:szCs w:val="20"/>
                <w14:textFill>
                  <w14:solidFill>
                    <w14:schemeClr w14:val="tx1"/>
                  </w14:solidFill>
                </w14:textFill>
              </w:rPr>
              <w:t>7人以下的，未配备注册安全工程师的。</w:t>
            </w:r>
          </w:p>
        </w:tc>
        <w:tc>
          <w:tcPr>
            <w:tcW w:w="1615" w:type="pct"/>
            <w:shd w:val="clear" w:color="auto" w:fill="auto"/>
            <w:vAlign w:val="center"/>
          </w:tcPr>
          <w:p w14:paraId="0540298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《中华人民共和国安全生产法》第二十四条《国家安全监管总局关于危险化学品企业贯彻落实国务院关于进一步加强企业安全生产工作的通知的实施意见》（安监总管三〔2010〕186号） 第一章 第三条《注册安全工程师管理规定》（国家安全监管总局令第11号，国家安全监管总局令第63号修正）第六条</w:t>
            </w:r>
          </w:p>
        </w:tc>
        <w:tc>
          <w:tcPr>
            <w:tcW w:w="187" w:type="pct"/>
            <w:shd w:val="clear" w:color="000000" w:fill="FFFFFF"/>
            <w:vAlign w:val="center"/>
          </w:tcPr>
          <w:p w14:paraId="07676AC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F4EF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F6C3DB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0AFDEB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5B10C2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机构及人员配备类</w:t>
            </w:r>
          </w:p>
        </w:tc>
        <w:tc>
          <w:tcPr>
            <w:tcW w:w="1859" w:type="pct"/>
            <w:shd w:val="clear" w:color="auto" w:fill="auto"/>
            <w:vAlign w:val="center"/>
          </w:tcPr>
          <w:p w14:paraId="72A52E6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分管安全负责人、分管生产负责人、分管技术负责人不具有一定的化工专业知识或者相应的专业学历；涉及危险化学品企业的专职安全生产管理人员，不具备化工或安全管理相关专业中专以上学历，或不具备从事化工生产相关工作经历</w:t>
            </w:r>
            <w:r>
              <w:rPr>
                <w:rFonts w:ascii="仿宋_GB2312" w:hAnsi="等线" w:eastAsia="仿宋_GB2312" w:cs="宋体"/>
                <w:color w:val="000000" w:themeColor="text1"/>
                <w:kern w:val="0"/>
                <w:sz w:val="20"/>
                <w:szCs w:val="20"/>
                <w14:textFill>
                  <w14:solidFill>
                    <w14:schemeClr w14:val="tx1"/>
                  </w14:solidFill>
                </w14:textFill>
              </w:rPr>
              <w:t>2年以上经历</w:t>
            </w:r>
            <w:r>
              <w:rPr>
                <w:rFonts w:hint="eastAsia" w:ascii="仿宋_GB2312" w:hAnsi="等线" w:eastAsia="仿宋_GB2312" w:cs="宋体"/>
                <w:color w:val="000000" w:themeColor="text1"/>
                <w:kern w:val="0"/>
                <w:sz w:val="20"/>
                <w:szCs w:val="20"/>
                <w14:textFill>
                  <w14:solidFill>
                    <w14:schemeClr w14:val="tx1"/>
                  </w14:solidFill>
                </w14:textFill>
              </w:rPr>
              <w:t>。</w:t>
            </w:r>
          </w:p>
        </w:tc>
        <w:tc>
          <w:tcPr>
            <w:tcW w:w="1615" w:type="pct"/>
            <w:shd w:val="clear" w:color="auto" w:fill="auto"/>
            <w:vAlign w:val="center"/>
          </w:tcPr>
          <w:p w14:paraId="7CE02F1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《中华人民共和国安全生产法》第二十四条</w:t>
            </w:r>
          </w:p>
          <w:p w14:paraId="1E66886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《危险化学品生产企业安全生产许可证实施办法》（国家安全生产监督管理总局令</w:t>
            </w:r>
            <w:r>
              <w:rPr>
                <w:rFonts w:ascii="仿宋_GB2312" w:hAnsi="等线" w:eastAsia="仿宋_GB2312" w:cs="宋体"/>
                <w:color w:val="000000" w:themeColor="text1"/>
                <w:kern w:val="0"/>
                <w:sz w:val="20"/>
                <w:szCs w:val="20"/>
                <w14:textFill>
                  <w14:solidFill>
                    <w14:schemeClr w14:val="tx1"/>
                  </w14:solidFill>
                </w14:textFill>
              </w:rPr>
              <w:t>(第41号）)第十二条</w:t>
            </w:r>
            <w:r>
              <w:rPr>
                <w:rFonts w:hint="eastAsia" w:ascii="仿宋_GB2312" w:hAnsi="等线" w:eastAsia="仿宋_GB2312" w:cs="宋体"/>
                <w:color w:val="000000" w:themeColor="text1"/>
                <w:kern w:val="0"/>
                <w:sz w:val="20"/>
                <w:szCs w:val="20"/>
                <w14:textFill>
                  <w14:solidFill>
                    <w14:schemeClr w14:val="tx1"/>
                  </w14:solidFill>
                </w14:textFill>
              </w:rPr>
              <w:t xml:space="preserve">。 </w:t>
            </w:r>
          </w:p>
          <w:p w14:paraId="6FE1579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《关于危险化学品企业贯彻落实</w:t>
            </w:r>
            <w:r>
              <w:rPr>
                <w:rFonts w:ascii="仿宋_GB2312" w:hAnsi="等线" w:eastAsia="仿宋_GB2312" w:cs="宋体"/>
                <w:color w:val="000000" w:themeColor="text1"/>
                <w:kern w:val="0"/>
                <w:sz w:val="20"/>
                <w:szCs w:val="20"/>
                <w14:textFill>
                  <w14:solidFill>
                    <w14:schemeClr w14:val="tx1"/>
                  </w14:solidFill>
                </w14:textFill>
              </w:rPr>
              <w:t>&lt;国务院关于进一步加强企业安全生产工作的通知&gt;的实施意见 》第一章第三条</w:t>
            </w:r>
          </w:p>
        </w:tc>
        <w:tc>
          <w:tcPr>
            <w:tcW w:w="187" w:type="pct"/>
            <w:shd w:val="clear" w:color="000000" w:fill="FFFFFF"/>
            <w:vAlign w:val="center"/>
          </w:tcPr>
          <w:p w14:paraId="7BFEE7C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F50B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FE456A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45782D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468C99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机构及人员配备类</w:t>
            </w:r>
          </w:p>
        </w:tc>
        <w:tc>
          <w:tcPr>
            <w:tcW w:w="1859" w:type="pct"/>
            <w:shd w:val="clear" w:color="auto" w:fill="auto"/>
            <w:vAlign w:val="center"/>
          </w:tcPr>
          <w:p w14:paraId="4FA54AC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未落实安全生产组织领导机构，成立安全生产委员会（或安全工作领导小组），董事长或总经理未担任主任。未定期召开安全生产委员会会议。</w:t>
            </w:r>
          </w:p>
        </w:tc>
        <w:tc>
          <w:tcPr>
            <w:tcW w:w="1615" w:type="pct"/>
            <w:shd w:val="clear" w:color="auto" w:fill="auto"/>
            <w:vAlign w:val="center"/>
          </w:tcPr>
          <w:p w14:paraId="57737CB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《国家安全监管总局关于印发企业安全生产责任体系五落实五到位规定的通知》第三条</w:t>
            </w:r>
          </w:p>
        </w:tc>
        <w:tc>
          <w:tcPr>
            <w:tcW w:w="187" w:type="pct"/>
            <w:shd w:val="clear" w:color="auto" w:fill="auto"/>
            <w:vAlign w:val="center"/>
          </w:tcPr>
          <w:p w14:paraId="0CEB6EE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E3DF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32643E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F98BA6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E13174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机构及人员配备类</w:t>
            </w:r>
          </w:p>
        </w:tc>
        <w:tc>
          <w:tcPr>
            <w:tcW w:w="1859" w:type="pct"/>
            <w:shd w:val="clear" w:color="auto" w:fill="auto"/>
            <w:vAlign w:val="center"/>
          </w:tcPr>
          <w:p w14:paraId="26F210C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企业未配备设备专业管理人员和设备维修维护人员。</w:t>
            </w:r>
          </w:p>
        </w:tc>
        <w:tc>
          <w:tcPr>
            <w:tcW w:w="1615" w:type="pct"/>
            <w:shd w:val="clear" w:color="auto" w:fill="auto"/>
            <w:vAlign w:val="center"/>
          </w:tcPr>
          <w:p w14:paraId="3A3AAD6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第十六条</w:t>
            </w:r>
          </w:p>
        </w:tc>
        <w:tc>
          <w:tcPr>
            <w:tcW w:w="187" w:type="pct"/>
            <w:shd w:val="clear" w:color="auto" w:fill="auto"/>
            <w:vAlign w:val="center"/>
          </w:tcPr>
          <w:p w14:paraId="7380F8F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0E2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D85CBE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73AD81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auto" w:fill="auto"/>
            <w:vAlign w:val="center"/>
          </w:tcPr>
          <w:p w14:paraId="1C1BE46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机构及人员配备类</w:t>
            </w:r>
          </w:p>
        </w:tc>
        <w:tc>
          <w:tcPr>
            <w:tcW w:w="1859" w:type="pct"/>
            <w:shd w:val="clear" w:color="auto" w:fill="auto"/>
            <w:vAlign w:val="center"/>
          </w:tcPr>
          <w:p w14:paraId="62A9D4B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企业未建立应急指挥系统，未配备应急救援队伍，未实行分级管理，未明确各级应急指挥系统和救援队的职责。</w:t>
            </w:r>
          </w:p>
        </w:tc>
        <w:tc>
          <w:tcPr>
            <w:tcW w:w="1615" w:type="pct"/>
            <w:shd w:val="clear" w:color="auto" w:fill="auto"/>
            <w:vAlign w:val="center"/>
          </w:tcPr>
          <w:p w14:paraId="3040DD6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《危险化学品从业单位安全标准化通用规范》（AQ3013-2008） 第5.9.4条</w:t>
            </w:r>
          </w:p>
        </w:tc>
        <w:tc>
          <w:tcPr>
            <w:tcW w:w="187" w:type="pct"/>
            <w:shd w:val="clear" w:color="auto" w:fill="auto"/>
            <w:vAlign w:val="center"/>
          </w:tcPr>
          <w:p w14:paraId="06D29B8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2C3A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80D59A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C7D32B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1A1E30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责任制类</w:t>
            </w:r>
          </w:p>
        </w:tc>
        <w:tc>
          <w:tcPr>
            <w:tcW w:w="1859" w:type="pct"/>
            <w:shd w:val="clear" w:color="auto" w:fill="auto"/>
            <w:vAlign w:val="center"/>
          </w:tcPr>
          <w:p w14:paraId="6675C67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企业安全生产责任制未做到全覆盖：包括单位主要负责人、分管负责人在内的各级人员岗位安全责任制度。重大危险源</w:t>
            </w:r>
            <w:r>
              <w:rPr>
                <w:rFonts w:ascii="仿宋_GB2312" w:hAnsi="等线" w:eastAsia="仿宋_GB2312" w:cs="宋体"/>
                <w:color w:val="000000" w:themeColor="text1"/>
                <w:kern w:val="0"/>
                <w:sz w:val="20"/>
                <w:szCs w:val="20"/>
                <w14:textFill>
                  <w14:solidFill>
                    <w14:schemeClr w14:val="tx1"/>
                  </w14:solidFill>
                </w14:textFill>
              </w:rPr>
              <w:t>主要负责人、技术</w:t>
            </w:r>
            <w:r>
              <w:rPr>
                <w:rFonts w:hint="eastAsia" w:ascii="仿宋_GB2312" w:hAnsi="等线" w:eastAsia="仿宋_GB2312" w:cs="宋体"/>
                <w:color w:val="000000" w:themeColor="text1"/>
                <w:kern w:val="0"/>
                <w:sz w:val="20"/>
                <w:szCs w:val="20"/>
                <w14:textFill>
                  <w14:solidFill>
                    <w14:schemeClr w14:val="tx1"/>
                  </w14:solidFill>
                </w14:textFill>
              </w:rPr>
              <w:t>负责人、操作负责</w:t>
            </w:r>
            <w:r>
              <w:rPr>
                <w:rFonts w:ascii="仿宋_GB2312" w:hAnsi="等线" w:eastAsia="仿宋_GB2312" w:cs="宋体"/>
                <w:color w:val="000000" w:themeColor="text1"/>
                <w:kern w:val="0"/>
                <w:sz w:val="20"/>
                <w:szCs w:val="20"/>
                <w14:textFill>
                  <w14:solidFill>
                    <w14:schemeClr w14:val="tx1"/>
                  </w14:solidFill>
                </w14:textFill>
              </w:rPr>
              <w:t>人的安全包保责任制</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如实履职</w:t>
            </w:r>
            <w:r>
              <w:rPr>
                <w:rFonts w:hint="eastAsia" w:ascii="仿宋_GB2312" w:hAnsi="等线" w:eastAsia="仿宋_GB2312" w:cs="宋体"/>
                <w:color w:val="000000" w:themeColor="text1"/>
                <w:kern w:val="0"/>
                <w:sz w:val="20"/>
                <w:szCs w:val="20"/>
                <w14:textFill>
                  <w14:solidFill>
                    <w14:schemeClr w14:val="tx1"/>
                  </w14:solidFill>
                </w14:textFill>
              </w:rPr>
              <w:t>。</w:t>
            </w:r>
          </w:p>
        </w:tc>
        <w:tc>
          <w:tcPr>
            <w:tcW w:w="1615" w:type="pct"/>
            <w:shd w:val="clear" w:color="auto" w:fill="auto"/>
            <w:vAlign w:val="center"/>
          </w:tcPr>
          <w:p w14:paraId="239F7F7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《安全生产等级评定技术规范</w:t>
            </w:r>
            <w:r>
              <w:rPr>
                <w:rFonts w:ascii="仿宋_GB2312" w:hAnsi="等线" w:eastAsia="仿宋_GB2312" w:cs="宋体"/>
                <w:color w:val="000000" w:themeColor="text1"/>
                <w:kern w:val="0"/>
                <w:sz w:val="20"/>
                <w:szCs w:val="20"/>
                <w14:textFill>
                  <w14:solidFill>
                    <w14:schemeClr w14:val="tx1"/>
                  </w14:solidFill>
                </w14:textFill>
              </w:rPr>
              <w:t xml:space="preserve"> 第2部分》（DB11/T 1322.2-2017）第3.1.1.1条</w:t>
            </w:r>
          </w:p>
        </w:tc>
        <w:tc>
          <w:tcPr>
            <w:tcW w:w="187" w:type="pct"/>
            <w:shd w:val="clear" w:color="000000" w:fill="FFFFFF"/>
            <w:vAlign w:val="center"/>
          </w:tcPr>
          <w:p w14:paraId="14E242D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FFB5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B47782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840287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BCF2ED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责任制类</w:t>
            </w:r>
          </w:p>
        </w:tc>
        <w:tc>
          <w:tcPr>
            <w:tcW w:w="1859" w:type="pct"/>
            <w:shd w:val="clear" w:color="auto" w:fill="auto"/>
            <w:vAlign w:val="center"/>
          </w:tcPr>
          <w:p w14:paraId="39DBCF0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制定各岗位安全职责，未层层签订安全生产责任书；未制定主要负责人或实际控制人安全职责，未明确规定主要负责人或实际控制人是安全生产第一责任人；未制定分管安全生产负责人的安全职责。未制定或未履行重大危险源三类安全包保责任人职责。</w:t>
            </w:r>
          </w:p>
        </w:tc>
        <w:tc>
          <w:tcPr>
            <w:tcW w:w="1615" w:type="pct"/>
            <w:shd w:val="clear" w:color="auto" w:fill="auto"/>
            <w:vAlign w:val="center"/>
          </w:tcPr>
          <w:p w14:paraId="1C7410C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四条；《北京市安全生产条例》第四条；《北京市生产经营单位安全生产主体责任规定》第三、六条；《应急管理部办公厅关于印发危险化学品企业重大危险源安全包保责任制办法（试行）的通知》（应急厅〔2021〕12号）第四、五、六条</w:t>
            </w:r>
          </w:p>
        </w:tc>
        <w:tc>
          <w:tcPr>
            <w:tcW w:w="187" w:type="pct"/>
            <w:shd w:val="clear" w:color="000000" w:fill="FFFFFF"/>
            <w:vAlign w:val="center"/>
          </w:tcPr>
          <w:p w14:paraId="3C7E02B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DEE3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32B4ED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AD5F02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33F1C8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责任制类</w:t>
            </w:r>
          </w:p>
        </w:tc>
        <w:tc>
          <w:tcPr>
            <w:tcW w:w="1859" w:type="pct"/>
            <w:shd w:val="clear" w:color="auto" w:fill="auto"/>
            <w:vAlign w:val="center"/>
          </w:tcPr>
          <w:p w14:paraId="6EE3424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未建立安全生产责任制考核机制，企业未按照相关要求，定期进行安全责任制履职情况的考核与奖惩。</w:t>
            </w:r>
          </w:p>
        </w:tc>
        <w:tc>
          <w:tcPr>
            <w:tcW w:w="1615" w:type="pct"/>
            <w:shd w:val="clear" w:color="auto" w:fill="auto"/>
            <w:vAlign w:val="center"/>
          </w:tcPr>
          <w:p w14:paraId="5976BF5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《安全生产等级评定技术规范</w:t>
            </w:r>
            <w:r>
              <w:rPr>
                <w:rFonts w:ascii="仿宋_GB2312" w:hAnsi="等线" w:eastAsia="仿宋_GB2312" w:cs="宋体"/>
                <w:color w:val="000000" w:themeColor="text1"/>
                <w:kern w:val="0"/>
                <w:sz w:val="20"/>
                <w:szCs w:val="20"/>
                <w14:textFill>
                  <w14:solidFill>
                    <w14:schemeClr w14:val="tx1"/>
                  </w14:solidFill>
                </w14:textFill>
              </w:rPr>
              <w:t xml:space="preserve"> 第2部分》（DB11/T 1322.2-2017）第3.1.1.4条</w:t>
            </w:r>
          </w:p>
        </w:tc>
        <w:tc>
          <w:tcPr>
            <w:tcW w:w="187" w:type="pct"/>
            <w:shd w:val="clear" w:color="000000" w:fill="FFFFFF"/>
            <w:vAlign w:val="center"/>
          </w:tcPr>
          <w:p w14:paraId="08498D7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4587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DFF3C5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AB8B1E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44D2DB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000000" w:fill="FFFFFF"/>
            <w:vAlign w:val="center"/>
          </w:tcPr>
          <w:p w14:paraId="3005484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未组织建立并落实风险分级管控和隐患排查治理双重预防工作机制。</w:t>
            </w:r>
          </w:p>
        </w:tc>
        <w:tc>
          <w:tcPr>
            <w:tcW w:w="1615" w:type="pct"/>
            <w:shd w:val="clear" w:color="000000" w:fill="FFFFFF"/>
            <w:vAlign w:val="center"/>
          </w:tcPr>
          <w:p w14:paraId="632D7699">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《中华人民共和国安全生产法》第二十一条</w:t>
            </w:r>
          </w:p>
        </w:tc>
        <w:tc>
          <w:tcPr>
            <w:tcW w:w="187" w:type="pct"/>
            <w:shd w:val="clear" w:color="auto" w:fill="auto"/>
            <w:vAlign w:val="center"/>
          </w:tcPr>
          <w:p w14:paraId="32165F9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CB1E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9F3AC3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F39E98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3C6C107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000000" w:fill="FFFFFF"/>
            <w:vAlign w:val="center"/>
          </w:tcPr>
          <w:p w14:paraId="5E583CC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未建立与岗位相匹配的全员安全生产责任制或者未制定实施生产安全事故隐患排查治理制度。</w:t>
            </w:r>
          </w:p>
        </w:tc>
        <w:tc>
          <w:tcPr>
            <w:tcW w:w="1615" w:type="pct"/>
            <w:shd w:val="clear" w:color="000000" w:fill="FFFFFF"/>
            <w:vAlign w:val="center"/>
          </w:tcPr>
          <w:p w14:paraId="4E3EE3A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《化工和危险化学品生产经营单位重大生产安全事故隐患判定标准（试行）》第十六条</w:t>
            </w:r>
          </w:p>
        </w:tc>
        <w:tc>
          <w:tcPr>
            <w:tcW w:w="187" w:type="pct"/>
            <w:shd w:val="clear" w:color="auto" w:fill="auto"/>
            <w:vAlign w:val="center"/>
          </w:tcPr>
          <w:p w14:paraId="3BED54B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72419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AA6446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C91839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C9BDE6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000000" w:fill="FFFFFF"/>
            <w:vAlign w:val="center"/>
          </w:tcPr>
          <w:p w14:paraId="2516E92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建设项目安全设施未落实与主体工程同时设计、同时施工、同时投入生产和使用（简称“三同时”）的安全条件和安全设施设计审查制度。</w:t>
            </w:r>
          </w:p>
          <w:p w14:paraId="6F59935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老旧装置的改、扩建设项目未严格履行建设期的“三同时”要求。</w:t>
            </w:r>
          </w:p>
        </w:tc>
        <w:tc>
          <w:tcPr>
            <w:tcW w:w="1615" w:type="pct"/>
            <w:shd w:val="clear" w:color="000000" w:fill="FFFFFF"/>
            <w:vAlign w:val="center"/>
          </w:tcPr>
          <w:p w14:paraId="1FE20DC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《建设项目安全设施“三同时”监督管理办法》（国家安全监管总局令第</w:t>
            </w:r>
            <w:r>
              <w:rPr>
                <w:rFonts w:ascii="仿宋_GB2312" w:hAnsi="等线" w:eastAsia="仿宋_GB2312" w:cs="宋体"/>
                <w:color w:val="000000" w:themeColor="text1"/>
                <w:kern w:val="0"/>
                <w:sz w:val="20"/>
                <w:szCs w:val="20"/>
                <w14:textFill>
                  <w14:solidFill>
                    <w14:schemeClr w14:val="tx1"/>
                  </w14:solidFill>
                </w14:textFill>
              </w:rPr>
              <w:t>36 号）</w:t>
            </w:r>
          </w:p>
          <w:p w14:paraId="163D67F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《危险化学品建设项目安全监督管理办法》（</w:t>
            </w:r>
            <w:r>
              <w:rPr>
                <w:rFonts w:ascii="仿宋_GB2312" w:hAnsi="等线" w:eastAsia="仿宋_GB2312" w:cs="宋体"/>
                <w:color w:val="000000" w:themeColor="text1"/>
                <w:kern w:val="0"/>
                <w:sz w:val="20"/>
                <w:szCs w:val="20"/>
                <w14:textFill>
                  <w14:solidFill>
                    <w14:schemeClr w14:val="tx1"/>
                  </w14:solidFill>
                </w14:textFill>
              </w:rPr>
              <w:t xml:space="preserve"> 国家安全监管总局令第45号）</w:t>
            </w:r>
          </w:p>
        </w:tc>
        <w:tc>
          <w:tcPr>
            <w:tcW w:w="187" w:type="pct"/>
            <w:shd w:val="clear" w:color="auto" w:fill="auto"/>
            <w:vAlign w:val="center"/>
          </w:tcPr>
          <w:p w14:paraId="6DD34FC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p>
        </w:tc>
      </w:tr>
      <w:tr w14:paraId="7F3F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D92325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16E814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E4F26B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000000" w:fill="FFFFFF"/>
            <w:vAlign w:val="center"/>
          </w:tcPr>
          <w:p w14:paraId="518CCEF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企业未制定领导干部带班制度并严格落实，主要负责人未参加领导干部带班，其他分管负责人未轮流带班；生产车间未建立由管理人员参加的车间值班制度未严格落实。</w:t>
            </w:r>
          </w:p>
        </w:tc>
        <w:tc>
          <w:tcPr>
            <w:tcW w:w="1615" w:type="pct"/>
            <w:shd w:val="clear" w:color="000000" w:fill="FFFFFF"/>
            <w:vAlign w:val="center"/>
          </w:tcPr>
          <w:p w14:paraId="356217D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《国家安全监管总局 工业和信息化部关于危险化学品企业贯彻落实&lt;国务院关于进一步加强企业安全生产工作的通知&gt;的实施意见》（安监总管三〔2010〕186号） 第四条</w:t>
            </w:r>
          </w:p>
        </w:tc>
        <w:tc>
          <w:tcPr>
            <w:tcW w:w="187" w:type="pct"/>
            <w:shd w:val="clear" w:color="auto" w:fill="auto"/>
            <w:vAlign w:val="center"/>
          </w:tcPr>
          <w:p w14:paraId="228A018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FD5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EA94E0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A48D1C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C81ED2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000000" w:fill="FFFFFF"/>
            <w:vAlign w:val="center"/>
          </w:tcPr>
          <w:p w14:paraId="361B698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未按照国家标准制定动火、进入受限空间等特殊作业管理制度，或者制度未有效执行。</w:t>
            </w:r>
          </w:p>
        </w:tc>
        <w:tc>
          <w:tcPr>
            <w:tcW w:w="1615" w:type="pct"/>
            <w:shd w:val="clear" w:color="000000" w:fill="FFFFFF"/>
            <w:vAlign w:val="center"/>
          </w:tcPr>
          <w:p w14:paraId="28E09C8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《化工和危险化学品生产经营单位重大生产安全事故隐患判定标准（试行）》第十八条</w:t>
            </w:r>
          </w:p>
        </w:tc>
        <w:tc>
          <w:tcPr>
            <w:tcW w:w="187" w:type="pct"/>
            <w:shd w:val="clear" w:color="auto" w:fill="auto"/>
            <w:vAlign w:val="center"/>
          </w:tcPr>
          <w:p w14:paraId="3D460E8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7DC2F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0BAF87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899597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4134F6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000000" w:fill="FFFFFF"/>
            <w:vAlign w:val="center"/>
          </w:tcPr>
          <w:p w14:paraId="6649EFC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企业未建立易燃易爆有毒危险化学品装卸作业时装卸设施接口连接可靠性确认制度；装卸设施连接口存在磨损、变形、局部缺口、胶圈或垫片老化等缺陷。</w:t>
            </w:r>
          </w:p>
        </w:tc>
        <w:tc>
          <w:tcPr>
            <w:tcW w:w="1615" w:type="pct"/>
            <w:shd w:val="clear" w:color="000000" w:fill="FFFFFF"/>
            <w:vAlign w:val="center"/>
          </w:tcPr>
          <w:p w14:paraId="6B8F092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《国务院安委会办公室关于山东临沂金誉石化有限公司“6·5”爆炸着火事故情况的通报》（安委办〔2017〕19号） 第三条</w:t>
            </w:r>
          </w:p>
        </w:tc>
        <w:tc>
          <w:tcPr>
            <w:tcW w:w="187" w:type="pct"/>
            <w:shd w:val="clear" w:color="auto" w:fill="auto"/>
            <w:vAlign w:val="center"/>
          </w:tcPr>
          <w:p w14:paraId="763E8BB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1A24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21DCE8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488BD8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C7FDD7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000000" w:fill="FFFFFF"/>
            <w:vAlign w:val="center"/>
          </w:tcPr>
          <w:p w14:paraId="59BA65C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剧毒化学品以及储存数量构成重大危险源的其他危险化学品，未在专用仓库内单独存放，未实行双人收发、双人保管制度。</w:t>
            </w:r>
          </w:p>
        </w:tc>
        <w:tc>
          <w:tcPr>
            <w:tcW w:w="1615" w:type="pct"/>
            <w:shd w:val="clear" w:color="000000" w:fill="FFFFFF"/>
            <w:vAlign w:val="center"/>
          </w:tcPr>
          <w:p w14:paraId="1C650BE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《危险化学品安全管理条例》（国务院令第591号） 第二十四条</w:t>
            </w:r>
          </w:p>
        </w:tc>
        <w:tc>
          <w:tcPr>
            <w:tcW w:w="187" w:type="pct"/>
            <w:shd w:val="clear" w:color="auto" w:fill="auto"/>
            <w:vAlign w:val="center"/>
          </w:tcPr>
          <w:p w14:paraId="6B69D64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B3B3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2D9F1C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B28FD0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EB5580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7224747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储存危险化学品的单位未建立危险化学品出入库核查、登记制度。</w:t>
            </w:r>
          </w:p>
        </w:tc>
        <w:tc>
          <w:tcPr>
            <w:tcW w:w="1615" w:type="pct"/>
            <w:shd w:val="clear" w:color="auto" w:fill="auto"/>
            <w:vAlign w:val="center"/>
          </w:tcPr>
          <w:p w14:paraId="366C998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《危险化学品安全管理条例》（国务院令第591号） 第二十五条</w:t>
            </w:r>
          </w:p>
        </w:tc>
        <w:tc>
          <w:tcPr>
            <w:tcW w:w="187" w:type="pct"/>
            <w:shd w:val="clear" w:color="auto" w:fill="auto"/>
            <w:vAlign w:val="center"/>
          </w:tcPr>
          <w:p w14:paraId="260212B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2493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2C97A2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51D7F2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6E4F84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677AC6B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健全设备设施管理制度，内容未包含设备采购验收、动设备管理、静设备管理、备品配件管理、防腐蚀防泄漏管理、检维修、巡回检查、保温、设备润滑、设备台账管理、日常维护保养、设备检查和考评办法、设备报废、设备安全附件管理等的管理内容。</w:t>
            </w:r>
          </w:p>
        </w:tc>
        <w:tc>
          <w:tcPr>
            <w:tcW w:w="1615" w:type="pct"/>
            <w:shd w:val="clear" w:color="auto" w:fill="auto"/>
            <w:vAlign w:val="center"/>
          </w:tcPr>
          <w:p w14:paraId="73F83A8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表5（一）1</w:t>
            </w:r>
          </w:p>
        </w:tc>
        <w:tc>
          <w:tcPr>
            <w:tcW w:w="187" w:type="pct"/>
            <w:shd w:val="clear" w:color="auto" w:fill="auto"/>
            <w:vAlign w:val="center"/>
          </w:tcPr>
          <w:p w14:paraId="154A900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7127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B08C95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D261CD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1F350C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007D702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变更管理制度，变更管理制度未包含以下内容：变更的事项、起始时间，变更的技术基础、可能带来的安全风险，消除和控制安全风险的措施，是否修改操作规程，变更审批权限，变更实施后的安全验收等。</w:t>
            </w:r>
          </w:p>
        </w:tc>
        <w:tc>
          <w:tcPr>
            <w:tcW w:w="1615" w:type="pct"/>
            <w:shd w:val="clear" w:color="auto" w:fill="auto"/>
            <w:vAlign w:val="center"/>
          </w:tcPr>
          <w:p w14:paraId="70AA756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w:t>
            </w:r>
            <w:r>
              <w:rPr>
                <w:rFonts w:ascii="仿宋_GB2312" w:hAnsi="等线" w:eastAsia="仿宋_GB2312" w:cs="宋体"/>
                <w:color w:val="000000" w:themeColor="text1"/>
                <w:kern w:val="0"/>
                <w:sz w:val="20"/>
                <w:szCs w:val="20"/>
                <w14:textFill>
                  <w14:solidFill>
                    <w14:schemeClr w14:val="tx1"/>
                  </w14:solidFill>
                </w14:textFill>
              </w:rPr>
              <w:t>2013〕88号）第二十二条</w:t>
            </w:r>
          </w:p>
        </w:tc>
        <w:tc>
          <w:tcPr>
            <w:tcW w:w="187" w:type="pct"/>
            <w:shd w:val="clear" w:color="auto" w:fill="auto"/>
            <w:vAlign w:val="center"/>
          </w:tcPr>
          <w:p w14:paraId="7EFD50E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B8BF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A841E8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4C8640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AE93AF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74E95FC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变更管理制度未落</w:t>
            </w:r>
            <w:r>
              <w:rPr>
                <w:rFonts w:ascii="仿宋_GB2312" w:hAnsi="等线" w:eastAsia="仿宋_GB2312" w:cs="宋体"/>
                <w:color w:val="000000" w:themeColor="text1"/>
                <w:kern w:val="0"/>
                <w:sz w:val="20"/>
                <w:szCs w:val="20"/>
                <w14:textFill>
                  <w14:solidFill>
                    <w14:schemeClr w14:val="tx1"/>
                  </w14:solidFill>
                </w14:textFill>
              </w:rPr>
              <w:t>实,包括涉及重大危险源、重点监管危险化工工艺的生产装置和储存设</w:t>
            </w:r>
            <w:r>
              <w:rPr>
                <w:rFonts w:hint="eastAsia" w:ascii="仿宋_GB2312" w:hAnsi="等线" w:eastAsia="仿宋_GB2312" w:cs="宋体"/>
                <w:color w:val="000000" w:themeColor="text1"/>
                <w:kern w:val="0"/>
                <w:sz w:val="20"/>
                <w:szCs w:val="20"/>
                <w14:textFill>
                  <w14:solidFill>
                    <w14:schemeClr w14:val="tx1"/>
                  </w14:solidFill>
                </w14:textFill>
              </w:rPr>
              <w:t>施，主要负责人、</w:t>
            </w:r>
            <w:r>
              <w:rPr>
                <w:rFonts w:ascii="仿宋_GB2312" w:hAnsi="等线" w:eastAsia="仿宋_GB2312" w:cs="宋体"/>
                <w:color w:val="000000" w:themeColor="text1"/>
                <w:kern w:val="0"/>
                <w:sz w:val="20"/>
                <w:szCs w:val="20"/>
                <w14:textFill>
                  <w14:solidFill>
                    <w14:schemeClr w14:val="tx1"/>
                  </w14:solidFill>
                </w14:textFill>
              </w:rPr>
              <w:t>原料、工艺路线、产品、关键设备方面发生的变化未纳入变更管理，或者在变更时未进行安全风险分析。</w:t>
            </w:r>
          </w:p>
        </w:tc>
        <w:tc>
          <w:tcPr>
            <w:tcW w:w="1615" w:type="pct"/>
            <w:shd w:val="clear" w:color="auto" w:fill="auto"/>
            <w:vAlign w:val="center"/>
          </w:tcPr>
          <w:p w14:paraId="008B46F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《中华人民共和国安全生产法》第二十一条第二项</w:t>
            </w:r>
            <w:r>
              <w:rPr>
                <w:rFonts w:hint="eastAsia" w:ascii="仿宋_GB2312" w:hAnsi="等线" w:eastAsia="仿宋_GB2312" w:cs="宋体"/>
                <w:color w:val="000000" w:themeColor="text1"/>
                <w:kern w:val="0"/>
                <w:sz w:val="20"/>
                <w:szCs w:val="20"/>
                <w14:textFill>
                  <w14:solidFill>
                    <w14:schemeClr w14:val="tx1"/>
                  </w14:solidFill>
                </w14:textFill>
              </w:rPr>
              <w:t>；</w:t>
            </w:r>
          </w:p>
          <w:p w14:paraId="2CEE74A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《危险化学品生产企业安</w:t>
            </w:r>
            <w:r>
              <w:rPr>
                <w:rFonts w:ascii="仿宋_GB2312" w:hAnsi="等线" w:eastAsia="仿宋_GB2312" w:cs="宋体"/>
                <w:color w:val="000000" w:themeColor="text1"/>
                <w:kern w:val="0"/>
                <w:sz w:val="20"/>
                <w:szCs w:val="20"/>
                <w14:textFill>
                  <w14:solidFill>
                    <w14:schemeClr w14:val="tx1"/>
                  </w14:solidFill>
                </w14:textFill>
              </w:rPr>
              <w:t>全生产许可证实施办法》(国家安全监管总局令第41号)第十四条第九项</w:t>
            </w:r>
          </w:p>
        </w:tc>
        <w:tc>
          <w:tcPr>
            <w:tcW w:w="187" w:type="pct"/>
            <w:shd w:val="clear" w:color="auto" w:fill="auto"/>
            <w:vAlign w:val="center"/>
          </w:tcPr>
          <w:p w14:paraId="5BAC8C7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403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FAB479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7A382E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B080BE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2CFF3B7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当工艺路线、控制参数、原辅料等发生变更时，设备、阀门、管线未按照设计选型和选用材质时，未严格执行变更管理制度，未严格履行变更程序仍然维持运行，未开展变更安全风险分析；落实安全风险管控措施。变更后未对相关操作规程进行修订，未对相关人员进行培训。</w:t>
            </w:r>
          </w:p>
        </w:tc>
        <w:tc>
          <w:tcPr>
            <w:tcW w:w="1615" w:type="pct"/>
            <w:shd w:val="clear" w:color="auto" w:fill="auto"/>
            <w:vAlign w:val="center"/>
          </w:tcPr>
          <w:p w14:paraId="18D3214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表1（六）4、表4（四）5；</w:t>
            </w:r>
          </w:p>
          <w:p w14:paraId="173B8FF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《关于危险化学品企业贯彻落实&lt;国务院关于进一步加强企业安全生产工作的通知&gt;的实施意见》（安监总管三〔2010〕186号） 第十二条；</w:t>
            </w:r>
          </w:p>
          <w:p w14:paraId="2E9716D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w:t>
            </w:r>
            <w:r>
              <w:rPr>
                <w:rFonts w:ascii="仿宋_GB2312" w:hAnsi="等线" w:eastAsia="仿宋_GB2312" w:cs="宋体"/>
                <w:color w:val="000000" w:themeColor="text1"/>
                <w:kern w:val="0"/>
                <w:sz w:val="20"/>
                <w:szCs w:val="20"/>
                <w14:textFill>
                  <w14:solidFill>
                    <w14:schemeClr w14:val="tx1"/>
                  </w14:solidFill>
                </w14:textFill>
              </w:rPr>
              <w:t>2013〕88号）第二十三、二十四条</w:t>
            </w:r>
            <w:r>
              <w:rPr>
                <w:rFonts w:hint="eastAsia" w:ascii="仿宋_GB2312" w:hAnsi="等线" w:eastAsia="仿宋_GB2312" w:cs="宋体"/>
                <w:color w:val="000000" w:themeColor="text1"/>
                <w:kern w:val="0"/>
                <w:sz w:val="20"/>
                <w:szCs w:val="20"/>
                <w14:textFill>
                  <w14:solidFill>
                    <w14:schemeClr w14:val="tx1"/>
                  </w14:solidFill>
                </w14:textFill>
              </w:rPr>
              <w:t>；</w:t>
            </w:r>
          </w:p>
          <w:p w14:paraId="2E76AD5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4A1C128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B3E4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F0C1AB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2908F9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118D0F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0C699A2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企业未建立操作记录和交接班管理制度，未符合以下要求： </w:t>
            </w:r>
          </w:p>
          <w:p w14:paraId="17C5D7F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1.严格遵守操作规程，按照工艺参数操作； </w:t>
            </w:r>
          </w:p>
          <w:p w14:paraId="35470A1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2.按规定进行巡回检查，有操作记录； </w:t>
            </w:r>
          </w:p>
          <w:p w14:paraId="5A9CF3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3.严格执行交接班制度。 </w:t>
            </w:r>
          </w:p>
        </w:tc>
        <w:tc>
          <w:tcPr>
            <w:tcW w:w="1615" w:type="pct"/>
            <w:shd w:val="clear" w:color="auto" w:fill="auto"/>
            <w:vAlign w:val="center"/>
          </w:tcPr>
          <w:p w14:paraId="619AB8A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表4（四）6</w:t>
            </w:r>
          </w:p>
        </w:tc>
        <w:tc>
          <w:tcPr>
            <w:tcW w:w="187" w:type="pct"/>
            <w:shd w:val="clear" w:color="auto" w:fill="auto"/>
            <w:vAlign w:val="center"/>
          </w:tcPr>
          <w:p w14:paraId="611B490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D3D0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D381E4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499FE8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61C11E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41D581F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企业未建立电气设备设施操作、维护、检修等管理制度并实施。</w:t>
            </w:r>
          </w:p>
        </w:tc>
        <w:tc>
          <w:tcPr>
            <w:tcW w:w="1615" w:type="pct"/>
            <w:shd w:val="clear" w:color="auto" w:fill="auto"/>
            <w:vAlign w:val="center"/>
          </w:tcPr>
          <w:p w14:paraId="198BDBA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第十六条</w:t>
            </w:r>
          </w:p>
        </w:tc>
        <w:tc>
          <w:tcPr>
            <w:tcW w:w="187" w:type="pct"/>
            <w:shd w:val="clear" w:color="auto" w:fill="auto"/>
            <w:vAlign w:val="center"/>
          </w:tcPr>
          <w:p w14:paraId="1C29640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51C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AF0616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25FEA0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D224B5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7E0C379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企业未建立识别和获取适用的安全生产法律、法规、标准及其他要求管理制度，及时识别和获取，定期更新，并及时传达给相关方。</w:t>
            </w:r>
          </w:p>
          <w:p w14:paraId="7A48C6F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综合分析收集到的各类信息，未明确提出生产过程安全要求和注意事项，或未转化到安全风险分析、事故调查和编制生产管理制度、操作规程、员工安全教育培训手册、应急处置预案、工艺卡片和技术手册、化学品间的安全相容矩阵表等资料中。</w:t>
            </w:r>
          </w:p>
        </w:tc>
        <w:tc>
          <w:tcPr>
            <w:tcW w:w="1615" w:type="pct"/>
            <w:shd w:val="clear" w:color="auto" w:fill="auto"/>
            <w:vAlign w:val="center"/>
          </w:tcPr>
          <w:p w14:paraId="062BE68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第三条</w:t>
            </w:r>
          </w:p>
          <w:p w14:paraId="08FF3D7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w:t>
            </w:r>
            <w:r>
              <w:rPr>
                <w:rFonts w:ascii="仿宋_GB2312" w:hAnsi="等线" w:eastAsia="仿宋_GB2312" w:cs="宋体"/>
                <w:color w:val="000000" w:themeColor="text1"/>
                <w:kern w:val="0"/>
                <w:sz w:val="20"/>
                <w:szCs w:val="20"/>
                <w14:textFill>
                  <w14:solidFill>
                    <w14:schemeClr w14:val="tx1"/>
                  </w14:solidFill>
                </w14:textFill>
              </w:rPr>
              <w:t>AQ 3013-2008）第5.3.1条</w:t>
            </w:r>
          </w:p>
        </w:tc>
        <w:tc>
          <w:tcPr>
            <w:tcW w:w="187" w:type="pct"/>
            <w:shd w:val="clear" w:color="auto" w:fill="auto"/>
            <w:vAlign w:val="center"/>
          </w:tcPr>
          <w:p w14:paraId="06E9BEA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3329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F21E1D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C4EC0F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5A0A95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1E704A4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企业未建立安全风险研判制度。</w:t>
            </w:r>
          </w:p>
        </w:tc>
        <w:tc>
          <w:tcPr>
            <w:tcW w:w="1615" w:type="pct"/>
            <w:shd w:val="clear" w:color="auto" w:fill="auto"/>
            <w:vAlign w:val="center"/>
          </w:tcPr>
          <w:p w14:paraId="6A3CA77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《关于全面实施危险化学品企业安全风险研判与承诺公告制度的通知》第</w:t>
            </w:r>
            <w:r>
              <w:rPr>
                <w:rFonts w:ascii="仿宋_GB2312" w:hAnsi="等线" w:eastAsia="仿宋_GB2312" w:cs="宋体"/>
                <w:color w:val="000000" w:themeColor="text1"/>
                <w:kern w:val="0"/>
                <w:sz w:val="20"/>
                <w:szCs w:val="20"/>
                <w14:textFill>
                  <w14:solidFill>
                    <w14:schemeClr w14:val="tx1"/>
                  </w14:solidFill>
                </w14:textFill>
              </w:rPr>
              <w:t>3.1条</w:t>
            </w:r>
          </w:p>
        </w:tc>
        <w:tc>
          <w:tcPr>
            <w:tcW w:w="187" w:type="pct"/>
            <w:shd w:val="clear" w:color="auto" w:fill="auto"/>
            <w:vAlign w:val="center"/>
          </w:tcPr>
          <w:p w14:paraId="288183D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D9E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C804BE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D405C7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3608BB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5962867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企业未对生产全过程及建设项目的全生命周期，尤其是工艺技术、设备设施和操作管理变更的风险辨识、评估、论证。</w:t>
            </w:r>
          </w:p>
        </w:tc>
        <w:tc>
          <w:tcPr>
            <w:tcW w:w="1615" w:type="pct"/>
            <w:shd w:val="clear" w:color="auto" w:fill="auto"/>
            <w:vAlign w:val="center"/>
          </w:tcPr>
          <w:p w14:paraId="755A684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《危险化学品从业单位安全生产标准化通用规范》（AQ3013-2008) 第5.2.1.2条；《关于加强化工过程安全管理的指导意见》（安监总管三〔2013〕88号） 第五条 </w:t>
            </w:r>
          </w:p>
        </w:tc>
        <w:tc>
          <w:tcPr>
            <w:tcW w:w="187" w:type="pct"/>
            <w:shd w:val="clear" w:color="auto" w:fill="auto"/>
            <w:vAlign w:val="center"/>
          </w:tcPr>
          <w:p w14:paraId="0B306A9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D15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A19189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DCDE01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636194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7AD4036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企业未对辨识出的安全风险依据安全风险评价准则确定安全风险等级，或未从技术、组织、制度、应急等方面对安全风险进行有效管控。</w:t>
            </w:r>
          </w:p>
        </w:tc>
        <w:tc>
          <w:tcPr>
            <w:tcW w:w="1615" w:type="pct"/>
            <w:shd w:val="clear" w:color="auto" w:fill="auto"/>
            <w:vAlign w:val="center"/>
          </w:tcPr>
          <w:p w14:paraId="10AA5DD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《国务院安委会办公室关于实施遏制重特大事故工作指南构建双重预防机制的意见》（安委办〔2016〕11号）第二条第（二）、（三）项</w:t>
            </w:r>
          </w:p>
        </w:tc>
        <w:tc>
          <w:tcPr>
            <w:tcW w:w="187" w:type="pct"/>
            <w:shd w:val="clear" w:color="auto" w:fill="auto"/>
            <w:vAlign w:val="center"/>
          </w:tcPr>
          <w:p w14:paraId="27962B8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E54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D91CA7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3A3AAA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FF4440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5010E1E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企业未定期评审或检查风险评价结果和风险控制效果，未对安全风险管控措施的有效性实施监控情况进行巡查，发现措施失效后未及时处置。</w:t>
            </w:r>
          </w:p>
        </w:tc>
        <w:tc>
          <w:tcPr>
            <w:tcW w:w="1615" w:type="pct"/>
            <w:shd w:val="clear" w:color="auto" w:fill="auto"/>
            <w:vAlign w:val="center"/>
          </w:tcPr>
          <w:p w14:paraId="1E66F03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表1（五）8；</w:t>
            </w:r>
          </w:p>
          <w:p w14:paraId="55036CF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w:t>
            </w:r>
            <w:r>
              <w:rPr>
                <w:rFonts w:ascii="仿宋_GB2312" w:hAnsi="等线" w:eastAsia="仿宋_GB2312" w:cs="宋体"/>
                <w:color w:val="000000" w:themeColor="text1"/>
                <w:kern w:val="0"/>
                <w:sz w:val="20"/>
                <w:szCs w:val="20"/>
                <w14:textFill>
                  <w14:solidFill>
                    <w14:schemeClr w14:val="tx1"/>
                  </w14:solidFill>
                </w14:textFill>
              </w:rPr>
              <w:t>AQ 3013-2008）第5.2.6.2条</w:t>
            </w:r>
          </w:p>
        </w:tc>
        <w:tc>
          <w:tcPr>
            <w:tcW w:w="187" w:type="pct"/>
            <w:shd w:val="clear" w:color="auto" w:fill="auto"/>
            <w:vAlign w:val="center"/>
          </w:tcPr>
          <w:p w14:paraId="4AAAFAF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DD62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0A23FC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00C3C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2EA63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7DA7021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企业制度未对如下厂区内人员密集场所及可能存在的较大风险的情况做出具体要求：</w:t>
            </w:r>
          </w:p>
          <w:p w14:paraId="1835B1B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1）试生产投料期间，区域内不得有施工作业；</w:t>
            </w:r>
          </w:p>
          <w:p w14:paraId="07DBB6B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2）系统性检修时，同一作业平台或同一受限空间内不得超过9人；</w:t>
            </w:r>
          </w:p>
          <w:p w14:paraId="3DC2B48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3）装置出现泄漏等异常状况时，严格控制现场人员数量。</w:t>
            </w:r>
          </w:p>
        </w:tc>
        <w:tc>
          <w:tcPr>
            <w:tcW w:w="1615" w:type="pct"/>
            <w:shd w:val="clear" w:color="auto" w:fill="auto"/>
            <w:vAlign w:val="center"/>
          </w:tcPr>
          <w:p w14:paraId="37C8FE3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《危险化学品企业安全风险隐患排查治理导则》附件“安全基础管理安全风险隐患排查”（五）安全风险管理第五条</w:t>
            </w:r>
          </w:p>
        </w:tc>
        <w:tc>
          <w:tcPr>
            <w:tcW w:w="187" w:type="pct"/>
            <w:shd w:val="clear" w:color="auto" w:fill="auto"/>
            <w:vAlign w:val="center"/>
          </w:tcPr>
          <w:p w14:paraId="70A295A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AE5E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1F2CA8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2588DE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F5EC73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6588F66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企业在正常开车、紧急停车后的开车前，在单台设备交付检维修前与检维修后投入使用前，未进行安全条件检查确认。</w:t>
            </w:r>
          </w:p>
        </w:tc>
        <w:tc>
          <w:tcPr>
            <w:tcW w:w="1615" w:type="pct"/>
            <w:shd w:val="clear" w:color="auto" w:fill="auto"/>
            <w:vAlign w:val="center"/>
          </w:tcPr>
          <w:p w14:paraId="216CD25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第十条</w:t>
            </w:r>
          </w:p>
        </w:tc>
        <w:tc>
          <w:tcPr>
            <w:tcW w:w="187" w:type="pct"/>
            <w:shd w:val="clear" w:color="auto" w:fill="auto"/>
            <w:vAlign w:val="center"/>
          </w:tcPr>
          <w:p w14:paraId="1A658F0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2D7F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9BE9B1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23C30A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26745C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5EA9575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开停车前，企业未进行安全风险辨识分析，未制定落实开停车方案，未编制落实安全措施和开停车步骤。</w:t>
            </w:r>
          </w:p>
        </w:tc>
        <w:tc>
          <w:tcPr>
            <w:tcW w:w="1615" w:type="pct"/>
            <w:shd w:val="clear" w:color="auto" w:fill="auto"/>
            <w:vAlign w:val="center"/>
          </w:tcPr>
          <w:p w14:paraId="060DD1F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第十条</w:t>
            </w:r>
          </w:p>
        </w:tc>
        <w:tc>
          <w:tcPr>
            <w:tcW w:w="187" w:type="pct"/>
            <w:shd w:val="clear" w:color="auto" w:fill="auto"/>
            <w:vAlign w:val="center"/>
          </w:tcPr>
          <w:p w14:paraId="75846EC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3E0A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A18A38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C80E9D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74BD19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5AFCF81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企业未编制设备检维修计划，未按计划开展检维修工作。安全设施未编入设备检维修计划，未定期检维修。</w:t>
            </w:r>
          </w:p>
        </w:tc>
        <w:tc>
          <w:tcPr>
            <w:tcW w:w="1615" w:type="pct"/>
            <w:shd w:val="clear" w:color="auto" w:fill="auto"/>
            <w:vAlign w:val="center"/>
          </w:tcPr>
          <w:p w14:paraId="458A365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《企业安全生产标准化基本规范》（GB/T33000-2016） 第5.4.1.4条</w:t>
            </w:r>
          </w:p>
        </w:tc>
        <w:tc>
          <w:tcPr>
            <w:tcW w:w="187" w:type="pct"/>
            <w:shd w:val="clear" w:color="auto" w:fill="auto"/>
            <w:vAlign w:val="center"/>
          </w:tcPr>
          <w:p w14:paraId="76A4446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77DB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52C3FB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35FFCA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E71575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19076FA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企业对重点检修项目未编制检维修方案，方案内容未包含作业安全分析、安全风险管控措施、应急处置措施及安全验收标准。</w:t>
            </w:r>
          </w:p>
        </w:tc>
        <w:tc>
          <w:tcPr>
            <w:tcW w:w="1615" w:type="pct"/>
            <w:shd w:val="clear" w:color="auto" w:fill="auto"/>
            <w:vAlign w:val="center"/>
          </w:tcPr>
          <w:p w14:paraId="676DA089">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表5（二）2</w:t>
            </w:r>
          </w:p>
        </w:tc>
        <w:tc>
          <w:tcPr>
            <w:tcW w:w="187" w:type="pct"/>
            <w:shd w:val="clear" w:color="auto" w:fill="auto"/>
            <w:vAlign w:val="center"/>
          </w:tcPr>
          <w:p w14:paraId="347A01E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D38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FD3CDB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F275E6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6D677C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063ED22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企业未建立安全联锁保护系统停运、变更专业会签和技术负责人审批制度。联锁保护系统的管理未满足：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1.联锁逻辑图、定期维修校验记录、临时停用记录等技术资料齐全； </w:t>
            </w:r>
          </w:p>
          <w:p w14:paraId="60E4C8B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2.对工艺和设备联锁回路定期调试； </w:t>
            </w:r>
          </w:p>
          <w:p w14:paraId="123E118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3.联锁保护系统（设定值、联锁程序、联锁方式、取消）变更办理审批手续； </w:t>
            </w:r>
          </w:p>
          <w:p w14:paraId="27A3C1B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4.联锁摘除和恢复办理工作票，没有部门会签和领导签批手续； </w:t>
            </w:r>
          </w:p>
          <w:p w14:paraId="7C62163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5.摘除联锁保护系统有防范措施及整改方案。</w:t>
            </w:r>
          </w:p>
          <w:p w14:paraId="4A927EF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6.</w:t>
            </w:r>
            <w:r>
              <w:rPr>
                <w:rFonts w:hint="eastAsia" w:ascii="仿宋_GB2312" w:hAnsi="等线" w:eastAsia="仿宋_GB2312" w:cs="宋体"/>
                <w:color w:val="000000" w:themeColor="text1"/>
                <w:kern w:val="0"/>
                <w:sz w:val="20"/>
                <w:szCs w:val="20"/>
                <w14:textFill>
                  <w14:solidFill>
                    <w14:schemeClr w14:val="tx1"/>
                  </w14:solidFill>
                </w14:textFill>
              </w:rPr>
              <w:t>涉及重大危险源、</w:t>
            </w:r>
            <w:r>
              <w:rPr>
                <w:rFonts w:ascii="仿宋_GB2312" w:hAnsi="等线" w:eastAsia="仿宋_GB2312" w:cs="宋体"/>
                <w:color w:val="000000" w:themeColor="text1"/>
                <w:kern w:val="0"/>
                <w:sz w:val="20"/>
                <w:szCs w:val="20"/>
                <w14:textFill>
                  <w14:solidFill>
                    <w14:schemeClr w14:val="tx1"/>
                  </w14:solidFill>
                </w14:textFill>
              </w:rPr>
              <w:t>重点监管危险化工工艺的生产装置、储存设施的安全联锁摘除未履行手</w:t>
            </w:r>
            <w:r>
              <w:rPr>
                <w:rFonts w:hint="eastAsia" w:ascii="仿宋_GB2312" w:hAnsi="等线" w:eastAsia="仿宋_GB2312" w:cs="宋体"/>
                <w:color w:val="000000" w:themeColor="text1"/>
                <w:kern w:val="0"/>
                <w:sz w:val="20"/>
                <w:szCs w:val="20"/>
                <w14:textFill>
                  <w14:solidFill>
                    <w14:schemeClr w14:val="tx1"/>
                  </w14:solidFill>
                </w14:textFill>
              </w:rPr>
              <w:t>续，或者未及时恢</w:t>
            </w:r>
            <w:r>
              <w:rPr>
                <w:rFonts w:ascii="仿宋_GB2312" w:hAnsi="等线" w:eastAsia="仿宋_GB2312" w:cs="宋体"/>
                <w:color w:val="000000" w:themeColor="text1"/>
                <w:kern w:val="0"/>
                <w:sz w:val="20"/>
                <w:szCs w:val="20"/>
                <w14:textFill>
                  <w14:solidFill>
                    <w14:schemeClr w14:val="tx1"/>
                  </w14:solidFill>
                </w14:textFill>
              </w:rPr>
              <w:t>复 。</w:t>
            </w:r>
          </w:p>
        </w:tc>
        <w:tc>
          <w:tcPr>
            <w:tcW w:w="1615" w:type="pct"/>
            <w:shd w:val="clear" w:color="auto" w:fill="auto"/>
            <w:vAlign w:val="center"/>
          </w:tcPr>
          <w:p w14:paraId="6E850B8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w:t>
            </w:r>
            <w:r>
              <w:rPr>
                <w:rFonts w:ascii="仿宋_GB2312" w:hAnsi="等线" w:eastAsia="仿宋_GB2312" w:cs="宋体"/>
                <w:color w:val="000000" w:themeColor="text1"/>
                <w:kern w:val="0"/>
                <w:sz w:val="20"/>
                <w:szCs w:val="20"/>
                <w14:textFill>
                  <w14:solidFill>
                    <w14:schemeClr w14:val="tx1"/>
                  </w14:solidFill>
                </w14:textFill>
              </w:rPr>
              <w:t>产法》第三十六条第一款、第三款</w:t>
            </w:r>
          </w:p>
          <w:p w14:paraId="4C4F16B9">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表6（一）6；</w:t>
            </w:r>
            <w:r>
              <w:rPr>
                <w:rFonts w:hint="eastAsia" w:ascii="仿宋_GB2312" w:hAnsi="等线" w:eastAsia="仿宋_GB2312" w:cs="宋体"/>
                <w:color w:val="000000" w:themeColor="text1"/>
                <w:kern w:val="0"/>
                <w:sz w:val="20"/>
                <w:szCs w:val="20"/>
                <w:lang w:eastAsia="zh-CN"/>
                <w14:textFill>
                  <w14:solidFill>
                    <w14:schemeClr w14:val="tx1"/>
                  </w14:solidFill>
                </w14:textFill>
              </w:rPr>
              <w:t>《中华人民共和国特种设备安全法》</w:t>
            </w:r>
            <w:bookmarkStart w:id="0" w:name="_GoBack"/>
            <w:bookmarkEnd w:id="0"/>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6A3155E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756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B1BAD7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669F9A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1DBA63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0B1AD8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未获取、提供化学品安全技术说明书，未在生产的危险化学品包装（包括外包装件）上粘贴、拴挂化学品安全标签。</w:t>
            </w:r>
          </w:p>
        </w:tc>
        <w:tc>
          <w:tcPr>
            <w:tcW w:w="1615" w:type="pct"/>
            <w:shd w:val="clear" w:color="auto" w:fill="auto"/>
            <w:vAlign w:val="center"/>
          </w:tcPr>
          <w:p w14:paraId="7F7144D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《危险化学品安全管理条例》第（国务院令第</w:t>
            </w:r>
            <w:r>
              <w:rPr>
                <w:rFonts w:ascii="仿宋_GB2312" w:hAnsi="等线" w:eastAsia="仿宋_GB2312" w:cs="宋体"/>
                <w:color w:val="000000" w:themeColor="text1"/>
                <w:kern w:val="0"/>
                <w:sz w:val="20"/>
                <w:szCs w:val="20"/>
                <w14:textFill>
                  <w14:solidFill>
                    <w14:schemeClr w14:val="tx1"/>
                  </w14:solidFill>
                </w14:textFill>
              </w:rPr>
              <w:t>591号，国务院令第645号修正）</w:t>
            </w:r>
            <w:r>
              <w:rPr>
                <w:rFonts w:hint="eastAsia" w:ascii="仿宋_GB2312" w:hAnsi="等线" w:eastAsia="仿宋_GB2312" w:cs="宋体"/>
                <w:color w:val="000000" w:themeColor="text1"/>
                <w:kern w:val="0"/>
                <w:sz w:val="20"/>
                <w:szCs w:val="20"/>
                <w14:textFill>
                  <w14:solidFill>
                    <w14:schemeClr w14:val="tx1"/>
                  </w14:solidFill>
                </w14:textFill>
              </w:rPr>
              <w:t>十五条</w:t>
            </w:r>
          </w:p>
        </w:tc>
        <w:tc>
          <w:tcPr>
            <w:tcW w:w="187" w:type="pct"/>
            <w:shd w:val="clear" w:color="auto" w:fill="auto"/>
            <w:vAlign w:val="center"/>
          </w:tcPr>
          <w:p w14:paraId="637606C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63F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BD3870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D5B5F8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0D0987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48B5D4C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未对本企业的危险化学品储存和使用装置、设施或者场所进行重大危险源辨识，并记录辨识过程与结果。</w:t>
            </w:r>
          </w:p>
        </w:tc>
        <w:tc>
          <w:tcPr>
            <w:tcW w:w="1615" w:type="pct"/>
            <w:shd w:val="clear" w:color="auto" w:fill="auto"/>
            <w:vAlign w:val="center"/>
          </w:tcPr>
          <w:p w14:paraId="5C19611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w:t>
            </w:r>
            <w:r>
              <w:rPr>
                <w:rFonts w:ascii="仿宋_GB2312" w:hAnsi="等线" w:eastAsia="仿宋_GB2312" w:cs="宋体"/>
                <w:color w:val="000000" w:themeColor="text1"/>
                <w:kern w:val="0"/>
                <w:sz w:val="20"/>
                <w:szCs w:val="20"/>
                <w14:textFill>
                  <w14:solidFill>
                    <w14:schemeClr w14:val="tx1"/>
                  </w14:solidFill>
                </w14:textFill>
              </w:rPr>
              <w:t>591号，国务院令第645号修正）</w:t>
            </w:r>
          </w:p>
        </w:tc>
        <w:tc>
          <w:tcPr>
            <w:tcW w:w="187" w:type="pct"/>
            <w:shd w:val="clear" w:color="auto" w:fill="auto"/>
            <w:vAlign w:val="center"/>
          </w:tcPr>
          <w:p w14:paraId="03847FE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D05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856C09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152026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3AE5F2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2552884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企业未对所有的重大危险源登记建档，未进行定期检测、评估、监控，并制定应急预案，未告知从业人员和相关人员在紧急情况下应当采取的应急措施。</w:t>
            </w:r>
          </w:p>
        </w:tc>
        <w:tc>
          <w:tcPr>
            <w:tcW w:w="1615" w:type="pct"/>
            <w:shd w:val="clear" w:color="auto" w:fill="auto"/>
            <w:vAlign w:val="center"/>
          </w:tcPr>
          <w:p w14:paraId="3EAA271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w:t>
            </w:r>
            <w:r>
              <w:rPr>
                <w:rFonts w:ascii="仿宋_GB2312" w:hAnsi="等线" w:eastAsia="仿宋_GB2312" w:cs="宋体"/>
                <w:color w:val="000000" w:themeColor="text1"/>
                <w:kern w:val="0"/>
                <w:sz w:val="20"/>
                <w:szCs w:val="20"/>
                <w14:textFill>
                  <w14:solidFill>
                    <w14:schemeClr w14:val="tx1"/>
                  </w14:solidFill>
                </w14:textFill>
              </w:rPr>
              <w:t>591号，国务院令第645号修正）</w:t>
            </w:r>
          </w:p>
        </w:tc>
        <w:tc>
          <w:tcPr>
            <w:tcW w:w="187" w:type="pct"/>
            <w:shd w:val="clear" w:color="auto" w:fill="auto"/>
            <w:vAlign w:val="center"/>
          </w:tcPr>
          <w:p w14:paraId="48FA175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D6E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66C3C8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42DCBB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CEA3DD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53CBA4B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事故隐患排查治理情况未如</w:t>
            </w:r>
            <w:r>
              <w:rPr>
                <w:rFonts w:ascii="仿宋_GB2312" w:hAnsi="等线" w:eastAsia="仿宋_GB2312" w:cs="宋体"/>
                <w:color w:val="000000" w:themeColor="text1"/>
                <w:kern w:val="0"/>
                <w:sz w:val="20"/>
                <w:szCs w:val="20"/>
                <w14:textFill>
                  <w14:solidFill>
                    <w14:schemeClr w14:val="tx1"/>
                  </w14:solidFill>
                </w14:textFill>
              </w:rPr>
              <w:t>实记录，</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通过职工大会或者职工代表大会、信息公示栏等方式向从业人员通报。</w:t>
            </w:r>
          </w:p>
        </w:tc>
        <w:tc>
          <w:tcPr>
            <w:tcW w:w="1615" w:type="pct"/>
            <w:shd w:val="clear" w:color="auto" w:fill="auto"/>
            <w:vAlign w:val="center"/>
          </w:tcPr>
          <w:p w14:paraId="7E136CB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w:t>
            </w:r>
            <w:r>
              <w:rPr>
                <w:rFonts w:ascii="仿宋_GB2312" w:hAnsi="等线" w:eastAsia="仿宋_GB2312" w:cs="宋体"/>
                <w:color w:val="000000" w:themeColor="text1"/>
                <w:kern w:val="0"/>
                <w:sz w:val="20"/>
                <w:szCs w:val="20"/>
                <w14:textFill>
                  <w14:solidFill>
                    <w14:schemeClr w14:val="tx1"/>
                  </w14:solidFill>
                </w14:textFill>
              </w:rPr>
              <w:t>产法》第四十一条第一款、第二款</w:t>
            </w:r>
          </w:p>
        </w:tc>
        <w:tc>
          <w:tcPr>
            <w:tcW w:w="187" w:type="pct"/>
            <w:shd w:val="clear" w:color="auto" w:fill="auto"/>
            <w:vAlign w:val="center"/>
          </w:tcPr>
          <w:p w14:paraId="7190274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E5C7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5272D3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1C6DE6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660BF3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317CA9E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承包商管理制度，未按制度要求对承包商资格预审、选择、开工前准备、作业过程监督、表现评价、续用等过程进行管理；未与选用的承包商签订安全协议书，未定期识别与采购有关的风险。未将外包外租等生产经营活动纳入本企业安全生产管理体系，未对承包商作业现场进行全程安全监督。</w:t>
            </w:r>
          </w:p>
        </w:tc>
        <w:tc>
          <w:tcPr>
            <w:tcW w:w="1615" w:type="pct"/>
            <w:shd w:val="clear" w:color="auto" w:fill="auto"/>
            <w:vAlign w:val="center"/>
          </w:tcPr>
          <w:p w14:paraId="037D6F0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《危险化学品从业单位安全标准化通用规范》（AQ 3013-2008）第5.6.4.2条</w:t>
            </w:r>
          </w:p>
          <w:p w14:paraId="52CA3EC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《北京市危险化学品安全风险隐患大排查大整治工作实施方案》</w:t>
            </w:r>
          </w:p>
        </w:tc>
        <w:tc>
          <w:tcPr>
            <w:tcW w:w="187" w:type="pct"/>
            <w:shd w:val="clear" w:color="auto" w:fill="auto"/>
            <w:vAlign w:val="center"/>
          </w:tcPr>
          <w:p w14:paraId="135C422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EFE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071D68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40CA07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F926D4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405D3EE4">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企业未建立大机组管理制度。</w:t>
            </w:r>
          </w:p>
        </w:tc>
        <w:tc>
          <w:tcPr>
            <w:tcW w:w="1615" w:type="pct"/>
            <w:shd w:val="clear" w:color="auto" w:fill="auto"/>
            <w:vAlign w:val="center"/>
          </w:tcPr>
          <w:p w14:paraId="1537C9BB">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250157B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D93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B5E3E9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5436D8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65FF8C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3ACD17F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企业未建立仪表自动化控制系统安全管理、日常维护保养等制度并实施。</w:t>
            </w:r>
          </w:p>
        </w:tc>
        <w:tc>
          <w:tcPr>
            <w:tcW w:w="1615" w:type="pct"/>
            <w:shd w:val="clear" w:color="auto" w:fill="auto"/>
            <w:vAlign w:val="center"/>
          </w:tcPr>
          <w:p w14:paraId="7F85DFA7">
            <w:pPr>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第十六条</w:t>
            </w:r>
          </w:p>
        </w:tc>
        <w:tc>
          <w:tcPr>
            <w:tcW w:w="187" w:type="pct"/>
            <w:shd w:val="clear" w:color="auto" w:fill="auto"/>
            <w:vAlign w:val="center"/>
          </w:tcPr>
          <w:p w14:paraId="124CD84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B89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63BF2D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B4D161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63FC74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2086A07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新（改、扩）建装置和大修装置的仪表自动化控制系统投用前、长期停用的仪表自动化控制系统再次启用前，未进行检查确认。</w:t>
            </w:r>
          </w:p>
        </w:tc>
        <w:tc>
          <w:tcPr>
            <w:tcW w:w="1615" w:type="pct"/>
            <w:shd w:val="clear" w:color="auto" w:fill="auto"/>
            <w:vAlign w:val="center"/>
          </w:tcPr>
          <w:p w14:paraId="005F6C0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第十六条</w:t>
            </w:r>
          </w:p>
        </w:tc>
        <w:tc>
          <w:tcPr>
            <w:tcW w:w="187" w:type="pct"/>
            <w:shd w:val="clear" w:color="auto" w:fill="auto"/>
            <w:vAlign w:val="center"/>
          </w:tcPr>
          <w:p w14:paraId="717EAD8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CE9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A1989F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758E8A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ABCF5B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46896CD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对涉及“两重点一重大”的需要配置安全仪表系统的化工装置未开展安全仪表功能评估。</w:t>
            </w:r>
          </w:p>
        </w:tc>
        <w:tc>
          <w:tcPr>
            <w:tcW w:w="1615" w:type="pct"/>
            <w:shd w:val="clear" w:color="auto" w:fill="auto"/>
            <w:vAlign w:val="center"/>
          </w:tcPr>
          <w:p w14:paraId="1946C40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《国家安全监管总局关于加强化工安全仪表系统管理的指导意见》（安监总管三〔2014〕116号） 第十四条</w:t>
            </w:r>
          </w:p>
        </w:tc>
        <w:tc>
          <w:tcPr>
            <w:tcW w:w="187" w:type="pct"/>
            <w:shd w:val="clear" w:color="auto" w:fill="auto"/>
            <w:vAlign w:val="center"/>
          </w:tcPr>
          <w:p w14:paraId="235A8A7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9C44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FD87DA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0EF2D3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8A8221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767E449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企业未建立设备设施缺陷的辨识、分析、报告、处理的闭环管理机制。</w:t>
            </w:r>
          </w:p>
        </w:tc>
        <w:tc>
          <w:tcPr>
            <w:tcW w:w="1615" w:type="pct"/>
            <w:shd w:val="clear" w:color="auto" w:fill="auto"/>
            <w:vAlign w:val="center"/>
          </w:tcPr>
          <w:p w14:paraId="4726B8B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《化工过程安全管理导则》（AQ/T3034-2022） 第4.10.7条</w:t>
            </w:r>
          </w:p>
        </w:tc>
        <w:tc>
          <w:tcPr>
            <w:tcW w:w="187" w:type="pct"/>
            <w:shd w:val="clear" w:color="auto" w:fill="auto"/>
            <w:vAlign w:val="center"/>
          </w:tcPr>
          <w:p w14:paraId="066D3CD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2863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804D58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F4E820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A973ED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0AEAE70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企业未建立设备报废和拆除程序，未明确报废的标准和拆除的安全要求。</w:t>
            </w:r>
          </w:p>
        </w:tc>
        <w:tc>
          <w:tcPr>
            <w:tcW w:w="1615" w:type="pct"/>
            <w:shd w:val="clear" w:color="auto" w:fill="auto"/>
            <w:vAlign w:val="center"/>
          </w:tcPr>
          <w:p w14:paraId="7067FCD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《化工企业工艺安全管理实施导则》（AQ/T 3034-2010） 第4.7.3条</w:t>
            </w:r>
          </w:p>
        </w:tc>
        <w:tc>
          <w:tcPr>
            <w:tcW w:w="187" w:type="pct"/>
            <w:shd w:val="clear" w:color="auto" w:fill="auto"/>
            <w:vAlign w:val="center"/>
          </w:tcPr>
          <w:p w14:paraId="7871182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F05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E6E884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631B2D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321779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0D56FF2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拆除装置设施前，企业未对作业过程进行危险识别、风险评估。</w:t>
            </w:r>
          </w:p>
        </w:tc>
        <w:tc>
          <w:tcPr>
            <w:tcW w:w="1615" w:type="pct"/>
            <w:shd w:val="clear" w:color="auto" w:fill="auto"/>
            <w:vAlign w:val="center"/>
          </w:tcPr>
          <w:p w14:paraId="3D4B510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《危险化学品企业装置设施拆除安全管理规范》（</w:t>
            </w:r>
            <w:r>
              <w:rPr>
                <w:rFonts w:ascii="仿宋_GB2312" w:hAnsi="等线" w:eastAsia="仿宋_GB2312" w:cs="宋体"/>
                <w:color w:val="000000" w:themeColor="text1"/>
                <w:kern w:val="0"/>
                <w:sz w:val="20"/>
                <w:szCs w:val="20"/>
                <w14:textFill>
                  <w14:solidFill>
                    <w14:schemeClr w14:val="tx1"/>
                  </w14:solidFill>
                </w14:textFill>
              </w:rPr>
              <w:t>DB11/T 1655-2019）第4.1条</w:t>
            </w:r>
          </w:p>
        </w:tc>
        <w:tc>
          <w:tcPr>
            <w:tcW w:w="187" w:type="pct"/>
            <w:shd w:val="clear" w:color="auto" w:fill="auto"/>
            <w:vAlign w:val="center"/>
          </w:tcPr>
          <w:p w14:paraId="1C30F86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DA4F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242691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0D56A8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400833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6D64680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设备的报废未办理审批手续，报废的设备拆除前未制定方案及管控措施。</w:t>
            </w:r>
          </w:p>
        </w:tc>
        <w:tc>
          <w:tcPr>
            <w:tcW w:w="1615" w:type="pct"/>
            <w:shd w:val="clear" w:color="auto" w:fill="auto"/>
            <w:vAlign w:val="center"/>
          </w:tcPr>
          <w:p w14:paraId="658C383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《企业安全生产标准化基本规范》（GB/T33000-2016） 第5.4.1.6条</w:t>
            </w:r>
          </w:p>
        </w:tc>
        <w:tc>
          <w:tcPr>
            <w:tcW w:w="187" w:type="pct"/>
            <w:shd w:val="clear" w:color="auto" w:fill="auto"/>
            <w:vAlign w:val="center"/>
          </w:tcPr>
          <w:p w14:paraId="2AFC5A4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9FF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07CE64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AD1B21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F37465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5DB0AB8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未按企业实际制定、实施安全生产管理制度：</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1）安全生产例会等安全生产会议制度；（2）安全投入保障制度；（3）安全生产奖惩制度；（4）安全培训教育制度；（5）领导干部轮流现场带班制度；（6）特种作业人员管理制度；（7）安全检查和隐患排查治理制度；（8）重大危险源评估和安全管理制度；（9）变更管理制度；（10）应急管理制度；（11）生产安全事故或者重大事件管理制度；（12）防火、防爆、防中毒、防泄漏管理制度；（13）工艺、设备、电气仪表、公用工程安全管理制度；（14）动火、进入受限空间、吊装、高处、盲板抽堵、动土、断路、设备检维修等作业安全管理制度；（15）危险化学品安全管理制度；（16）安全风险分级管控制度；（17）劳动防护用品使用维护管理；（18）承包商管理制度；（19）安全管理制度及操作规程定期修订制度；（20）生产安全事故报告和处理制度；（21）安全风险研判与承诺公告制度；（22）安全生产信息管理制度；（23）反“三违”（违章指挥、违章作业、违反劳动纪律）机制；（23）事故隐患责任倒查考核机制。</w:t>
            </w:r>
          </w:p>
        </w:tc>
        <w:tc>
          <w:tcPr>
            <w:tcW w:w="1615" w:type="pct"/>
            <w:shd w:val="clear" w:color="auto" w:fill="auto"/>
            <w:vAlign w:val="center"/>
          </w:tcPr>
          <w:p w14:paraId="6DF4334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四条；《危险化学品生产企业安全生产许可证实施办法》第十四条；《北京市安全生产条例》第四条；《北京市生产经营单位安全生产主体责任规定》第三条；《应急管理部关于全面实施危险化学品企业安全风险研判与承诺公告制度的通知》（应急〔2018〕74号）第一条、第四条；《北京市危险化学品安全风险隐患大排查大整治工作实施方案》（一）</w:t>
            </w:r>
          </w:p>
        </w:tc>
        <w:tc>
          <w:tcPr>
            <w:tcW w:w="187" w:type="pct"/>
            <w:shd w:val="clear" w:color="auto" w:fill="auto"/>
            <w:vAlign w:val="center"/>
          </w:tcPr>
          <w:p w14:paraId="227DCE2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21C4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0B750D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B9B81E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AB05F8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制度类</w:t>
            </w:r>
          </w:p>
        </w:tc>
        <w:tc>
          <w:tcPr>
            <w:tcW w:w="1859" w:type="pct"/>
            <w:shd w:val="clear" w:color="auto" w:fill="auto"/>
            <w:vAlign w:val="center"/>
          </w:tcPr>
          <w:p w14:paraId="6281668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危险化学品企业“五项制度”（“主要负责人考核”、“主要负责人述责述安”、“专职安全总监和注册安全工程师”、“安全风险研判”和“安全承诺公告”）不落实。</w:t>
            </w:r>
          </w:p>
        </w:tc>
        <w:tc>
          <w:tcPr>
            <w:tcW w:w="1615" w:type="pct"/>
            <w:shd w:val="clear" w:color="auto" w:fill="auto"/>
            <w:vAlign w:val="center"/>
          </w:tcPr>
          <w:p w14:paraId="189BB96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《北京市应急管理局关于在危险化学品重点企业全面实施“五项制度”的通知》（</w:t>
            </w:r>
            <w:r>
              <w:rPr>
                <w:rFonts w:ascii="仿宋_GB2312" w:hAnsi="等线" w:eastAsia="仿宋_GB2312" w:cs="宋体"/>
                <w:color w:val="000000" w:themeColor="text1"/>
                <w:kern w:val="0"/>
                <w:sz w:val="20"/>
                <w:szCs w:val="20"/>
                <w14:textFill>
                  <w14:solidFill>
                    <w14:schemeClr w14:val="tx1"/>
                  </w14:solidFill>
                </w14:textFill>
              </w:rPr>
              <w:t>京应急通〔2018〕6 号</w:t>
            </w:r>
            <w:r>
              <w:rPr>
                <w:rFonts w:hint="eastAsia" w:ascii="仿宋_GB2312" w:hAnsi="等线" w:eastAsia="仿宋_GB2312" w:cs="宋体"/>
                <w:color w:val="000000" w:themeColor="text1"/>
                <w:kern w:val="0"/>
                <w:sz w:val="20"/>
                <w:szCs w:val="20"/>
                <w14:textFill>
                  <w14:solidFill>
                    <w14:schemeClr w14:val="tx1"/>
                  </w14:solidFill>
                </w14:textFill>
              </w:rPr>
              <w:t>）</w:t>
            </w:r>
          </w:p>
        </w:tc>
        <w:tc>
          <w:tcPr>
            <w:tcW w:w="187" w:type="pct"/>
            <w:shd w:val="clear" w:color="auto" w:fill="auto"/>
            <w:vAlign w:val="center"/>
          </w:tcPr>
          <w:p w14:paraId="1423118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D5C6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20" w:type="pct"/>
            <w:shd w:val="clear" w:color="000000" w:fill="FFFFFF"/>
            <w:vAlign w:val="center"/>
          </w:tcPr>
          <w:p w14:paraId="43DD739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278D2B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00237D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操作规程类</w:t>
            </w:r>
          </w:p>
        </w:tc>
        <w:tc>
          <w:tcPr>
            <w:tcW w:w="1859" w:type="pct"/>
            <w:shd w:val="clear" w:color="auto" w:fill="auto"/>
            <w:vAlign w:val="center"/>
          </w:tcPr>
          <w:p w14:paraId="42EEF9F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未制定操作规程和工艺控制指标。</w:t>
            </w:r>
          </w:p>
        </w:tc>
        <w:tc>
          <w:tcPr>
            <w:tcW w:w="1615" w:type="pct"/>
            <w:shd w:val="clear" w:color="auto" w:fill="auto"/>
            <w:vAlign w:val="center"/>
          </w:tcPr>
          <w:p w14:paraId="742D76B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《化工和危险化学品生产经营单位重大生产安全事故隐患判定标准（试行）》第十七条</w:t>
            </w:r>
          </w:p>
        </w:tc>
        <w:tc>
          <w:tcPr>
            <w:tcW w:w="187" w:type="pct"/>
            <w:shd w:val="clear" w:color="auto" w:fill="auto"/>
            <w:vAlign w:val="center"/>
          </w:tcPr>
          <w:p w14:paraId="17B8AA8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74733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D707D3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159567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679162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操作规程类</w:t>
            </w:r>
          </w:p>
        </w:tc>
        <w:tc>
          <w:tcPr>
            <w:tcW w:w="1859" w:type="pct"/>
            <w:shd w:val="clear" w:color="auto" w:fill="auto"/>
            <w:vAlign w:val="center"/>
          </w:tcPr>
          <w:p w14:paraId="394B391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企业未编制关键设备的操作和维护规程。</w:t>
            </w:r>
          </w:p>
        </w:tc>
        <w:tc>
          <w:tcPr>
            <w:tcW w:w="1615" w:type="pct"/>
            <w:shd w:val="clear" w:color="auto" w:fill="auto"/>
            <w:vAlign w:val="center"/>
          </w:tcPr>
          <w:p w14:paraId="4782865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第十六条</w:t>
            </w:r>
          </w:p>
        </w:tc>
        <w:tc>
          <w:tcPr>
            <w:tcW w:w="187" w:type="pct"/>
            <w:shd w:val="clear" w:color="auto" w:fill="auto"/>
            <w:vAlign w:val="center"/>
          </w:tcPr>
          <w:p w14:paraId="576F9AB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1D14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FBE9EE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B82F18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999B19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操作规程类</w:t>
            </w:r>
          </w:p>
        </w:tc>
        <w:tc>
          <w:tcPr>
            <w:tcW w:w="1859" w:type="pct"/>
            <w:shd w:val="clear" w:color="auto" w:fill="auto"/>
            <w:vAlign w:val="center"/>
          </w:tcPr>
          <w:p w14:paraId="24710F0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最新版安全操作规程未及时发放到作业现场、相关岗位或人员。</w:t>
            </w:r>
          </w:p>
        </w:tc>
        <w:tc>
          <w:tcPr>
            <w:tcW w:w="1615" w:type="pct"/>
            <w:shd w:val="clear" w:color="auto" w:fill="auto"/>
            <w:vAlign w:val="center"/>
          </w:tcPr>
          <w:p w14:paraId="69EBB69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《关于加强化工过程安全管理的指导意见》（安监总管三〔2013〕88号） 第十六条</w:t>
            </w:r>
          </w:p>
        </w:tc>
        <w:tc>
          <w:tcPr>
            <w:tcW w:w="187" w:type="pct"/>
            <w:shd w:val="clear" w:color="auto" w:fill="auto"/>
            <w:vAlign w:val="center"/>
          </w:tcPr>
          <w:p w14:paraId="2270B20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138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80AAF4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3546EA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883713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操作规程类</w:t>
            </w:r>
          </w:p>
        </w:tc>
        <w:tc>
          <w:tcPr>
            <w:tcW w:w="1859" w:type="pct"/>
            <w:shd w:val="clear" w:color="auto" w:fill="auto"/>
            <w:vAlign w:val="center"/>
          </w:tcPr>
          <w:p w14:paraId="04BA0D9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工艺、设备发生变化后未及时修订或更新岗位安全操作规程，并保存相关记录。</w:t>
            </w:r>
          </w:p>
          <w:p w14:paraId="3D72A07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在新工艺、新技术、新装置、新产品投产或投用前，未组织编制新的或更新安全操作规程。</w:t>
            </w:r>
          </w:p>
        </w:tc>
        <w:tc>
          <w:tcPr>
            <w:tcW w:w="1615" w:type="pct"/>
            <w:shd w:val="clear" w:color="auto" w:fill="auto"/>
            <w:vAlign w:val="center"/>
          </w:tcPr>
          <w:p w14:paraId="787D631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第十六条</w:t>
            </w:r>
          </w:p>
        </w:tc>
        <w:tc>
          <w:tcPr>
            <w:tcW w:w="187" w:type="pct"/>
            <w:shd w:val="clear" w:color="auto" w:fill="auto"/>
            <w:vAlign w:val="center"/>
          </w:tcPr>
          <w:p w14:paraId="7732B07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3614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810C30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F77258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E0E730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操作规程类</w:t>
            </w:r>
          </w:p>
        </w:tc>
        <w:tc>
          <w:tcPr>
            <w:tcW w:w="1859" w:type="pct"/>
            <w:shd w:val="clear" w:color="auto" w:fill="auto"/>
            <w:vAlign w:val="center"/>
          </w:tcPr>
          <w:p w14:paraId="4442DEAA">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机组轴（承）振动、温度、转子轴位移大于等于报警值。</w:t>
            </w:r>
          </w:p>
        </w:tc>
        <w:tc>
          <w:tcPr>
            <w:tcW w:w="1615" w:type="pct"/>
            <w:shd w:val="clear" w:color="auto" w:fill="auto"/>
            <w:vAlign w:val="center"/>
          </w:tcPr>
          <w:p w14:paraId="2285BD50">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37AB985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020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6DB1BF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AEABE4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9E0D69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282F19D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企业无力解决的重大事故隐患，未采取有效防范措施，未书面向企业直接主管部门和当地政府报告。</w:t>
            </w:r>
          </w:p>
        </w:tc>
        <w:tc>
          <w:tcPr>
            <w:tcW w:w="1615" w:type="pct"/>
            <w:shd w:val="clear" w:color="auto" w:fill="auto"/>
            <w:vAlign w:val="center"/>
          </w:tcPr>
          <w:p w14:paraId="0345343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w:t>
            </w:r>
            <w:r>
              <w:rPr>
                <w:rFonts w:ascii="仿宋_GB2312" w:hAnsi="等线" w:eastAsia="仿宋_GB2312" w:cs="宋体"/>
                <w:color w:val="000000" w:themeColor="text1"/>
                <w:kern w:val="0"/>
                <w:sz w:val="20"/>
                <w:szCs w:val="20"/>
                <w14:textFill>
                  <w14:solidFill>
                    <w14:schemeClr w14:val="tx1"/>
                  </w14:solidFill>
                </w14:textFill>
              </w:rPr>
              <w:t>AQ 3013-2008）第5.2.4.3条</w:t>
            </w:r>
          </w:p>
        </w:tc>
        <w:tc>
          <w:tcPr>
            <w:tcW w:w="187" w:type="pct"/>
            <w:shd w:val="clear" w:color="auto" w:fill="auto"/>
            <w:vAlign w:val="center"/>
          </w:tcPr>
          <w:p w14:paraId="23D26E2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41A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B058D9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BB78B3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982C03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60DCCB5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企业对不具备整改条件的重大事故隐患，未采取防范措施，未纳入计划，限期解决或停产。</w:t>
            </w:r>
          </w:p>
        </w:tc>
        <w:tc>
          <w:tcPr>
            <w:tcW w:w="1615" w:type="pct"/>
            <w:shd w:val="clear" w:color="auto" w:fill="auto"/>
            <w:vAlign w:val="center"/>
          </w:tcPr>
          <w:p w14:paraId="2A93F24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w:t>
            </w:r>
            <w:r>
              <w:rPr>
                <w:rFonts w:ascii="仿宋_GB2312" w:hAnsi="等线" w:eastAsia="仿宋_GB2312" w:cs="宋体"/>
                <w:color w:val="000000" w:themeColor="text1"/>
                <w:kern w:val="0"/>
                <w:sz w:val="20"/>
                <w:szCs w:val="20"/>
                <w14:textFill>
                  <w14:solidFill>
                    <w14:schemeClr w14:val="tx1"/>
                  </w14:solidFill>
                </w14:textFill>
              </w:rPr>
              <w:t>AQ 3013-2008）第5.2.4.4条</w:t>
            </w:r>
          </w:p>
        </w:tc>
        <w:tc>
          <w:tcPr>
            <w:tcW w:w="187" w:type="pct"/>
            <w:shd w:val="clear" w:color="auto" w:fill="auto"/>
            <w:vAlign w:val="center"/>
          </w:tcPr>
          <w:p w14:paraId="774D002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E469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308A3A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E8D4E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763C7B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6A741EC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企业未对设备变更进行严格管理：</w:t>
            </w:r>
          </w:p>
          <w:p w14:paraId="2191FCD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1</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变更</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履行申请、审批、实施、验收程序。</w:t>
            </w:r>
          </w:p>
          <w:p w14:paraId="271F130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2</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全面分析变更后可能产生的安全风险，</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制定并落实安全风险管控措施。</w:t>
            </w:r>
          </w:p>
          <w:p w14:paraId="2B3C559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3</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变更后企业</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对相关规程、图纸资料等安全生产信息进行更新；</w:t>
            </w:r>
          </w:p>
          <w:p w14:paraId="79D93EA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4</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变更后</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对相关人员进行培训，以掌握变更内容、安全生产信息更新情况、变更后可能产生的安全风险及采取的管控措施。</w:t>
            </w:r>
          </w:p>
        </w:tc>
        <w:tc>
          <w:tcPr>
            <w:tcW w:w="1615" w:type="pct"/>
            <w:shd w:val="clear" w:color="auto" w:fill="auto"/>
            <w:vAlign w:val="center"/>
          </w:tcPr>
          <w:p w14:paraId="7472BEF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《关于危险化学品企业贯彻落实</w:t>
            </w:r>
            <w:r>
              <w:rPr>
                <w:rFonts w:ascii="仿宋_GB2312" w:hAnsi="等线" w:eastAsia="仿宋_GB2312" w:cs="宋体"/>
                <w:color w:val="000000" w:themeColor="text1"/>
                <w:kern w:val="0"/>
                <w:sz w:val="20"/>
                <w:szCs w:val="20"/>
                <w14:textFill>
                  <w14:solidFill>
                    <w14:schemeClr w14:val="tx1"/>
                  </w14:solidFill>
                </w14:textFill>
              </w:rPr>
              <w:t>&lt;国务院关于进一步加强企业安全生产工作的通知&gt;的实施意见》（安监总管三〔2010〕186号）第十二条</w:t>
            </w:r>
          </w:p>
        </w:tc>
        <w:tc>
          <w:tcPr>
            <w:tcW w:w="187" w:type="pct"/>
            <w:shd w:val="clear" w:color="auto" w:fill="auto"/>
            <w:vAlign w:val="center"/>
          </w:tcPr>
          <w:p w14:paraId="296B479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E694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7894D9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E4DB5E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401CA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70452EB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未按照规定要求对安全生产检查、安全生产隐患排查治理、安全生产事故管理、安全工作考核与奖惩、安全生产设施设备及维护等进行记录和档案留存。</w:t>
            </w:r>
          </w:p>
        </w:tc>
        <w:tc>
          <w:tcPr>
            <w:tcW w:w="1615" w:type="pct"/>
            <w:shd w:val="clear" w:color="auto" w:fill="auto"/>
            <w:vAlign w:val="center"/>
          </w:tcPr>
          <w:p w14:paraId="7B1DD22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《中华人民共和国安全生产法》第二十八条；《北京市安全生产条例》第二十二条；</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《北京市生产经营单位安全生产主体责任规定》第十七条、第十八条</w:t>
            </w:r>
          </w:p>
        </w:tc>
        <w:tc>
          <w:tcPr>
            <w:tcW w:w="187" w:type="pct"/>
            <w:shd w:val="clear" w:color="auto" w:fill="auto"/>
            <w:vAlign w:val="center"/>
          </w:tcPr>
          <w:p w14:paraId="400CD64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4B2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927786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EBF7D8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4CF6EE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6A7E852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企业未根据需求调查编制年度安全教育培训计划。</w:t>
            </w:r>
          </w:p>
        </w:tc>
        <w:tc>
          <w:tcPr>
            <w:tcW w:w="1615" w:type="pct"/>
            <w:shd w:val="clear" w:color="auto" w:fill="auto"/>
            <w:vAlign w:val="center"/>
          </w:tcPr>
          <w:p w14:paraId="206C23D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《安全生产等级评定技术规范</w:t>
            </w:r>
            <w:r>
              <w:rPr>
                <w:rFonts w:ascii="仿宋_GB2312" w:hAnsi="等线" w:eastAsia="仿宋_GB2312" w:cs="宋体"/>
                <w:color w:val="000000" w:themeColor="text1"/>
                <w:kern w:val="0"/>
                <w:sz w:val="20"/>
                <w:szCs w:val="20"/>
                <w14:textFill>
                  <w14:solidFill>
                    <w14:schemeClr w14:val="tx1"/>
                  </w14:solidFill>
                </w14:textFill>
              </w:rPr>
              <w:t xml:space="preserve"> 第2部分》（DB11/T 1322.2-2017）第3.1.5.1条</w:t>
            </w:r>
          </w:p>
        </w:tc>
        <w:tc>
          <w:tcPr>
            <w:tcW w:w="187" w:type="pct"/>
            <w:shd w:val="clear" w:color="auto" w:fill="auto"/>
            <w:vAlign w:val="center"/>
          </w:tcPr>
          <w:p w14:paraId="182EEC4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0E4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6F3F48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887954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9F8EC8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612D897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生产经营单位未建立健全从业人员安全生产教育和培训档案，由生产经营单位的安全生产管理机构以及安全生产管理人员未详细、准确记录培训的时间、内容、参加人员以及考核结果等情况。</w:t>
            </w:r>
          </w:p>
        </w:tc>
        <w:tc>
          <w:tcPr>
            <w:tcW w:w="1615" w:type="pct"/>
            <w:shd w:val="clear" w:color="auto" w:fill="auto"/>
            <w:vAlign w:val="center"/>
          </w:tcPr>
          <w:p w14:paraId="5A7A1E8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《生产经营单位安全培训规定》（国家安全监管总局令第</w:t>
            </w:r>
            <w:r>
              <w:rPr>
                <w:rFonts w:ascii="仿宋_GB2312" w:hAnsi="等线" w:eastAsia="仿宋_GB2312" w:cs="宋体"/>
                <w:color w:val="000000" w:themeColor="text1"/>
                <w:kern w:val="0"/>
                <w:sz w:val="20"/>
                <w:szCs w:val="20"/>
                <w14:textFill>
                  <w14:solidFill>
                    <w14:schemeClr w14:val="tx1"/>
                  </w14:solidFill>
                </w14:textFill>
              </w:rPr>
              <w:t>3号）第二十二条</w:t>
            </w:r>
          </w:p>
        </w:tc>
        <w:tc>
          <w:tcPr>
            <w:tcW w:w="187" w:type="pct"/>
            <w:shd w:val="clear" w:color="auto" w:fill="auto"/>
            <w:vAlign w:val="center"/>
          </w:tcPr>
          <w:p w14:paraId="5E17E82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4BDB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35273B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3EED38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47AFB4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0649918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企业未建立岗位操作记录，未对运行工况定时进行监测、检查，或未及时处置工艺报警并记录。</w:t>
            </w:r>
          </w:p>
        </w:tc>
        <w:tc>
          <w:tcPr>
            <w:tcW w:w="1615" w:type="pct"/>
            <w:shd w:val="clear" w:color="auto" w:fill="auto"/>
            <w:vAlign w:val="center"/>
          </w:tcPr>
          <w:p w14:paraId="13DAD06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第九条</w:t>
            </w:r>
          </w:p>
        </w:tc>
        <w:tc>
          <w:tcPr>
            <w:tcW w:w="187" w:type="pct"/>
            <w:shd w:val="clear" w:color="auto" w:fill="auto"/>
            <w:vAlign w:val="center"/>
          </w:tcPr>
          <w:p w14:paraId="54AEC6A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112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E39E60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5F8953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6C3D28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57FCE75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企业未建立设备台账管理、装置泄漏检测管理等制度，企业未对设备定期进行巡回检查，未建立设备定期检查记录。</w:t>
            </w:r>
          </w:p>
        </w:tc>
        <w:tc>
          <w:tcPr>
            <w:tcW w:w="1615" w:type="pct"/>
            <w:shd w:val="clear" w:color="auto" w:fill="auto"/>
            <w:vAlign w:val="center"/>
          </w:tcPr>
          <w:p w14:paraId="4FA1F26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w:t>
            </w:r>
            <w:r>
              <w:rPr>
                <w:rFonts w:ascii="仿宋_GB2312" w:hAnsi="等线" w:eastAsia="仿宋_GB2312" w:cs="宋体"/>
                <w:color w:val="000000" w:themeColor="text1"/>
                <w:kern w:val="0"/>
                <w:sz w:val="20"/>
                <w:szCs w:val="20"/>
                <w14:textFill>
                  <w14:solidFill>
                    <w14:schemeClr w14:val="tx1"/>
                  </w14:solidFill>
                </w14:textFill>
              </w:rPr>
              <w:t>2013〕88号）第十六条</w:t>
            </w:r>
          </w:p>
          <w:p w14:paraId="08242AD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表5（一）5</w:t>
            </w:r>
          </w:p>
        </w:tc>
        <w:tc>
          <w:tcPr>
            <w:tcW w:w="187" w:type="pct"/>
            <w:shd w:val="clear" w:color="auto" w:fill="auto"/>
            <w:vAlign w:val="center"/>
          </w:tcPr>
          <w:p w14:paraId="0F5D0D3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5884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9F9FD3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0166C0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15B069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7A1F897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企业未定期对监视和测量设备进行校准和维护，未保存校准和维护活动的记录。</w:t>
            </w:r>
          </w:p>
        </w:tc>
        <w:tc>
          <w:tcPr>
            <w:tcW w:w="1615" w:type="pct"/>
            <w:shd w:val="clear" w:color="auto" w:fill="auto"/>
            <w:vAlign w:val="center"/>
          </w:tcPr>
          <w:p w14:paraId="3242578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《危险化学品从业单位安全标准化通用规范》（AQ3013-2008） 第5.5.2.5条</w:t>
            </w:r>
          </w:p>
        </w:tc>
        <w:tc>
          <w:tcPr>
            <w:tcW w:w="187" w:type="pct"/>
            <w:shd w:val="clear" w:color="auto" w:fill="auto"/>
            <w:vAlign w:val="center"/>
          </w:tcPr>
          <w:p w14:paraId="38A6ED8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1AC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0BAB6C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B9EC70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F10E49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29E25C2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企业未对所有危险化学品进行普查，未建立危险化学品档案</w:t>
            </w:r>
          </w:p>
        </w:tc>
        <w:tc>
          <w:tcPr>
            <w:tcW w:w="1615" w:type="pct"/>
            <w:shd w:val="clear" w:color="auto" w:fill="auto"/>
            <w:vAlign w:val="center"/>
          </w:tcPr>
          <w:p w14:paraId="226027B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w:t>
            </w:r>
            <w:r>
              <w:rPr>
                <w:rFonts w:ascii="仿宋_GB2312" w:hAnsi="等线" w:eastAsia="仿宋_GB2312" w:cs="宋体"/>
                <w:color w:val="000000" w:themeColor="text1"/>
                <w:kern w:val="0"/>
                <w:sz w:val="20"/>
                <w:szCs w:val="20"/>
                <w14:textFill>
                  <w14:solidFill>
                    <w14:schemeClr w14:val="tx1"/>
                  </w14:solidFill>
                </w14:textFill>
              </w:rPr>
              <w:t>AQ 3013-2008）第5.7.1条</w:t>
            </w:r>
          </w:p>
        </w:tc>
        <w:tc>
          <w:tcPr>
            <w:tcW w:w="187" w:type="pct"/>
            <w:shd w:val="clear" w:color="auto" w:fill="auto"/>
            <w:vAlign w:val="center"/>
          </w:tcPr>
          <w:p w14:paraId="2C5DBED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42C1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ABC2D8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57A394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0A790C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592438D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企业未建立不可接受安全风险清单；</w:t>
            </w:r>
          </w:p>
        </w:tc>
        <w:tc>
          <w:tcPr>
            <w:tcW w:w="1615" w:type="pct"/>
            <w:shd w:val="clear" w:color="auto" w:fill="auto"/>
            <w:vAlign w:val="center"/>
          </w:tcPr>
          <w:p w14:paraId="21F8CCE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w:t>
            </w:r>
            <w:r>
              <w:rPr>
                <w:rFonts w:ascii="仿宋_GB2312" w:hAnsi="等线" w:eastAsia="仿宋_GB2312" w:cs="宋体"/>
                <w:color w:val="000000" w:themeColor="text1"/>
                <w:kern w:val="0"/>
                <w:sz w:val="20"/>
                <w:szCs w:val="20"/>
                <w14:textFill>
                  <w14:solidFill>
                    <w14:schemeClr w14:val="tx1"/>
                  </w14:solidFill>
                </w14:textFill>
              </w:rPr>
              <w:t>2013〕88号）第七条</w:t>
            </w:r>
          </w:p>
        </w:tc>
        <w:tc>
          <w:tcPr>
            <w:tcW w:w="187" w:type="pct"/>
            <w:shd w:val="clear" w:color="auto" w:fill="auto"/>
            <w:vAlign w:val="center"/>
          </w:tcPr>
          <w:p w14:paraId="552523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D1A7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939C90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CE027B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AE44C8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5CF20D4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未制订应急器材管理与维护保养制度；未建立应急器材台账；未配备应急器材柜（气防柜），放置必要的应急器材。</w:t>
            </w:r>
          </w:p>
          <w:p w14:paraId="4C74E11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未建立应急救援物资的有关制度和记录：物资清单；物资使用管理制度；物资测试检修制度；物资租用制度资料管理制度；物资调用和使用记录；物资检查维护、报废及更新记录。</w:t>
            </w:r>
          </w:p>
        </w:tc>
        <w:tc>
          <w:tcPr>
            <w:tcW w:w="1615" w:type="pct"/>
            <w:shd w:val="clear" w:color="auto" w:fill="auto"/>
            <w:vAlign w:val="center"/>
          </w:tcPr>
          <w:p w14:paraId="1876149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《危险化学品单位应急救援物资配备要求》（</w:t>
            </w:r>
            <w:r>
              <w:rPr>
                <w:rFonts w:ascii="仿宋_GB2312" w:hAnsi="等线" w:eastAsia="仿宋_GB2312" w:cs="宋体"/>
                <w:color w:val="000000" w:themeColor="text1"/>
                <w:kern w:val="0"/>
                <w:sz w:val="20"/>
                <w:szCs w:val="20"/>
                <w14:textFill>
                  <w14:solidFill>
                    <w14:schemeClr w14:val="tx1"/>
                  </w14:solidFill>
                </w14:textFill>
              </w:rPr>
              <w:t>GB30077-2013）第9.1</w:t>
            </w:r>
          </w:p>
        </w:tc>
        <w:tc>
          <w:tcPr>
            <w:tcW w:w="187" w:type="pct"/>
            <w:shd w:val="clear" w:color="auto" w:fill="auto"/>
            <w:vAlign w:val="center"/>
          </w:tcPr>
          <w:p w14:paraId="3713E5D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0A6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6515D2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90AB23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6C433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39405D0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单位主要负责人和安全生产管理人员安全资格培训时间少于</w:t>
            </w:r>
            <w:r>
              <w:rPr>
                <w:rFonts w:ascii="仿宋_GB2312" w:hAnsi="等线" w:eastAsia="仿宋_GB2312" w:cs="宋体"/>
                <w:color w:val="000000" w:themeColor="text1"/>
                <w:kern w:val="0"/>
                <w:sz w:val="20"/>
                <w:szCs w:val="20"/>
                <w14:textFill>
                  <w14:solidFill>
                    <w14:schemeClr w14:val="tx1"/>
                  </w14:solidFill>
                </w14:textFill>
              </w:rPr>
              <w:t>48学时；每年再培训时间少于16学时。</w:t>
            </w:r>
          </w:p>
        </w:tc>
        <w:tc>
          <w:tcPr>
            <w:tcW w:w="1615" w:type="pct"/>
            <w:shd w:val="clear" w:color="auto" w:fill="auto"/>
            <w:vAlign w:val="center"/>
          </w:tcPr>
          <w:p w14:paraId="64E6305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《生产经营单位安全培训规定》第九条</w:t>
            </w:r>
          </w:p>
        </w:tc>
        <w:tc>
          <w:tcPr>
            <w:tcW w:w="187" w:type="pct"/>
            <w:shd w:val="clear" w:color="auto" w:fill="auto"/>
            <w:vAlign w:val="center"/>
          </w:tcPr>
          <w:p w14:paraId="52E628D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ECD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758516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9DB299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A4C784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13C1EC6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从业人员，在上岗前未经过厂、车间（工段、区、队）、班组三级安全培训教育；从业人员未经安全生产教育和培训合格。</w:t>
            </w:r>
          </w:p>
        </w:tc>
        <w:tc>
          <w:tcPr>
            <w:tcW w:w="1615" w:type="pct"/>
            <w:shd w:val="clear" w:color="auto" w:fill="auto"/>
            <w:vAlign w:val="center"/>
          </w:tcPr>
          <w:p w14:paraId="6AA799C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《中华人民共和国安全生产法》第二十五条第一款</w:t>
            </w:r>
          </w:p>
        </w:tc>
        <w:tc>
          <w:tcPr>
            <w:tcW w:w="187" w:type="pct"/>
            <w:shd w:val="clear" w:color="auto" w:fill="auto"/>
            <w:vAlign w:val="center"/>
          </w:tcPr>
          <w:p w14:paraId="5D9EB6A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A638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A076F5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5EE6B9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6770B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38C3974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企业未对新上岗的临时工、合同工、劳务工、轮换工、协议工等进行强制性安全培训。</w:t>
            </w:r>
          </w:p>
        </w:tc>
        <w:tc>
          <w:tcPr>
            <w:tcW w:w="1615" w:type="pct"/>
            <w:shd w:val="clear" w:color="auto" w:fill="auto"/>
            <w:vAlign w:val="center"/>
          </w:tcPr>
          <w:p w14:paraId="5D01AB1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《生产经营单位安全培训规定》第十一条</w:t>
            </w:r>
          </w:p>
        </w:tc>
        <w:tc>
          <w:tcPr>
            <w:tcW w:w="187" w:type="pct"/>
            <w:shd w:val="clear" w:color="auto" w:fill="auto"/>
            <w:vAlign w:val="center"/>
          </w:tcPr>
          <w:p w14:paraId="384C405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C68A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F6BB7B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ED2202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3C8D3E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4B01B0F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上岗的从业人员安全培训时间少于 72 学时，每年再培训的时间少于 20 学时。</w:t>
            </w:r>
          </w:p>
        </w:tc>
        <w:tc>
          <w:tcPr>
            <w:tcW w:w="1615" w:type="pct"/>
            <w:shd w:val="clear" w:color="auto" w:fill="auto"/>
            <w:vAlign w:val="center"/>
          </w:tcPr>
          <w:p w14:paraId="51EFB41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《生产经营单位安全培训规定》第十三条第二款</w:t>
            </w:r>
          </w:p>
        </w:tc>
        <w:tc>
          <w:tcPr>
            <w:tcW w:w="187" w:type="pct"/>
            <w:shd w:val="clear" w:color="auto" w:fill="auto"/>
            <w:vAlign w:val="center"/>
          </w:tcPr>
          <w:p w14:paraId="5483457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488E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6EC2C2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82C125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0A2D98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227CD33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从业人员在本生产经营单位内调整工作岗位或离岗一年以上重新上岗时，未重新接受车间（工段、区、队）和班组级的安全培训。</w:t>
            </w:r>
          </w:p>
        </w:tc>
        <w:tc>
          <w:tcPr>
            <w:tcW w:w="1615" w:type="pct"/>
            <w:shd w:val="clear" w:color="auto" w:fill="auto"/>
            <w:vAlign w:val="center"/>
          </w:tcPr>
          <w:p w14:paraId="64A3A22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《生产经营单位安全培训规定》第十七条</w:t>
            </w:r>
          </w:p>
        </w:tc>
        <w:tc>
          <w:tcPr>
            <w:tcW w:w="187" w:type="pct"/>
            <w:shd w:val="clear" w:color="auto" w:fill="auto"/>
            <w:vAlign w:val="center"/>
          </w:tcPr>
          <w:p w14:paraId="4762CAC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368A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7E4D45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947AA6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3DDA16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4589F74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企业未加强泄漏管理培训，增强员工的泄漏管理意识，掌握泄漏辨识和预防处置方法。未对负责设备泄漏检测和设备维修的员工进行泄漏管理专项培训。</w:t>
            </w:r>
          </w:p>
        </w:tc>
        <w:tc>
          <w:tcPr>
            <w:tcW w:w="1615" w:type="pct"/>
            <w:shd w:val="clear" w:color="auto" w:fill="auto"/>
            <w:vAlign w:val="center"/>
          </w:tcPr>
          <w:p w14:paraId="61C6D4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《国家安全监管总局关于加强化工企业泄漏管理的指导意见》（安监总管三</w:t>
            </w:r>
            <w:r>
              <w:rPr>
                <w:rFonts w:ascii="仿宋_GB2312" w:hAnsi="等线" w:eastAsia="仿宋_GB2312" w:cs="宋体"/>
                <w:color w:val="000000" w:themeColor="text1"/>
                <w:kern w:val="0"/>
                <w:sz w:val="20"/>
                <w:szCs w:val="20"/>
                <w14:textFill>
                  <w14:solidFill>
                    <w14:schemeClr w14:val="tx1"/>
                  </w14:solidFill>
                </w14:textFill>
              </w:rPr>
              <w:t>[2014]94号）</w:t>
            </w:r>
          </w:p>
        </w:tc>
        <w:tc>
          <w:tcPr>
            <w:tcW w:w="187" w:type="pct"/>
            <w:shd w:val="clear" w:color="auto" w:fill="auto"/>
            <w:vAlign w:val="center"/>
          </w:tcPr>
          <w:p w14:paraId="7252278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6EF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8A8ED1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10515F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617E18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7DFE677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企业未定期对各岗位进行工艺安全教育培训；未对岗位人员开展操作规程培训和考核，考核内容与所培训的操作规程内容不符。</w:t>
            </w:r>
          </w:p>
        </w:tc>
        <w:tc>
          <w:tcPr>
            <w:tcW w:w="1615" w:type="pct"/>
            <w:shd w:val="clear" w:color="auto" w:fill="auto"/>
            <w:vAlign w:val="center"/>
          </w:tcPr>
          <w:p w14:paraId="4CAB54E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《中华人民共和国安全生产法》第五十八条、第二十八条</w:t>
            </w:r>
          </w:p>
          <w:p w14:paraId="252F503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《化工过程安全管理导则》（AQ/T3034-2022） 第4.5条</w:t>
            </w:r>
          </w:p>
        </w:tc>
        <w:tc>
          <w:tcPr>
            <w:tcW w:w="187" w:type="pct"/>
            <w:shd w:val="clear" w:color="auto" w:fill="auto"/>
            <w:vAlign w:val="center"/>
          </w:tcPr>
          <w:p w14:paraId="00AC8EC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C3C4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BBADDF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DB8D09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146CB2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6C917D7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企业用新工艺、新技术、新材料或者使用新设备时，未对从业人员进行专门的安全生产教育和培训。</w:t>
            </w:r>
          </w:p>
        </w:tc>
        <w:tc>
          <w:tcPr>
            <w:tcW w:w="1615" w:type="pct"/>
            <w:shd w:val="clear" w:color="auto" w:fill="auto"/>
            <w:vAlign w:val="center"/>
          </w:tcPr>
          <w:p w14:paraId="4DD57F8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《中华人民共和国安全生产法》第二十九条</w:t>
            </w:r>
          </w:p>
        </w:tc>
        <w:tc>
          <w:tcPr>
            <w:tcW w:w="187" w:type="pct"/>
            <w:shd w:val="clear" w:color="auto" w:fill="auto"/>
            <w:vAlign w:val="center"/>
          </w:tcPr>
          <w:p w14:paraId="60A5F33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EF6E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A5B379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1D334F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0586EC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279B958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危险化学品生产装置和储存设施的设计资料不完善，现场与设计资料、安全评价报告不一致。</w:t>
            </w:r>
          </w:p>
        </w:tc>
        <w:tc>
          <w:tcPr>
            <w:tcW w:w="1615" w:type="pct"/>
            <w:shd w:val="clear" w:color="auto" w:fill="auto"/>
            <w:vAlign w:val="center"/>
          </w:tcPr>
          <w:p w14:paraId="6CC96EF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《危险化学品建设项目安全监督管理办法》（国家安全生产监督管理总局令第</w:t>
            </w:r>
            <w:r>
              <w:rPr>
                <w:rFonts w:ascii="仿宋_GB2312" w:hAnsi="等线" w:eastAsia="仿宋_GB2312" w:cs="宋体"/>
                <w:color w:val="000000" w:themeColor="text1"/>
                <w:kern w:val="0"/>
                <w:sz w:val="20"/>
                <w:szCs w:val="20"/>
                <w14:textFill>
                  <w14:solidFill>
                    <w14:schemeClr w14:val="tx1"/>
                  </w14:solidFill>
                </w14:textFill>
              </w:rPr>
              <w:t>45号</w:t>
            </w:r>
            <w:r>
              <w:rPr>
                <w:rFonts w:hint="eastAsia" w:ascii="仿宋_GB2312" w:hAnsi="等线" w:eastAsia="仿宋_GB2312" w:cs="宋体"/>
                <w:color w:val="000000" w:themeColor="text1"/>
                <w:kern w:val="0"/>
                <w:sz w:val="20"/>
                <w:szCs w:val="20"/>
                <w14:textFill>
                  <w14:solidFill>
                    <w14:schemeClr w14:val="tx1"/>
                  </w14:solidFill>
                </w14:textFill>
              </w:rPr>
              <w:t>）</w:t>
            </w:r>
          </w:p>
        </w:tc>
        <w:tc>
          <w:tcPr>
            <w:tcW w:w="187" w:type="pct"/>
            <w:shd w:val="clear" w:color="auto" w:fill="auto"/>
            <w:vAlign w:val="center"/>
          </w:tcPr>
          <w:p w14:paraId="404743A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F55B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0D8C74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8A1A58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DAFBA4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0696232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涉及加热炉的车间未建立加热炉运行记录。</w:t>
            </w:r>
          </w:p>
        </w:tc>
        <w:tc>
          <w:tcPr>
            <w:tcW w:w="1615" w:type="pct"/>
            <w:shd w:val="clear" w:color="auto" w:fill="auto"/>
            <w:vAlign w:val="center"/>
          </w:tcPr>
          <w:p w14:paraId="64EF98E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w:t>
            </w:r>
            <w:r>
              <w:rPr>
                <w:rFonts w:ascii="仿宋_GB2312" w:hAnsi="等线" w:eastAsia="仿宋_GB2312" w:cs="宋体"/>
                <w:color w:val="000000" w:themeColor="text1"/>
                <w:kern w:val="0"/>
                <w:sz w:val="20"/>
                <w:szCs w:val="20"/>
                <w14:textFill>
                  <w14:solidFill>
                    <w14:schemeClr w14:val="tx1"/>
                  </w14:solidFill>
                </w14:textFill>
              </w:rPr>
              <w:t>2012〕103号）附件4：设备隐患排查表。</w:t>
            </w:r>
          </w:p>
        </w:tc>
        <w:tc>
          <w:tcPr>
            <w:tcW w:w="187" w:type="pct"/>
            <w:shd w:val="clear" w:color="auto" w:fill="auto"/>
            <w:vAlign w:val="center"/>
          </w:tcPr>
          <w:p w14:paraId="6C5C218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EE0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0A6C4C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B7B885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274F8F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1A214604">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企业大机组联锁未正常投用；大机组联锁变更、解除未办理相关手续，未制订了联锁变更、解除的防范措施。</w:t>
            </w:r>
          </w:p>
        </w:tc>
        <w:tc>
          <w:tcPr>
            <w:tcW w:w="1615" w:type="pct"/>
            <w:shd w:val="clear" w:color="auto" w:fill="auto"/>
            <w:vAlign w:val="center"/>
          </w:tcPr>
          <w:p w14:paraId="306D885F">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4498DFB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DD33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11E4DF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A2C981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FAA742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7A878813">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大机组润滑油未定期分析。</w:t>
            </w:r>
          </w:p>
        </w:tc>
        <w:tc>
          <w:tcPr>
            <w:tcW w:w="1615" w:type="pct"/>
            <w:shd w:val="clear" w:color="auto" w:fill="auto"/>
            <w:vAlign w:val="center"/>
          </w:tcPr>
          <w:p w14:paraId="70AA9F1F">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459C38F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13A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E3F174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AF6DA0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977C8B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0AE698C2">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机泵操作记录和机泵操作规程不符合规范要求。未建立有联锁、报警装置的机泵台账。</w:t>
            </w:r>
          </w:p>
        </w:tc>
        <w:tc>
          <w:tcPr>
            <w:tcW w:w="1615" w:type="pct"/>
            <w:shd w:val="clear" w:color="auto" w:fill="auto"/>
            <w:vAlign w:val="center"/>
          </w:tcPr>
          <w:p w14:paraId="332B89A7">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70C0920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100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2D7DDE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90209A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6EFC5F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记录档案类</w:t>
            </w:r>
          </w:p>
        </w:tc>
        <w:tc>
          <w:tcPr>
            <w:tcW w:w="1859" w:type="pct"/>
            <w:shd w:val="clear" w:color="auto" w:fill="auto"/>
            <w:vAlign w:val="center"/>
          </w:tcPr>
          <w:p w14:paraId="560B941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企业未如实记录仪表检查、维护、使用、检定、巡检等各类台账，或者台账记录有缺失。</w:t>
            </w:r>
          </w:p>
        </w:tc>
        <w:tc>
          <w:tcPr>
            <w:tcW w:w="1615" w:type="pct"/>
            <w:shd w:val="clear" w:color="auto" w:fill="auto"/>
            <w:vAlign w:val="center"/>
          </w:tcPr>
          <w:p w14:paraId="26F4DF2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表6（一）2</w:t>
            </w:r>
          </w:p>
        </w:tc>
        <w:tc>
          <w:tcPr>
            <w:tcW w:w="187" w:type="pct"/>
            <w:shd w:val="clear" w:color="auto" w:fill="auto"/>
            <w:vAlign w:val="center"/>
          </w:tcPr>
          <w:p w14:paraId="0984E4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AEDF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A4BC64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4265EA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31F7EE9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应急救援类</w:t>
            </w:r>
          </w:p>
        </w:tc>
        <w:tc>
          <w:tcPr>
            <w:tcW w:w="1859" w:type="pct"/>
            <w:shd w:val="clear" w:color="auto" w:fill="auto"/>
            <w:vAlign w:val="center"/>
          </w:tcPr>
          <w:p w14:paraId="2FF8195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企业未确立本单位的应急预案体系，未按照GB/T 29639要求编制综合应急预案、专项应急预案、现场处置方案和应急处置卡。</w:t>
            </w:r>
          </w:p>
        </w:tc>
        <w:tc>
          <w:tcPr>
            <w:tcW w:w="1615" w:type="pct"/>
            <w:shd w:val="clear" w:color="auto" w:fill="auto"/>
            <w:vAlign w:val="center"/>
          </w:tcPr>
          <w:p w14:paraId="0362FFD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《生产安全事故应急预案管理办法》(国家安全监管总局令88号)(应急管理部令第2号修正) 第六条、第十九条；</w:t>
            </w:r>
          </w:p>
        </w:tc>
        <w:tc>
          <w:tcPr>
            <w:tcW w:w="187" w:type="pct"/>
            <w:shd w:val="clear" w:color="auto" w:fill="auto"/>
            <w:vAlign w:val="center"/>
          </w:tcPr>
          <w:p w14:paraId="7D48C1B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0DC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E3BDEE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BF61D0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6BF5ADB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应急救援类</w:t>
            </w:r>
          </w:p>
        </w:tc>
        <w:tc>
          <w:tcPr>
            <w:tcW w:w="1859" w:type="pct"/>
            <w:shd w:val="clear" w:color="auto" w:fill="auto"/>
            <w:vAlign w:val="center"/>
          </w:tcPr>
          <w:p w14:paraId="453184A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未建立应急救援组织机构，未指定专兼职的应急救援队伍且未与邻近专职救援队伍签订救援协议。</w:t>
            </w:r>
          </w:p>
        </w:tc>
        <w:tc>
          <w:tcPr>
            <w:tcW w:w="1615" w:type="pct"/>
            <w:shd w:val="clear" w:color="auto" w:fill="auto"/>
            <w:vAlign w:val="center"/>
          </w:tcPr>
          <w:p w14:paraId="47A3984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《北京市生产经营单位安全生产主体责任规定》第三十条；DB11/T 1322.90-2020《安全生产等级评定技术规范 第90部分：化工企业》第4.1.1条</w:t>
            </w:r>
          </w:p>
        </w:tc>
        <w:tc>
          <w:tcPr>
            <w:tcW w:w="187" w:type="pct"/>
            <w:shd w:val="clear" w:color="auto" w:fill="auto"/>
            <w:vAlign w:val="center"/>
          </w:tcPr>
          <w:p w14:paraId="5DF7DF1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5E0F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D66499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45A70F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02CD1CD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应急救援类</w:t>
            </w:r>
          </w:p>
        </w:tc>
        <w:tc>
          <w:tcPr>
            <w:tcW w:w="1859" w:type="pct"/>
            <w:shd w:val="clear" w:color="auto" w:fill="auto"/>
            <w:vAlign w:val="center"/>
          </w:tcPr>
          <w:p w14:paraId="0FC7C1E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企业未制定应急值班制度，未成立应急处置技术组，未实行24小时应急值班。</w:t>
            </w:r>
          </w:p>
        </w:tc>
        <w:tc>
          <w:tcPr>
            <w:tcW w:w="1615" w:type="pct"/>
            <w:shd w:val="clear" w:color="auto" w:fill="auto"/>
            <w:vAlign w:val="center"/>
          </w:tcPr>
          <w:p w14:paraId="43F5FAF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《生产安全事故应急条例》（国务院令第708号） 第十四条</w:t>
            </w:r>
          </w:p>
        </w:tc>
        <w:tc>
          <w:tcPr>
            <w:tcW w:w="187" w:type="pct"/>
            <w:shd w:val="clear" w:color="auto" w:fill="auto"/>
            <w:vAlign w:val="center"/>
          </w:tcPr>
          <w:p w14:paraId="0402970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7AB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8C3C38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FD1F46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5AA1E24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应急救援类</w:t>
            </w:r>
          </w:p>
        </w:tc>
        <w:tc>
          <w:tcPr>
            <w:tcW w:w="1859" w:type="pct"/>
            <w:shd w:val="clear" w:color="auto" w:fill="auto"/>
            <w:vAlign w:val="center"/>
          </w:tcPr>
          <w:p w14:paraId="05E535B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制定应急预案定期评估制度，每三年未进行一次应急预案评估，未对应急预案内容的针对性和实用性进行分析，未对应急预案是否需要修订作出结论；企业未按应急预案的评估结论及有关规定对应急预案及时修订。</w:t>
            </w:r>
          </w:p>
        </w:tc>
        <w:tc>
          <w:tcPr>
            <w:tcW w:w="1615" w:type="pct"/>
            <w:shd w:val="clear" w:color="auto" w:fill="auto"/>
            <w:vAlign w:val="center"/>
          </w:tcPr>
          <w:p w14:paraId="7046863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表8（一）4</w:t>
            </w:r>
          </w:p>
        </w:tc>
        <w:tc>
          <w:tcPr>
            <w:tcW w:w="187" w:type="pct"/>
            <w:shd w:val="clear" w:color="auto" w:fill="auto"/>
            <w:vAlign w:val="center"/>
          </w:tcPr>
          <w:p w14:paraId="767666D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8B70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CF8F99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CECE24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1CCE95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应急救援类</w:t>
            </w:r>
          </w:p>
        </w:tc>
        <w:tc>
          <w:tcPr>
            <w:tcW w:w="1859" w:type="pct"/>
            <w:shd w:val="clear" w:color="auto" w:fill="auto"/>
            <w:vAlign w:val="center"/>
          </w:tcPr>
          <w:p w14:paraId="40D97CA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企业未定期组织开展本单位的应急预案、应急知识、自救互救和避险逃生技能的培训活动，使有关人员了解应急预案内容，熟悉应急职责、应急处置程序和措施。</w:t>
            </w:r>
          </w:p>
        </w:tc>
        <w:tc>
          <w:tcPr>
            <w:tcW w:w="1615" w:type="pct"/>
            <w:shd w:val="clear" w:color="auto" w:fill="auto"/>
            <w:vAlign w:val="center"/>
          </w:tcPr>
          <w:p w14:paraId="59CCDDB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表8（一）6</w:t>
            </w:r>
          </w:p>
        </w:tc>
        <w:tc>
          <w:tcPr>
            <w:tcW w:w="187" w:type="pct"/>
            <w:shd w:val="clear" w:color="auto" w:fill="auto"/>
            <w:vAlign w:val="center"/>
          </w:tcPr>
          <w:p w14:paraId="4AE6BDA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86CB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C8D528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E26C76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9994CA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应急救援类</w:t>
            </w:r>
          </w:p>
        </w:tc>
        <w:tc>
          <w:tcPr>
            <w:tcW w:w="1859" w:type="pct"/>
            <w:shd w:val="clear" w:color="auto" w:fill="auto"/>
            <w:vAlign w:val="center"/>
          </w:tcPr>
          <w:p w14:paraId="4C232D0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企业未制定本单位的应急预案演练计划，未按规范要求组织安全生产事故应急预案演练。</w:t>
            </w:r>
          </w:p>
          <w:p w14:paraId="5411FDD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涉及重大危险源的企业未每年至少演练一次重大危险源专项应急预案；未每半年至少演练一次重大危险源现场处置方案。</w:t>
            </w:r>
          </w:p>
        </w:tc>
        <w:tc>
          <w:tcPr>
            <w:tcW w:w="1615" w:type="pct"/>
            <w:shd w:val="clear" w:color="auto" w:fill="auto"/>
            <w:vAlign w:val="center"/>
          </w:tcPr>
          <w:p w14:paraId="63F3245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《生产安全事故应急条例》（国务院令第708号） 第八条；第五条；《生产安全事故应急预案管理办法》第五条、第十九条；《中华人民共和国安全生产法》第八十一条；《北京市安全生产条例》第五十五条；《北京市生产经营单位安全生产主体责任规定》第三十条；《危险化学品重大危险源监督管理暂行规定》（国家安全生产监督管理总局令第40号）</w:t>
            </w:r>
          </w:p>
        </w:tc>
        <w:tc>
          <w:tcPr>
            <w:tcW w:w="187" w:type="pct"/>
            <w:shd w:val="clear" w:color="auto" w:fill="auto"/>
            <w:vAlign w:val="center"/>
          </w:tcPr>
          <w:p w14:paraId="04081FF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767D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7DBB21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1A3FF3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A13870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应急救援类</w:t>
            </w:r>
          </w:p>
        </w:tc>
        <w:tc>
          <w:tcPr>
            <w:tcW w:w="1859" w:type="pct"/>
            <w:shd w:val="clear" w:color="auto" w:fill="auto"/>
            <w:vAlign w:val="center"/>
          </w:tcPr>
          <w:p w14:paraId="77E7BAC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应急预案</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经过评审并发布，</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及时发放到本单位有关部门、岗位和相关应急救援队伍；事故风险对周边单位造成影响</w:t>
            </w:r>
            <w:r>
              <w:rPr>
                <w:rFonts w:hint="eastAsia" w:ascii="仿宋_GB2312" w:hAnsi="等线" w:eastAsia="仿宋_GB2312" w:cs="宋体"/>
                <w:color w:val="000000" w:themeColor="text1"/>
                <w:kern w:val="0"/>
                <w:sz w:val="20"/>
                <w:szCs w:val="20"/>
                <w14:textFill>
                  <w14:solidFill>
                    <w14:schemeClr w14:val="tx1"/>
                  </w14:solidFill>
                </w14:textFill>
              </w:rPr>
              <w:t>的</w:t>
            </w:r>
            <w:r>
              <w:rPr>
                <w:rFonts w:ascii="仿宋_GB2312" w:hAnsi="等线" w:eastAsia="仿宋_GB2312" w:cs="宋体"/>
                <w:color w:val="000000" w:themeColor="text1"/>
                <w:kern w:val="0"/>
                <w:sz w:val="20"/>
                <w:szCs w:val="20"/>
                <w14:textFill>
                  <w14:solidFill>
                    <w14:schemeClr w14:val="tx1"/>
                  </w14:solidFill>
                </w14:textFill>
              </w:rPr>
              <w:t>，</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予以告知相关规范内容。</w:t>
            </w:r>
          </w:p>
        </w:tc>
        <w:tc>
          <w:tcPr>
            <w:tcW w:w="1615" w:type="pct"/>
            <w:shd w:val="clear" w:color="auto" w:fill="auto"/>
            <w:vAlign w:val="center"/>
          </w:tcPr>
          <w:p w14:paraId="2E54122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《生产安全事故应急预案管理办法》</w:t>
            </w:r>
            <w:r>
              <w:rPr>
                <w:rFonts w:ascii="仿宋_GB2312" w:hAnsi="等线" w:eastAsia="仿宋_GB2312" w:cs="宋体"/>
                <w:color w:val="000000" w:themeColor="text1"/>
                <w:kern w:val="0"/>
                <w:sz w:val="20"/>
                <w:szCs w:val="20"/>
                <w14:textFill>
                  <w14:solidFill>
                    <w14:schemeClr w14:val="tx1"/>
                  </w14:solidFill>
                </w14:textFill>
              </w:rPr>
              <w:t>(安监总局令第88号，中华人民共和国应急管理部令第2号修改)第二十四条</w:t>
            </w:r>
          </w:p>
        </w:tc>
        <w:tc>
          <w:tcPr>
            <w:tcW w:w="187" w:type="pct"/>
            <w:shd w:val="clear" w:color="auto" w:fill="auto"/>
            <w:vAlign w:val="center"/>
          </w:tcPr>
          <w:p w14:paraId="09105F6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19D1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FD1A33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1A21ED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1DA19FD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相关方管理类</w:t>
            </w:r>
          </w:p>
        </w:tc>
        <w:tc>
          <w:tcPr>
            <w:tcW w:w="1859" w:type="pct"/>
            <w:shd w:val="clear" w:color="000000" w:fill="FFFFFF"/>
            <w:vAlign w:val="center"/>
          </w:tcPr>
          <w:p w14:paraId="7EACC35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未选用具有相应资质的供应单位、承包（承租）单位或单位未与供应单位、承包（承租）单位签订安全生产管理协议，或者未在合同中约定各自的安全生产管理职责，安全生产管理协议或合同未在有效期内。</w:t>
            </w:r>
          </w:p>
        </w:tc>
        <w:tc>
          <w:tcPr>
            <w:tcW w:w="1615" w:type="pct"/>
            <w:shd w:val="clear" w:color="000000" w:fill="FFFFFF"/>
            <w:vAlign w:val="center"/>
          </w:tcPr>
          <w:p w14:paraId="19A011C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《中华人民共和国安全生产法》第四十九条</w:t>
            </w:r>
          </w:p>
        </w:tc>
        <w:tc>
          <w:tcPr>
            <w:tcW w:w="187" w:type="pct"/>
            <w:shd w:val="clear" w:color="000000" w:fill="FFFFFF"/>
            <w:vAlign w:val="center"/>
          </w:tcPr>
          <w:p w14:paraId="0260740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04AB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5730E8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7627E2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7A0DE6C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相关方管理类</w:t>
            </w:r>
          </w:p>
        </w:tc>
        <w:tc>
          <w:tcPr>
            <w:tcW w:w="1859" w:type="pct"/>
            <w:shd w:val="clear" w:color="000000" w:fill="FFFFFF"/>
            <w:vAlign w:val="center"/>
          </w:tcPr>
          <w:p w14:paraId="4B6181E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未对承包（承租）单位的安全生产工作统一协调管理，未定期进行安全检查。对安全检查中发现的隐患，未及时督促相关单位进行整改。</w:t>
            </w:r>
          </w:p>
        </w:tc>
        <w:tc>
          <w:tcPr>
            <w:tcW w:w="1615" w:type="pct"/>
            <w:shd w:val="clear" w:color="000000" w:fill="FFFFFF"/>
            <w:vAlign w:val="center"/>
          </w:tcPr>
          <w:p w14:paraId="35EE91B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《中华人民共和国安全生产法》第二十八条；《北京市生产经营单位安全生产主体责任规定》第十三条</w:t>
            </w:r>
          </w:p>
        </w:tc>
        <w:tc>
          <w:tcPr>
            <w:tcW w:w="187" w:type="pct"/>
            <w:shd w:val="clear" w:color="000000" w:fill="FFFFFF"/>
            <w:vAlign w:val="center"/>
          </w:tcPr>
          <w:p w14:paraId="321206C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81F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9D0933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E0DA6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2C881E4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相关方管理类</w:t>
            </w:r>
          </w:p>
        </w:tc>
        <w:tc>
          <w:tcPr>
            <w:tcW w:w="1859" w:type="pct"/>
            <w:shd w:val="clear" w:color="000000" w:fill="FFFFFF"/>
            <w:vAlign w:val="center"/>
          </w:tcPr>
          <w:p w14:paraId="09D0ADD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未将被派遣劳动者纳入本单位从业人员进行统一管理，未对被派遣劳动者进行岗位安全操作规程和安全操作技能的教育和培训。</w:t>
            </w:r>
          </w:p>
        </w:tc>
        <w:tc>
          <w:tcPr>
            <w:tcW w:w="1615" w:type="pct"/>
            <w:shd w:val="clear" w:color="000000" w:fill="FFFFFF"/>
            <w:vAlign w:val="center"/>
          </w:tcPr>
          <w:p w14:paraId="51ADB6D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《中华人民共和国安全生产法》第二十五条第二、三款</w:t>
            </w:r>
          </w:p>
        </w:tc>
        <w:tc>
          <w:tcPr>
            <w:tcW w:w="187" w:type="pct"/>
            <w:shd w:val="clear" w:color="000000" w:fill="FFFFFF"/>
            <w:vAlign w:val="center"/>
          </w:tcPr>
          <w:p w14:paraId="5AEAD8D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521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FF244F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B3A3BD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000000" w:fill="FFFFFF"/>
            <w:vAlign w:val="center"/>
          </w:tcPr>
          <w:p w14:paraId="48E2F7F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安全生产投入类</w:t>
            </w:r>
          </w:p>
        </w:tc>
        <w:tc>
          <w:tcPr>
            <w:tcW w:w="1859" w:type="pct"/>
            <w:shd w:val="clear" w:color="000000" w:fill="FFFFFF"/>
            <w:vAlign w:val="center"/>
          </w:tcPr>
          <w:p w14:paraId="4FD31B0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未按规定管理和使用安全费用。 </w:t>
            </w:r>
          </w:p>
          <w:p w14:paraId="0CAC64D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危险品生产企业未以上一年度营业收入为依据，采取超额累退方式确定本年度应计提金额，并逐月平均提取。具体如下：</w:t>
            </w:r>
          </w:p>
          <w:p w14:paraId="4CC90AA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1）上一年度营业收入不超过</w:t>
            </w:r>
            <w:r>
              <w:rPr>
                <w:rFonts w:ascii="仿宋_GB2312" w:hAnsi="等线" w:eastAsia="仿宋_GB2312" w:cs="宋体"/>
                <w:color w:val="000000" w:themeColor="text1"/>
                <w:kern w:val="0"/>
                <w:sz w:val="20"/>
                <w:szCs w:val="20"/>
                <w14:textFill>
                  <w14:solidFill>
                    <w14:schemeClr w14:val="tx1"/>
                  </w14:solidFill>
                </w14:textFill>
              </w:rPr>
              <w:t>1000万元的，按照4.5%提取；</w:t>
            </w:r>
          </w:p>
          <w:p w14:paraId="7FEA551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2）上一年度营业收入超过</w:t>
            </w:r>
            <w:r>
              <w:rPr>
                <w:rFonts w:ascii="仿宋_GB2312" w:hAnsi="等线" w:eastAsia="仿宋_GB2312" w:cs="宋体"/>
                <w:color w:val="000000" w:themeColor="text1"/>
                <w:kern w:val="0"/>
                <w:sz w:val="20"/>
                <w:szCs w:val="20"/>
                <w14:textFill>
                  <w14:solidFill>
                    <w14:schemeClr w14:val="tx1"/>
                  </w14:solidFill>
                </w14:textFill>
              </w:rPr>
              <w:t>1000万元至1亿元的部分，按照2.25%提取；</w:t>
            </w:r>
          </w:p>
          <w:p w14:paraId="734DFFD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3）上一年度营业收入超过</w:t>
            </w:r>
            <w:r>
              <w:rPr>
                <w:rFonts w:ascii="仿宋_GB2312" w:hAnsi="等线" w:eastAsia="仿宋_GB2312" w:cs="宋体"/>
                <w:color w:val="000000" w:themeColor="text1"/>
                <w:kern w:val="0"/>
                <w:sz w:val="20"/>
                <w:szCs w:val="20"/>
                <w14:textFill>
                  <w14:solidFill>
                    <w14:schemeClr w14:val="tx1"/>
                  </w14:solidFill>
                </w14:textFill>
              </w:rPr>
              <w:t>1亿元至10亿元的部分，按照0.55%提取；</w:t>
            </w:r>
          </w:p>
          <w:p w14:paraId="3A257D2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4）上一年度营业收入超过</w:t>
            </w:r>
            <w:r>
              <w:rPr>
                <w:rFonts w:ascii="仿宋_GB2312" w:hAnsi="等线" w:eastAsia="仿宋_GB2312" w:cs="宋体"/>
                <w:color w:val="000000" w:themeColor="text1"/>
                <w:kern w:val="0"/>
                <w:sz w:val="20"/>
                <w:szCs w:val="20"/>
                <w14:textFill>
                  <w14:solidFill>
                    <w14:schemeClr w14:val="tx1"/>
                  </w14:solidFill>
                </w14:textFill>
              </w:rPr>
              <w:t>10亿元的部分，按照0.2%提取。</w:t>
            </w:r>
          </w:p>
        </w:tc>
        <w:tc>
          <w:tcPr>
            <w:tcW w:w="1615" w:type="pct"/>
            <w:shd w:val="clear" w:color="000000" w:fill="FFFFFF"/>
            <w:vAlign w:val="center"/>
          </w:tcPr>
          <w:p w14:paraId="1C986F0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《中华人民共和国安全生产法》第二十八条；《企业安全生产费用提取和使用管理办法》（财资[2022]136号）</w:t>
            </w:r>
          </w:p>
        </w:tc>
        <w:tc>
          <w:tcPr>
            <w:tcW w:w="187" w:type="pct"/>
            <w:shd w:val="clear" w:color="000000" w:fill="FFFFFF"/>
            <w:vAlign w:val="center"/>
          </w:tcPr>
          <w:p w14:paraId="7F8A0F5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3C9D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2826E2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A47ADC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auto" w:fill="auto"/>
            <w:vAlign w:val="center"/>
          </w:tcPr>
          <w:p w14:paraId="0F5F62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安全生产投入类</w:t>
            </w:r>
          </w:p>
        </w:tc>
        <w:tc>
          <w:tcPr>
            <w:tcW w:w="1859" w:type="pct"/>
            <w:shd w:val="clear" w:color="auto" w:fill="auto"/>
            <w:vAlign w:val="center"/>
          </w:tcPr>
          <w:p w14:paraId="7CCF0AE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危险品生产企业安全生产费用未用于以下支出：</w:t>
            </w:r>
          </w:p>
          <w:p w14:paraId="060D6F5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1）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14:paraId="1E16DAA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2）配备、维护、保养应急救援器材、设备支出和应急救援队伍建设、应急预案制修订与应急演练支出；</w:t>
            </w:r>
          </w:p>
          <w:p w14:paraId="7C7960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3）开展重大危险源检测、评估、监控支出，安全风险分级管控和事故隐患排查整改支出，安全生产风险监测预警系统等安全生产信息系统建设、运维和网络安全支出；</w:t>
            </w:r>
          </w:p>
          <w:p w14:paraId="672F412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4）安全生产检查、评估评价（不含新建、改建、扩建项目安全评价）、咨询和标准化建设支出；</w:t>
            </w:r>
          </w:p>
          <w:p w14:paraId="2409FB2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5）配备和更新现场作业人员安全防护用品支出；</w:t>
            </w:r>
          </w:p>
          <w:p w14:paraId="5A4480E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6）安全生产宣传、教育、培训和从业人员发现并报告事故隐患的奖励支出；</w:t>
            </w:r>
          </w:p>
          <w:p w14:paraId="592C1F6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7）安全生产适用的新技术、新标准、新工艺、新装备的推广应用支出；</w:t>
            </w:r>
          </w:p>
          <w:p w14:paraId="055DCD9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8）安全设施及特种设备检测检验、检定校准支出；</w:t>
            </w:r>
          </w:p>
          <w:p w14:paraId="338633F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9）安全生产责任保险支出；</w:t>
            </w:r>
          </w:p>
          <w:p w14:paraId="2B5A60F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10）与安全生产直接相关的其他支出。</w:t>
            </w:r>
          </w:p>
        </w:tc>
        <w:tc>
          <w:tcPr>
            <w:tcW w:w="1615" w:type="pct"/>
            <w:shd w:val="clear" w:color="auto" w:fill="auto"/>
            <w:vAlign w:val="center"/>
          </w:tcPr>
          <w:p w14:paraId="467070F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《中华人民共和国安全生产法》第二十八条；</w:t>
            </w:r>
          </w:p>
          <w:p w14:paraId="64DC147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《企业安全生产费用提取和使用管理办法》（财资[2022]136号）</w:t>
            </w:r>
          </w:p>
        </w:tc>
        <w:tc>
          <w:tcPr>
            <w:tcW w:w="187" w:type="pct"/>
            <w:shd w:val="clear" w:color="000000" w:fill="FFFFFF"/>
            <w:vAlign w:val="center"/>
          </w:tcPr>
          <w:p w14:paraId="678D28D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FB4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498F52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F65D65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基础资料类</w:t>
            </w:r>
          </w:p>
        </w:tc>
        <w:tc>
          <w:tcPr>
            <w:tcW w:w="384" w:type="pct"/>
            <w:shd w:val="clear" w:color="auto" w:fill="auto"/>
            <w:vAlign w:val="center"/>
          </w:tcPr>
          <w:p w14:paraId="056B225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安全生产投入类</w:t>
            </w:r>
          </w:p>
        </w:tc>
        <w:tc>
          <w:tcPr>
            <w:tcW w:w="1859" w:type="pct"/>
            <w:shd w:val="clear" w:color="auto" w:fill="auto"/>
            <w:vAlign w:val="center"/>
          </w:tcPr>
          <w:p w14:paraId="52D453F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未依法参加工伤保险，未为所有从业人员缴纳保险费。</w:t>
            </w:r>
          </w:p>
        </w:tc>
        <w:tc>
          <w:tcPr>
            <w:tcW w:w="1615" w:type="pct"/>
            <w:shd w:val="clear" w:color="auto" w:fill="auto"/>
            <w:vAlign w:val="center"/>
          </w:tcPr>
          <w:p w14:paraId="75FF147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《中华人民共和国安全生产法》第五十一条；《北京市安全生产条例》第三十六条</w:t>
            </w:r>
          </w:p>
        </w:tc>
        <w:tc>
          <w:tcPr>
            <w:tcW w:w="187" w:type="pct"/>
            <w:shd w:val="clear" w:color="000000" w:fill="FFFFFF"/>
            <w:vAlign w:val="center"/>
          </w:tcPr>
          <w:p w14:paraId="65D4B8D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51F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2683E2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8BD730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AAA17D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2A6FB76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使用国家和北京市禁止使用的危险化学品。</w:t>
            </w:r>
          </w:p>
        </w:tc>
        <w:tc>
          <w:tcPr>
            <w:tcW w:w="1615" w:type="pct"/>
            <w:shd w:val="clear" w:color="auto" w:fill="auto"/>
            <w:vAlign w:val="center"/>
          </w:tcPr>
          <w:p w14:paraId="6C2F527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w:t>
            </w:r>
          </w:p>
          <w:p w14:paraId="20D19EE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《北京市安全生产条例》</w:t>
            </w:r>
          </w:p>
        </w:tc>
        <w:tc>
          <w:tcPr>
            <w:tcW w:w="187" w:type="pct"/>
            <w:shd w:val="clear" w:color="000000" w:fill="FFFFFF"/>
            <w:vAlign w:val="center"/>
          </w:tcPr>
          <w:p w14:paraId="21E0DA9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76D1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517E05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8E2F2D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29C8EE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5BAD3F2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企业采购无危险化学品安全生产许可或经营许可资质企业的危险化学品。</w:t>
            </w:r>
          </w:p>
        </w:tc>
        <w:tc>
          <w:tcPr>
            <w:tcW w:w="1615" w:type="pct"/>
            <w:shd w:val="clear" w:color="auto" w:fill="auto"/>
            <w:vAlign w:val="center"/>
          </w:tcPr>
          <w:p w14:paraId="3EBA042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w:t>
            </w:r>
          </w:p>
          <w:p w14:paraId="35D41AA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《北京市安全生产条例》</w:t>
            </w:r>
          </w:p>
        </w:tc>
        <w:tc>
          <w:tcPr>
            <w:tcW w:w="187" w:type="pct"/>
            <w:shd w:val="clear" w:color="000000" w:fill="FFFFFF"/>
            <w:vAlign w:val="center"/>
          </w:tcPr>
          <w:p w14:paraId="5860749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BB23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4EB679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83317E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03AB22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49D9AD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危险化学品未储存在专用仓库，未由专人负责管理。</w:t>
            </w:r>
          </w:p>
        </w:tc>
        <w:tc>
          <w:tcPr>
            <w:tcW w:w="1615" w:type="pct"/>
            <w:shd w:val="clear" w:color="auto" w:fill="auto"/>
            <w:vAlign w:val="center"/>
          </w:tcPr>
          <w:p w14:paraId="793B8E2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《危险化学品安全管理条例》（国务院令第591号，国务院令第645号修正） 第二十四条</w:t>
            </w:r>
          </w:p>
        </w:tc>
        <w:tc>
          <w:tcPr>
            <w:tcW w:w="187" w:type="pct"/>
            <w:shd w:val="clear" w:color="000000" w:fill="FFFFFF"/>
            <w:vAlign w:val="center"/>
          </w:tcPr>
          <w:p w14:paraId="535977C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F8CB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33C8D5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D1FE36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3A1114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2BFB1DD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企业未根据其生产、储存的危险化学品的种类和危险特性，在作业场所设置相应的监测、监控、通风、防晒、调温、防火、灭火、防爆、泄压、防毒、中和、防潮、防雷、防静电、防腐、防泄漏以及防护围堤或者隔离操作等安全设施、设备；未按照国家标准、行业标准或者国家有关规定对安全设施、设备进行经常性维护、保养，安全设施、设备未正常运行。 </w:t>
            </w:r>
          </w:p>
        </w:tc>
        <w:tc>
          <w:tcPr>
            <w:tcW w:w="1615" w:type="pct"/>
            <w:shd w:val="clear" w:color="auto" w:fill="auto"/>
            <w:vAlign w:val="center"/>
          </w:tcPr>
          <w:p w14:paraId="78C0D1A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《危险化学品安全管理条例》（国务院令第591号，国务院令第645号修正）第二十条</w:t>
            </w:r>
          </w:p>
        </w:tc>
        <w:tc>
          <w:tcPr>
            <w:tcW w:w="187" w:type="pct"/>
            <w:shd w:val="clear" w:color="000000" w:fill="FFFFFF"/>
            <w:vAlign w:val="center"/>
          </w:tcPr>
          <w:p w14:paraId="3AC881B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A9C1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9B424B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50F9B2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613B3A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07DA455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储存剧毒化学品或者国务院公安部门规定的可用于制造爆炸物品的危险化学品（以下简称易制爆危险化学品）企业，未如实记录其生产、储存的剧毒化学品、易制爆危险化学品的数量、流向，并采取必要的安全防范措施，防止剧毒化学品、易制爆危险化学品丢失或者被盗；发现剧毒化学品、易制爆危险化学品丢失或者被盗的，未立即向当地公安机关报告。生产、储存剧毒化学品、易制爆危险化学品的单位，未设置治安保卫机构，配备专职治安保卫人员。</w:t>
            </w:r>
          </w:p>
        </w:tc>
        <w:tc>
          <w:tcPr>
            <w:tcW w:w="1615" w:type="pct"/>
            <w:shd w:val="clear" w:color="auto" w:fill="auto"/>
            <w:vAlign w:val="center"/>
          </w:tcPr>
          <w:p w14:paraId="7CC0971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w:t>
            </w:r>
            <w:r>
              <w:rPr>
                <w:rFonts w:ascii="仿宋_GB2312" w:hAnsi="等线" w:eastAsia="仿宋_GB2312" w:cs="宋体"/>
                <w:color w:val="000000" w:themeColor="text1"/>
                <w:kern w:val="0"/>
                <w:sz w:val="20"/>
                <w:szCs w:val="20"/>
                <w14:textFill>
                  <w14:solidFill>
                    <w14:schemeClr w14:val="tx1"/>
                  </w14:solidFill>
                </w14:textFill>
              </w:rPr>
              <w:t>591号，国务院令第645号修正）第二十三条</w:t>
            </w:r>
          </w:p>
        </w:tc>
        <w:tc>
          <w:tcPr>
            <w:tcW w:w="187" w:type="pct"/>
            <w:shd w:val="clear" w:color="000000" w:fill="FFFFFF"/>
            <w:vAlign w:val="center"/>
          </w:tcPr>
          <w:p w14:paraId="2DDBE4F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F15B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309C66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7EF764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FE47AE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7EEFB21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液体罐区：</w:t>
            </w:r>
            <w:r>
              <w:rPr>
                <w:rFonts w:ascii="仿宋_GB2312" w:hAnsi="等线" w:eastAsia="仿宋_GB2312" w:cs="宋体"/>
                <w:color w:val="000000" w:themeColor="text1"/>
                <w:kern w:val="0"/>
                <w:sz w:val="20"/>
                <w:szCs w:val="20"/>
                <w14:textFill>
                  <w14:solidFill>
                    <w14:schemeClr w14:val="tx1"/>
                  </w14:solidFill>
                </w14:textFill>
              </w:rPr>
              <w:t>1.有固定顶储罐的罐区，防火堤或围堰的有效容量小于一个最大罐体的容量；2.有浮顶或内浮顶储罐的罐区，防火堤或围堰的有效容量小于一个最大罐体的容量的一半；3.当固定顶和浮顶或内浮顶储罐同时布置，防火堤或围堰的有效容量</w:t>
            </w:r>
            <w:r>
              <w:rPr>
                <w:rFonts w:hint="eastAsia" w:ascii="仿宋_GB2312" w:hAnsi="等线" w:eastAsia="仿宋_GB2312" w:cs="宋体"/>
                <w:color w:val="000000" w:themeColor="text1"/>
                <w:kern w:val="0"/>
                <w:sz w:val="20"/>
                <w:szCs w:val="20"/>
                <w14:textFill>
                  <w14:solidFill>
                    <w14:schemeClr w14:val="tx1"/>
                  </w14:solidFill>
                </w14:textFill>
              </w:rPr>
              <w:t>小于储罐容量的</w:t>
            </w:r>
            <w:r>
              <w:rPr>
                <w:rFonts w:ascii="仿宋_GB2312" w:hAnsi="等线" w:eastAsia="仿宋_GB2312" w:cs="宋体"/>
                <w:color w:val="000000" w:themeColor="text1"/>
                <w:kern w:val="0"/>
                <w:sz w:val="20"/>
                <w:szCs w:val="20"/>
                <w14:textFill>
                  <w14:solidFill>
                    <w14:schemeClr w14:val="tx1"/>
                  </w14:solidFill>
                </w14:textFill>
              </w:rPr>
              <w:t>最大值；4.防火堤或围堰内地面</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采取防渗措施。</w:t>
            </w:r>
          </w:p>
        </w:tc>
        <w:tc>
          <w:tcPr>
            <w:tcW w:w="1615" w:type="pct"/>
            <w:shd w:val="clear" w:color="auto" w:fill="auto"/>
            <w:vAlign w:val="center"/>
          </w:tcPr>
          <w:p w14:paraId="50C55F1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《北京市安全生产监督管理局关于深入开展危险化学品罐区安全管理工作的通知》（京安监发〔</w:t>
            </w:r>
            <w:r>
              <w:rPr>
                <w:rFonts w:ascii="仿宋_GB2312" w:hAnsi="等线" w:eastAsia="仿宋_GB2312" w:cs="宋体"/>
                <w:color w:val="000000" w:themeColor="text1"/>
                <w:kern w:val="0"/>
                <w:sz w:val="20"/>
                <w:szCs w:val="20"/>
                <w14:textFill>
                  <w14:solidFill>
                    <w14:schemeClr w14:val="tx1"/>
                  </w14:solidFill>
                </w14:textFill>
              </w:rPr>
              <w:t>2015〕22号）</w:t>
            </w:r>
          </w:p>
        </w:tc>
        <w:tc>
          <w:tcPr>
            <w:tcW w:w="187" w:type="pct"/>
            <w:shd w:val="clear" w:color="000000" w:fill="FFFFFF"/>
            <w:vAlign w:val="center"/>
          </w:tcPr>
          <w:p w14:paraId="3B23B3F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AA61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3CF56E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32F4ED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7DBC51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302BA88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腐蚀性液体罐区：</w:t>
            </w:r>
            <w:r>
              <w:rPr>
                <w:rFonts w:ascii="仿宋_GB2312" w:hAnsi="等线" w:eastAsia="仿宋_GB2312" w:cs="宋体"/>
                <w:color w:val="000000" w:themeColor="text1"/>
                <w:kern w:val="0"/>
                <w:sz w:val="20"/>
                <w:szCs w:val="20"/>
                <w14:textFill>
                  <w14:solidFill>
                    <w14:schemeClr w14:val="tx1"/>
                  </w14:solidFill>
                </w14:textFill>
              </w:rPr>
              <w:t>1.储罐区内的地面</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采取防渗漏和防腐蚀措施；2.储罐区</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设置围堤，围堤的有效容积罐组内1个最大储罐的容积；3.</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根据腐蚀性液体特性，配备中和剂等应急救援物资。</w:t>
            </w:r>
          </w:p>
        </w:tc>
        <w:tc>
          <w:tcPr>
            <w:tcW w:w="1615" w:type="pct"/>
            <w:shd w:val="clear" w:color="auto" w:fill="auto"/>
            <w:vAlign w:val="center"/>
          </w:tcPr>
          <w:p w14:paraId="2EE2027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《北京市安全生产监督管理局关于深入开展危险化学品罐区安全管理工作的通知》（京安监发〔</w:t>
            </w:r>
            <w:r>
              <w:rPr>
                <w:rFonts w:ascii="仿宋_GB2312" w:hAnsi="等线" w:eastAsia="仿宋_GB2312" w:cs="宋体"/>
                <w:color w:val="000000" w:themeColor="text1"/>
                <w:kern w:val="0"/>
                <w:sz w:val="20"/>
                <w:szCs w:val="20"/>
                <w14:textFill>
                  <w14:solidFill>
                    <w14:schemeClr w14:val="tx1"/>
                  </w14:solidFill>
                </w14:textFill>
              </w:rPr>
              <w:t>2015〕22号）</w:t>
            </w:r>
          </w:p>
        </w:tc>
        <w:tc>
          <w:tcPr>
            <w:tcW w:w="187" w:type="pct"/>
            <w:shd w:val="clear" w:color="000000" w:fill="FFFFFF"/>
            <w:vAlign w:val="center"/>
          </w:tcPr>
          <w:p w14:paraId="304A191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DE06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C17D2D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1ECAF7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1C832B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CE72F1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火灾危险性类别不同的储罐在同一罐区成组布置时，不符合规范要求。</w:t>
            </w:r>
          </w:p>
        </w:tc>
        <w:tc>
          <w:tcPr>
            <w:tcW w:w="1615" w:type="pct"/>
            <w:shd w:val="clear" w:color="auto" w:fill="auto"/>
            <w:vAlign w:val="center"/>
          </w:tcPr>
          <w:p w14:paraId="22697CA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第6.2.5条</w:t>
            </w:r>
          </w:p>
        </w:tc>
        <w:tc>
          <w:tcPr>
            <w:tcW w:w="187" w:type="pct"/>
            <w:shd w:val="clear" w:color="auto" w:fill="auto"/>
            <w:vAlign w:val="center"/>
          </w:tcPr>
          <w:p w14:paraId="3AE616A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B45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A64F2D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EA3084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232BA2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0EFAA38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液氨的储罐，未设液位计、压力表和安全阀；低温液氨储罐未设温度指示仪。</w:t>
            </w:r>
          </w:p>
        </w:tc>
        <w:tc>
          <w:tcPr>
            <w:tcW w:w="1615" w:type="pct"/>
            <w:shd w:val="clear" w:color="auto" w:fill="auto"/>
            <w:vAlign w:val="center"/>
          </w:tcPr>
          <w:p w14:paraId="7857AE2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2018年版）》（GB50160-2008）第6.3.10条</w:t>
            </w:r>
          </w:p>
        </w:tc>
        <w:tc>
          <w:tcPr>
            <w:tcW w:w="187" w:type="pct"/>
            <w:shd w:val="clear" w:color="auto" w:fill="auto"/>
            <w:vAlign w:val="center"/>
          </w:tcPr>
          <w:p w14:paraId="7BF0491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395D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1A4A84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FC4691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B30849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A85EEB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液化烃的储罐未设液位计、温度计、压力表、安全阀，以及高液位报警和高高液位自动联锁切断进料措施。对于全冷冻式液化烃储罐未设真空泄放设施和高、低温度检测，未与自动控制系统相联。</w:t>
            </w:r>
          </w:p>
        </w:tc>
        <w:tc>
          <w:tcPr>
            <w:tcW w:w="1615" w:type="pct"/>
            <w:shd w:val="clear" w:color="auto" w:fill="auto"/>
            <w:vAlign w:val="center"/>
          </w:tcPr>
          <w:p w14:paraId="1E550C5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2018年版）》（GB50160-2008）第6.3.11条</w:t>
            </w:r>
          </w:p>
        </w:tc>
        <w:tc>
          <w:tcPr>
            <w:tcW w:w="187" w:type="pct"/>
            <w:shd w:val="clear" w:color="auto" w:fill="auto"/>
            <w:vAlign w:val="center"/>
          </w:tcPr>
          <w:p w14:paraId="0E5FBC6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8FD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3C1725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F3723F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A7B7DC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657C3D3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正常运行的内浮顶罐浮盘落底；内浮顶罐低液位报警或联锁设置低于浮盘支撑的高度。</w:t>
            </w:r>
          </w:p>
        </w:tc>
        <w:tc>
          <w:tcPr>
            <w:tcW w:w="1615" w:type="pct"/>
            <w:shd w:val="clear" w:color="auto" w:fill="auto"/>
            <w:vAlign w:val="center"/>
          </w:tcPr>
          <w:p w14:paraId="51795F2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《化工（危险化学品）企业安全检查重点指导目录》（安监总管三〔2015〕113号） 附件 17</w:t>
            </w:r>
          </w:p>
        </w:tc>
        <w:tc>
          <w:tcPr>
            <w:tcW w:w="187" w:type="pct"/>
            <w:shd w:val="clear" w:color="auto" w:fill="auto"/>
            <w:vAlign w:val="center"/>
          </w:tcPr>
          <w:p w14:paraId="6DE7E61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8C0F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FD02D5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04250D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D19BB4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50057A0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全压力式液化烃球形储罐未按国家标准设置注水措施（半冷冻压力式液化烃储罐或遇水发生反应的液化烃储罐除外）。</w:t>
            </w:r>
          </w:p>
        </w:tc>
        <w:tc>
          <w:tcPr>
            <w:tcW w:w="1615" w:type="pct"/>
            <w:shd w:val="clear" w:color="auto" w:fill="auto"/>
            <w:vAlign w:val="center"/>
          </w:tcPr>
          <w:p w14:paraId="521B398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《中华人民共和国安全生产法》第六十二条；</w:t>
            </w:r>
          </w:p>
          <w:p w14:paraId="7F3D851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《化工和危险化学品生产经营单位重大生产安全事故隐患判定标准（试行）》第六条。</w:t>
            </w:r>
          </w:p>
        </w:tc>
        <w:tc>
          <w:tcPr>
            <w:tcW w:w="187" w:type="pct"/>
            <w:shd w:val="clear" w:color="auto" w:fill="auto"/>
            <w:vAlign w:val="center"/>
          </w:tcPr>
          <w:p w14:paraId="4E2472E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00F13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1C9966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E88F4B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21331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363DDF5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有氮气保护设施的储罐未确保氮封系统完好在用。</w:t>
            </w:r>
          </w:p>
        </w:tc>
        <w:tc>
          <w:tcPr>
            <w:tcW w:w="1615" w:type="pct"/>
            <w:shd w:val="clear" w:color="auto" w:fill="auto"/>
            <w:vAlign w:val="center"/>
          </w:tcPr>
          <w:p w14:paraId="28E2ABC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《国家安全监管总局关于进一步加强化学品罐区安全管理的通知》（安监总管三〔2014〕68号） 第四条</w:t>
            </w:r>
          </w:p>
        </w:tc>
        <w:tc>
          <w:tcPr>
            <w:tcW w:w="187" w:type="pct"/>
            <w:shd w:val="clear" w:color="auto" w:fill="auto"/>
            <w:vAlign w:val="center"/>
          </w:tcPr>
          <w:p w14:paraId="430B9B9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87E4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A181A1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EB9486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B1DCF0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0E06F57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防火堤的容积、材质、耐火性能以及伸缩缝配置，不能承受所容纳油品的静压力或不渗漏不能满足规范要求。</w:t>
            </w:r>
          </w:p>
        </w:tc>
        <w:tc>
          <w:tcPr>
            <w:tcW w:w="1615" w:type="pct"/>
            <w:shd w:val="clear" w:color="auto" w:fill="auto"/>
            <w:vAlign w:val="center"/>
          </w:tcPr>
          <w:p w14:paraId="180A8A2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表4（七）7；《储罐区防火堤设计规范》（GB50351-2014 ）</w:t>
            </w:r>
          </w:p>
        </w:tc>
        <w:tc>
          <w:tcPr>
            <w:tcW w:w="187" w:type="pct"/>
            <w:shd w:val="clear" w:color="auto" w:fill="auto"/>
            <w:vAlign w:val="center"/>
          </w:tcPr>
          <w:p w14:paraId="24531DC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19FC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F18195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05D4C78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5070D3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79F232A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储罐根部未设紧急切断阀。</w:t>
            </w:r>
          </w:p>
        </w:tc>
        <w:tc>
          <w:tcPr>
            <w:tcW w:w="1615" w:type="pct"/>
            <w:shd w:val="clear" w:color="auto" w:fill="auto"/>
            <w:vAlign w:val="center"/>
          </w:tcPr>
          <w:p w14:paraId="7A60678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50160-2008）第6.3.14条</w:t>
            </w:r>
          </w:p>
        </w:tc>
        <w:tc>
          <w:tcPr>
            <w:tcW w:w="187" w:type="pct"/>
            <w:shd w:val="clear" w:color="auto" w:fill="auto"/>
            <w:vAlign w:val="center"/>
          </w:tcPr>
          <w:p w14:paraId="021CB57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DDBD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80E3C6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FC0452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06CEB7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425B4D0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气柜未设上、下限位报警装置，未设进出管道自动联锁切断装置。</w:t>
            </w:r>
          </w:p>
        </w:tc>
        <w:tc>
          <w:tcPr>
            <w:tcW w:w="1615" w:type="pct"/>
            <w:shd w:val="clear" w:color="auto" w:fill="auto"/>
            <w:vAlign w:val="center"/>
          </w:tcPr>
          <w:p w14:paraId="64F241C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第6.3.12条</w:t>
            </w:r>
          </w:p>
        </w:tc>
        <w:tc>
          <w:tcPr>
            <w:tcW w:w="187" w:type="pct"/>
            <w:shd w:val="clear" w:color="auto" w:fill="auto"/>
            <w:vAlign w:val="center"/>
          </w:tcPr>
          <w:p w14:paraId="05A166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FB08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470D24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CC4AC8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697297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24D550EB">
            <w:pPr>
              <w:widowControl/>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气柜未布置在人员集中场所、明火或散发火花地点的全年最小频率风向的上风侧。</w:t>
            </w:r>
          </w:p>
        </w:tc>
        <w:tc>
          <w:tcPr>
            <w:tcW w:w="1615" w:type="pct"/>
            <w:shd w:val="clear" w:color="auto" w:fill="auto"/>
            <w:vAlign w:val="center"/>
          </w:tcPr>
          <w:p w14:paraId="013042F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50160-2008）第4.2.2条</w:t>
            </w:r>
          </w:p>
        </w:tc>
        <w:tc>
          <w:tcPr>
            <w:tcW w:w="187" w:type="pct"/>
            <w:shd w:val="clear" w:color="auto" w:fill="auto"/>
            <w:vAlign w:val="center"/>
          </w:tcPr>
          <w:p w14:paraId="48E9F8C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8C5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DB4D35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1E6E87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EDF3D8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7D853A1C">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气柜与停车场的防火间距不大于30m（大于50000M</w:t>
            </w:r>
            <w:r>
              <w:rPr>
                <w:rFonts w:hint="eastAsia" w:ascii="仿宋_GB2312" w:hAnsi="等线" w:eastAsia="仿宋_GB2312" w:cs="宋体"/>
                <w:color w:val="000000" w:themeColor="text1"/>
                <w:kern w:val="0"/>
                <w:sz w:val="20"/>
                <w:szCs w:val="20"/>
                <w:vertAlign w:val="superscript"/>
                <w14:textFill>
                  <w14:solidFill>
                    <w14:schemeClr w14:val="tx1"/>
                  </w14:solidFill>
                </w14:textFill>
              </w:rPr>
              <w:t>3</w:t>
            </w:r>
            <w:r>
              <w:rPr>
                <w:rFonts w:hint="eastAsia" w:ascii="仿宋_GB2312" w:hAnsi="等线" w:eastAsia="仿宋_GB2312" w:cs="宋体"/>
                <w:color w:val="000000" w:themeColor="text1"/>
                <w:kern w:val="0"/>
                <w:sz w:val="20"/>
                <w:szCs w:val="20"/>
                <w14:textFill>
                  <w14:solidFill>
                    <w14:schemeClr w14:val="tx1"/>
                  </w14:solidFill>
                </w14:textFill>
              </w:rPr>
              <w:t>，37.5m，包含与运输道路及公路防火间距)。</w:t>
            </w:r>
          </w:p>
        </w:tc>
        <w:tc>
          <w:tcPr>
            <w:tcW w:w="1615" w:type="pct"/>
            <w:shd w:val="clear" w:color="auto" w:fill="auto"/>
            <w:vAlign w:val="center"/>
          </w:tcPr>
          <w:p w14:paraId="654F623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《石油化工企业设计防火标准（2018年版）》表4.2.12</w:t>
            </w:r>
          </w:p>
        </w:tc>
        <w:tc>
          <w:tcPr>
            <w:tcW w:w="187" w:type="pct"/>
            <w:shd w:val="clear" w:color="auto" w:fill="auto"/>
            <w:vAlign w:val="center"/>
          </w:tcPr>
          <w:p w14:paraId="03992AF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56F5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CC6044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99A5B7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281A46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0CE97792">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气柜与增压机（房）、控制室、油站（干式）防火间距不满足规范要求。</w:t>
            </w:r>
          </w:p>
        </w:tc>
        <w:tc>
          <w:tcPr>
            <w:tcW w:w="1615" w:type="pct"/>
            <w:shd w:val="clear" w:color="auto" w:fill="auto"/>
            <w:vAlign w:val="center"/>
          </w:tcPr>
          <w:p w14:paraId="4AB9AD3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《石油化工企业设计防火标准（2018年版）》表4.2.12、表6.3.3.</w:t>
            </w:r>
          </w:p>
        </w:tc>
        <w:tc>
          <w:tcPr>
            <w:tcW w:w="187" w:type="pct"/>
            <w:shd w:val="clear" w:color="auto" w:fill="auto"/>
            <w:vAlign w:val="center"/>
          </w:tcPr>
          <w:p w14:paraId="682EFF7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4C38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B43D5C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53EBFC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8746D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F7D030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氯乙烯气柜的压力</w:t>
            </w:r>
            <w:r>
              <w:rPr>
                <w:rFonts w:ascii="仿宋_GB2312" w:hAnsi="等线" w:eastAsia="仿宋_GB2312" w:cs="宋体"/>
                <w:color w:val="000000" w:themeColor="text1"/>
                <w:kern w:val="0"/>
                <w:sz w:val="20"/>
                <w:szCs w:val="20"/>
                <w14:textFill>
                  <w14:solidFill>
                    <w14:schemeClr w14:val="tx1"/>
                  </w14:solidFill>
                </w14:textFill>
              </w:rPr>
              <w:t>(钟罩内)、柜位高度不能实现在线连续监测；未设置气柜压力、柜位等联锁。混式气柜储存毒性为极度、高度危害的气体 。</w:t>
            </w:r>
          </w:p>
        </w:tc>
        <w:tc>
          <w:tcPr>
            <w:tcW w:w="1615" w:type="pct"/>
            <w:shd w:val="clear" w:color="auto" w:fill="auto"/>
            <w:vAlign w:val="center"/>
          </w:tcPr>
          <w:p w14:paraId="64738AC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w:t>
            </w:r>
            <w:r>
              <w:rPr>
                <w:rFonts w:ascii="仿宋_GB2312" w:hAnsi="等线" w:eastAsia="仿宋_GB2312" w:cs="宋体"/>
                <w:color w:val="000000" w:themeColor="text1"/>
                <w:kern w:val="0"/>
                <w:sz w:val="20"/>
                <w:szCs w:val="20"/>
                <w14:textFill>
                  <w14:solidFill>
                    <w14:schemeClr w14:val="tx1"/>
                  </w14:solidFill>
                </w14:textFill>
              </w:rPr>
              <w:t>安全风险隐患排查治理导  则》(应急〔2019〕78号)</w:t>
            </w:r>
            <w:r>
              <w:rPr>
                <w:rFonts w:hint="eastAsia"/>
                <w:color w:val="000000" w:themeColor="text1"/>
                <w14:textFill>
                  <w14:solidFill>
                    <w14:schemeClr w14:val="tx1"/>
                  </w14:solidFill>
                </w14:textFill>
              </w:rPr>
              <w:t xml:space="preserve"> </w:t>
            </w:r>
            <w:r>
              <w:rPr>
                <w:rFonts w:hint="eastAsia" w:ascii="仿宋_GB2312" w:hAnsi="等线" w:eastAsia="仿宋_GB2312" w:cs="宋体"/>
                <w:color w:val="000000" w:themeColor="text1"/>
                <w:kern w:val="0"/>
                <w:sz w:val="20"/>
                <w:szCs w:val="20"/>
                <w14:textFill>
                  <w14:solidFill>
                    <w14:schemeClr w14:val="tx1"/>
                  </w14:solidFill>
                </w14:textFill>
              </w:rPr>
              <w:t>附件</w:t>
            </w:r>
            <w:r>
              <w:rPr>
                <w:rFonts w:ascii="仿宋_GB2312" w:hAnsi="等线" w:eastAsia="仿宋_GB2312" w:cs="宋体"/>
                <w:color w:val="000000" w:themeColor="text1"/>
                <w:kern w:val="0"/>
                <w:sz w:val="20"/>
                <w:szCs w:val="20"/>
                <w14:textFill>
                  <w14:solidFill>
                    <w14:schemeClr w14:val="tx1"/>
                  </w14:solidFill>
                </w14:textFill>
              </w:rPr>
              <w:t>9  重点危险化学品特殊管控安全风险隐患排查表(六)氯乙烯  第 6条</w:t>
            </w:r>
          </w:p>
        </w:tc>
        <w:tc>
          <w:tcPr>
            <w:tcW w:w="187" w:type="pct"/>
            <w:shd w:val="clear" w:color="auto" w:fill="auto"/>
            <w:vAlign w:val="center"/>
          </w:tcPr>
          <w:p w14:paraId="5196104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BF5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BEE9FA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C74D93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04B5F9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0329E86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未按国家标准分区分类储存危险化学品，超量、超品种储存危险化学品，相互禁配物质混放混存。</w:t>
            </w:r>
          </w:p>
        </w:tc>
        <w:tc>
          <w:tcPr>
            <w:tcW w:w="1615" w:type="pct"/>
            <w:shd w:val="clear" w:color="auto" w:fill="auto"/>
            <w:vAlign w:val="center"/>
          </w:tcPr>
          <w:p w14:paraId="5ADA7AF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第二十条</w:t>
            </w:r>
          </w:p>
        </w:tc>
        <w:tc>
          <w:tcPr>
            <w:tcW w:w="187" w:type="pct"/>
            <w:shd w:val="clear" w:color="auto" w:fill="auto"/>
            <w:vAlign w:val="center"/>
          </w:tcPr>
          <w:p w14:paraId="42437E6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7D3AD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8EA705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4C333F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5C0433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59E8908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企业未定期对储罐进行年度检查、检验及全面检查。</w:t>
            </w:r>
          </w:p>
        </w:tc>
        <w:tc>
          <w:tcPr>
            <w:tcW w:w="1615" w:type="pct"/>
            <w:shd w:val="clear" w:color="auto" w:fill="auto"/>
            <w:vAlign w:val="center"/>
          </w:tcPr>
          <w:p w14:paraId="1B942FE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表5（四）1</w:t>
            </w:r>
          </w:p>
        </w:tc>
        <w:tc>
          <w:tcPr>
            <w:tcW w:w="187" w:type="pct"/>
            <w:shd w:val="clear" w:color="auto" w:fill="auto"/>
            <w:vAlign w:val="center"/>
          </w:tcPr>
          <w:p w14:paraId="1EAC3EE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241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EAE597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D7021A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052DBA4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70B4A5F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企业未对储罐呼吸阀（液压安全阀）、阻火器、泡沫发生器、液位计、通气管等安全附件按规范设置，未定期检查或检测，未填写检查维护记录。</w:t>
            </w:r>
          </w:p>
        </w:tc>
        <w:tc>
          <w:tcPr>
            <w:tcW w:w="1615" w:type="pct"/>
            <w:shd w:val="clear" w:color="auto" w:fill="auto"/>
            <w:vAlign w:val="center"/>
          </w:tcPr>
          <w:p w14:paraId="65EE1D4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表5（四）2</w:t>
            </w:r>
          </w:p>
        </w:tc>
        <w:tc>
          <w:tcPr>
            <w:tcW w:w="187" w:type="pct"/>
            <w:shd w:val="clear" w:color="auto" w:fill="auto"/>
            <w:vAlign w:val="center"/>
          </w:tcPr>
          <w:p w14:paraId="5331F75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EFA6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D7F91E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DFE0C2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FCE8E8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51581AB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可燃液体地上储罐的进出口管道未采用柔性连接。</w:t>
            </w:r>
          </w:p>
        </w:tc>
        <w:tc>
          <w:tcPr>
            <w:tcW w:w="1615" w:type="pct"/>
            <w:shd w:val="clear" w:color="auto" w:fill="auto"/>
            <w:vAlign w:val="center"/>
          </w:tcPr>
          <w:p w14:paraId="2F44688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 第6.2.25条</w:t>
            </w:r>
          </w:p>
        </w:tc>
        <w:tc>
          <w:tcPr>
            <w:tcW w:w="187" w:type="pct"/>
            <w:shd w:val="clear" w:color="auto" w:fill="auto"/>
            <w:vAlign w:val="center"/>
          </w:tcPr>
          <w:p w14:paraId="4183C85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6294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BB199F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9E223C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84AE09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201F594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具有化学灼伤危害的物料使用玻璃等易碎材料制成管道、管件、阀门、流量计、压力计等。</w:t>
            </w:r>
          </w:p>
        </w:tc>
        <w:tc>
          <w:tcPr>
            <w:tcW w:w="1615" w:type="pct"/>
            <w:shd w:val="clear" w:color="auto" w:fill="auto"/>
            <w:vAlign w:val="center"/>
          </w:tcPr>
          <w:p w14:paraId="6339A8D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《化工企业安全卫生设计规范》（HG20571-2014） 第5.6.2条</w:t>
            </w:r>
          </w:p>
        </w:tc>
        <w:tc>
          <w:tcPr>
            <w:tcW w:w="187" w:type="pct"/>
            <w:shd w:val="clear" w:color="auto" w:fill="auto"/>
            <w:vAlign w:val="center"/>
          </w:tcPr>
          <w:p w14:paraId="3D2B9D7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9CDF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E1DE80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E56A8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576C30E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623AC86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苯乙烯、丁二烯储</w:t>
            </w:r>
            <w:r>
              <w:rPr>
                <w:rFonts w:ascii="仿宋_GB2312" w:hAnsi="等线" w:eastAsia="仿宋_GB2312" w:cs="宋体"/>
                <w:color w:val="000000" w:themeColor="text1"/>
                <w:kern w:val="0"/>
                <w:sz w:val="20"/>
                <w:szCs w:val="20"/>
                <w14:textFill>
                  <w14:solidFill>
                    <w14:schemeClr w14:val="tx1"/>
                  </w14:solidFill>
                </w14:textFill>
              </w:rPr>
              <w:t>运系统未采取降温设施，苯乙烯储存 温度超过20℃、丁</w:t>
            </w:r>
            <w:r>
              <w:rPr>
                <w:rFonts w:hint="eastAsia" w:ascii="仿宋_GB2312" w:hAnsi="等线" w:eastAsia="仿宋_GB2312" w:cs="宋体"/>
                <w:color w:val="000000" w:themeColor="text1"/>
                <w:kern w:val="0"/>
                <w:sz w:val="20"/>
                <w:szCs w:val="20"/>
                <w14:textFill>
                  <w14:solidFill>
                    <w14:schemeClr w14:val="tx1"/>
                  </w14:solidFill>
                </w14:textFill>
              </w:rPr>
              <w:t>二烯储存温度超过</w:t>
            </w:r>
            <w:r>
              <w:rPr>
                <w:rFonts w:ascii="仿宋_GB2312" w:hAnsi="等线" w:eastAsia="仿宋_GB2312" w:cs="宋体"/>
                <w:color w:val="000000" w:themeColor="text1"/>
                <w:kern w:val="0"/>
                <w:sz w:val="20"/>
                <w:szCs w:val="20"/>
                <w14:textFill>
                  <w14:solidFill>
                    <w14:schemeClr w14:val="tx1"/>
                  </w14:solidFill>
                </w14:textFill>
              </w:rPr>
              <w:t>27℃。苯乙烯、丁二烯的聚合装置紧急终止剂加入管线上手动阀门处于关闭状态 。</w:t>
            </w:r>
          </w:p>
        </w:tc>
        <w:tc>
          <w:tcPr>
            <w:tcW w:w="1615" w:type="pct"/>
            <w:shd w:val="clear" w:color="auto" w:fill="auto"/>
            <w:vAlign w:val="center"/>
          </w:tcPr>
          <w:p w14:paraId="49D8D56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《丁二烯企业安全</w:t>
            </w:r>
            <w:r>
              <w:rPr>
                <w:rFonts w:ascii="仿宋_GB2312" w:hAnsi="等线" w:eastAsia="仿宋_GB2312" w:cs="宋体"/>
                <w:color w:val="000000" w:themeColor="text1"/>
                <w:kern w:val="0"/>
                <w:sz w:val="20"/>
                <w:szCs w:val="20"/>
                <w14:textFill>
                  <w14:solidFill>
                    <w14:schemeClr w14:val="tx1"/>
                  </w14:solidFill>
                </w14:textFill>
              </w:rPr>
              <w:t>风险隐患排查指南(试行)》</w:t>
            </w:r>
            <w:r>
              <w:rPr>
                <w:rFonts w:hint="eastAsia" w:ascii="仿宋_GB2312" w:hAnsi="等线" w:eastAsia="仿宋_GB2312" w:cs="宋体"/>
                <w:color w:val="000000" w:themeColor="text1"/>
                <w:kern w:val="0"/>
                <w:sz w:val="20"/>
                <w:szCs w:val="20"/>
                <w14:textFill>
                  <w14:solidFill>
                    <w14:schemeClr w14:val="tx1"/>
                  </w14:solidFill>
                </w14:textFill>
              </w:rPr>
              <w:t>第</w:t>
            </w:r>
            <w:r>
              <w:rPr>
                <w:rFonts w:ascii="仿宋_GB2312" w:hAnsi="等线" w:eastAsia="仿宋_GB2312" w:cs="宋体"/>
                <w:color w:val="000000" w:themeColor="text1"/>
                <w:kern w:val="0"/>
                <w:sz w:val="20"/>
                <w:szCs w:val="20"/>
                <w14:textFill>
                  <w14:solidFill>
                    <w14:schemeClr w14:val="tx1"/>
                  </w14:solidFill>
                </w14:textFill>
              </w:rPr>
              <w:t>2.2</w:t>
            </w:r>
            <w:r>
              <w:rPr>
                <w:rFonts w:hint="eastAsia" w:ascii="仿宋_GB2312" w:hAnsi="等线" w:eastAsia="仿宋_GB2312" w:cs="宋体"/>
                <w:color w:val="000000" w:themeColor="text1"/>
                <w:kern w:val="0"/>
                <w:sz w:val="20"/>
                <w:szCs w:val="20"/>
                <w14:textFill>
                  <w14:solidFill>
                    <w14:schemeClr w14:val="tx1"/>
                  </w14:solidFill>
                </w14:textFill>
              </w:rPr>
              <w:t>条</w:t>
            </w:r>
          </w:p>
        </w:tc>
        <w:tc>
          <w:tcPr>
            <w:tcW w:w="187" w:type="pct"/>
            <w:shd w:val="clear" w:color="auto" w:fill="auto"/>
            <w:vAlign w:val="center"/>
          </w:tcPr>
          <w:p w14:paraId="67AC705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C95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D3C215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E070FB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646A8A7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A107A6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构成一级、二级重大危险源的危险化学品罐区未实现紧急切断功能；涉及毒性气体、液化气体、剧毒液体的一级、二级重大危险源的危险化学品罐区未配备独立的安全仪表系统。</w:t>
            </w:r>
          </w:p>
        </w:tc>
        <w:tc>
          <w:tcPr>
            <w:tcW w:w="1615" w:type="pct"/>
            <w:shd w:val="clear" w:color="auto" w:fill="auto"/>
            <w:vAlign w:val="center"/>
          </w:tcPr>
          <w:p w14:paraId="188EB3D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第五条</w:t>
            </w:r>
          </w:p>
        </w:tc>
        <w:tc>
          <w:tcPr>
            <w:tcW w:w="187" w:type="pct"/>
            <w:shd w:val="clear" w:color="auto" w:fill="auto"/>
            <w:vAlign w:val="center"/>
          </w:tcPr>
          <w:p w14:paraId="3D5E06A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735B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D26907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007E4B6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38658C8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75C1CF7F">
            <w:pPr>
              <w:widowControl/>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液化烃储罐的储存系数大于0.9。</w:t>
            </w:r>
          </w:p>
        </w:tc>
        <w:tc>
          <w:tcPr>
            <w:tcW w:w="1615" w:type="pct"/>
            <w:shd w:val="clear" w:color="auto" w:fill="auto"/>
            <w:vAlign w:val="center"/>
          </w:tcPr>
          <w:p w14:paraId="2F322F58">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50160-2008）第6.3.9条</w:t>
            </w:r>
          </w:p>
        </w:tc>
        <w:tc>
          <w:tcPr>
            <w:tcW w:w="187" w:type="pct"/>
            <w:shd w:val="clear" w:color="auto" w:fill="auto"/>
            <w:vAlign w:val="center"/>
          </w:tcPr>
          <w:p w14:paraId="5683D4D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55F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9B8ECA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0D54D75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01C2D89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7AAD5995">
            <w:pPr>
              <w:widowControl/>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液化烃的储罐未设液位计、温度计、压力表、安全阀，以及高液位报警和高高液位自动联锁切断进料措施。对于全冷冻式液化烃储罐未设置真空泄放设施和高、低温度检测，未与自动控制系统相联。</w:t>
            </w:r>
          </w:p>
        </w:tc>
        <w:tc>
          <w:tcPr>
            <w:tcW w:w="1615" w:type="pct"/>
            <w:shd w:val="clear" w:color="auto" w:fill="auto"/>
            <w:vAlign w:val="center"/>
          </w:tcPr>
          <w:p w14:paraId="1E0EAD9B">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50160-2008）第6.3.11条</w:t>
            </w:r>
          </w:p>
        </w:tc>
        <w:tc>
          <w:tcPr>
            <w:tcW w:w="187" w:type="pct"/>
            <w:shd w:val="clear" w:color="auto" w:fill="auto"/>
            <w:vAlign w:val="center"/>
          </w:tcPr>
          <w:p w14:paraId="293D887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D13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99A098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7EBA87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3C84B9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1A3043A">
            <w:pPr>
              <w:widowControl/>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液化烃汽车装卸时就地排放。</w:t>
            </w:r>
          </w:p>
        </w:tc>
        <w:tc>
          <w:tcPr>
            <w:tcW w:w="1615" w:type="pct"/>
            <w:shd w:val="clear" w:color="auto" w:fill="auto"/>
            <w:vAlign w:val="center"/>
          </w:tcPr>
          <w:p w14:paraId="184FEB84">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50160-2008）第6.4.3条</w:t>
            </w:r>
          </w:p>
        </w:tc>
        <w:tc>
          <w:tcPr>
            <w:tcW w:w="187" w:type="pct"/>
            <w:shd w:val="clear" w:color="auto" w:fill="auto"/>
            <w:vAlign w:val="center"/>
          </w:tcPr>
          <w:p w14:paraId="316C931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B5F3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BDB1D3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1AC307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6BD2F1F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52C67907">
            <w:pPr>
              <w:widowControl/>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液化石油气实瓶在露天堆放。</w:t>
            </w:r>
          </w:p>
        </w:tc>
        <w:tc>
          <w:tcPr>
            <w:tcW w:w="1615" w:type="pct"/>
            <w:shd w:val="clear" w:color="auto" w:fill="auto"/>
            <w:vAlign w:val="center"/>
          </w:tcPr>
          <w:p w14:paraId="28A0328A">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50160-2008）第6.5.5条</w:t>
            </w:r>
          </w:p>
        </w:tc>
        <w:tc>
          <w:tcPr>
            <w:tcW w:w="187" w:type="pct"/>
            <w:shd w:val="clear" w:color="auto" w:fill="auto"/>
            <w:vAlign w:val="center"/>
          </w:tcPr>
          <w:p w14:paraId="39FDD5C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2829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3EDDFA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C0C845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E2724E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0CC7EFD9">
            <w:pPr>
              <w:widowControl/>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液化烃管道采用软管连接。</w:t>
            </w:r>
          </w:p>
        </w:tc>
        <w:tc>
          <w:tcPr>
            <w:tcW w:w="1615" w:type="pct"/>
            <w:shd w:val="clear" w:color="auto" w:fill="auto"/>
            <w:vAlign w:val="center"/>
          </w:tcPr>
          <w:p w14:paraId="5B4825F8">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50160-2008）第7.2.18条</w:t>
            </w:r>
          </w:p>
        </w:tc>
        <w:tc>
          <w:tcPr>
            <w:tcW w:w="187" w:type="pct"/>
            <w:shd w:val="clear" w:color="auto" w:fill="auto"/>
            <w:vAlign w:val="center"/>
          </w:tcPr>
          <w:p w14:paraId="660F82C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F1DF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10E64B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EF72B2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0F0DB94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7B9A61A1">
            <w:pPr>
              <w:widowControl/>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液化烃、液氨、液氯等易燃易爆、有毒有害液化气体的充装未使用万向管道充装系统。</w:t>
            </w:r>
          </w:p>
        </w:tc>
        <w:tc>
          <w:tcPr>
            <w:tcW w:w="1615" w:type="pct"/>
            <w:shd w:val="clear" w:color="auto" w:fill="auto"/>
            <w:vAlign w:val="center"/>
          </w:tcPr>
          <w:p w14:paraId="1C69D69D">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第七条</w:t>
            </w:r>
          </w:p>
        </w:tc>
        <w:tc>
          <w:tcPr>
            <w:tcW w:w="187" w:type="pct"/>
            <w:shd w:val="clear" w:color="auto" w:fill="auto"/>
            <w:vAlign w:val="center"/>
          </w:tcPr>
          <w:p w14:paraId="738AE75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01FC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E4CE69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53E537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C407F0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5476B4E8">
            <w:pPr>
              <w:widowControl/>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液化烃球形储罐不符合如下要求：</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1.法兰应采用带颈对焊钢制突面或凹凸面管法兰；</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2.垫片应采用带内外加强环型(对应于突面法兰)或内加强环型(对应于凹凸面法兰)缠绕式垫片；</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3.紧固件采用等长或通丝型螺柱、厚六角螺母。</w:t>
            </w:r>
          </w:p>
        </w:tc>
        <w:tc>
          <w:tcPr>
            <w:tcW w:w="1615" w:type="pct"/>
            <w:shd w:val="clear" w:color="auto" w:fill="auto"/>
            <w:vAlign w:val="center"/>
          </w:tcPr>
          <w:p w14:paraId="2257E46C">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《石油化工液化烃球形储罐设计规范》（SH 3136-2003）第4.4.4条</w:t>
            </w:r>
          </w:p>
        </w:tc>
        <w:tc>
          <w:tcPr>
            <w:tcW w:w="187" w:type="pct"/>
            <w:shd w:val="clear" w:color="auto" w:fill="auto"/>
            <w:vAlign w:val="center"/>
          </w:tcPr>
          <w:p w14:paraId="5AB080B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E593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F0F0F9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A31851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4D18866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5EBFBAB1">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液化烃球形储罐本体未设就地和远传温度计，未保证在最低液位时能测液相的温度而且便于观测和维护。</w:t>
            </w:r>
          </w:p>
        </w:tc>
        <w:tc>
          <w:tcPr>
            <w:tcW w:w="1615" w:type="pct"/>
            <w:shd w:val="clear" w:color="auto" w:fill="auto"/>
            <w:vAlign w:val="center"/>
          </w:tcPr>
          <w:p w14:paraId="55172385">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《石油化工液化烃球形储罐设计规范》（SH 3136-2003）第5.1条</w:t>
            </w:r>
          </w:p>
        </w:tc>
        <w:tc>
          <w:tcPr>
            <w:tcW w:w="187" w:type="pct"/>
            <w:shd w:val="clear" w:color="auto" w:fill="auto"/>
            <w:vAlign w:val="center"/>
          </w:tcPr>
          <w:p w14:paraId="29D4498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A21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E6B01A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365C80D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6D0001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15AC970">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液化烃球形储罐未设就地和远传的液位计，选用了玻璃板液位计。</w:t>
            </w:r>
          </w:p>
        </w:tc>
        <w:tc>
          <w:tcPr>
            <w:tcW w:w="1615" w:type="pct"/>
            <w:shd w:val="clear" w:color="auto" w:fill="auto"/>
            <w:vAlign w:val="center"/>
          </w:tcPr>
          <w:p w14:paraId="11E4F98B">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《石油化工液化烃球形储罐设计规范》（SH 3136-2003）第5.3.1条</w:t>
            </w:r>
          </w:p>
        </w:tc>
        <w:tc>
          <w:tcPr>
            <w:tcW w:w="187" w:type="pct"/>
            <w:shd w:val="clear" w:color="auto" w:fill="auto"/>
            <w:vAlign w:val="center"/>
          </w:tcPr>
          <w:p w14:paraId="7C925CF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0BD7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EE6E70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BAFC76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301A8AF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9B6ECE3">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液化石油气球罐上的阀门的设计压力小于2.5MPa。</w:t>
            </w:r>
          </w:p>
        </w:tc>
        <w:tc>
          <w:tcPr>
            <w:tcW w:w="1615" w:type="pct"/>
            <w:shd w:val="clear" w:color="auto" w:fill="auto"/>
            <w:vAlign w:val="center"/>
          </w:tcPr>
          <w:p w14:paraId="1A14FF47">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《石油化工液化烃球形储罐设计规范》（SH 3136-2003）第6条</w:t>
            </w:r>
          </w:p>
        </w:tc>
        <w:tc>
          <w:tcPr>
            <w:tcW w:w="187" w:type="pct"/>
            <w:shd w:val="clear" w:color="auto" w:fill="auto"/>
            <w:vAlign w:val="center"/>
          </w:tcPr>
          <w:p w14:paraId="1040DD9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6E3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21BBB4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FEE5D2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3D8405D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7E460507">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丙烯、丙烷、混合C4、抽余C4及液化石油气的球形储罐未采取防止液化烃泄漏的注水措施。注水压力未能满足需要。</w:t>
            </w:r>
          </w:p>
        </w:tc>
        <w:tc>
          <w:tcPr>
            <w:tcW w:w="1615" w:type="pct"/>
            <w:shd w:val="clear" w:color="auto" w:fill="auto"/>
            <w:vAlign w:val="center"/>
          </w:tcPr>
          <w:p w14:paraId="6320110B">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《石油化工液化烃球形储罐设计规范》（SH 3136-2003）第7.4条</w:t>
            </w:r>
          </w:p>
        </w:tc>
        <w:tc>
          <w:tcPr>
            <w:tcW w:w="187" w:type="pct"/>
            <w:shd w:val="clear" w:color="auto" w:fill="auto"/>
            <w:vAlign w:val="center"/>
          </w:tcPr>
          <w:p w14:paraId="6AAA925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A7E0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DDB314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DDB12D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9FCCB2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45C44CB8">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丁二烯球形储罐未采取以下措施:</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1.设置氮封系统；</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2.储存周期在两周以下时，应设置水喷淋冷却系统；储存周期在两周以上时，应设置冷冻循环系统和阻聚剂添加系统；</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3.丁二烯球形储罐安全阀出口管道应设氮气吹扫。</w:t>
            </w:r>
          </w:p>
        </w:tc>
        <w:tc>
          <w:tcPr>
            <w:tcW w:w="1615" w:type="pct"/>
            <w:shd w:val="clear" w:color="auto" w:fill="auto"/>
            <w:vAlign w:val="center"/>
          </w:tcPr>
          <w:p w14:paraId="34AEC05C">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《石油化工液化烃球形储罐设计规范》（SH 3136-2003）第8.5条</w:t>
            </w:r>
          </w:p>
        </w:tc>
        <w:tc>
          <w:tcPr>
            <w:tcW w:w="187" w:type="pct"/>
            <w:shd w:val="clear" w:color="auto" w:fill="auto"/>
            <w:vAlign w:val="center"/>
          </w:tcPr>
          <w:p w14:paraId="58F716F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A612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2FF434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E63C03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00822C8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2362F3DE">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液氨储罐的储存系数大于0.8。</w:t>
            </w:r>
          </w:p>
        </w:tc>
        <w:tc>
          <w:tcPr>
            <w:tcW w:w="1615" w:type="pct"/>
            <w:shd w:val="clear" w:color="auto" w:fill="auto"/>
            <w:vAlign w:val="center"/>
          </w:tcPr>
          <w:p w14:paraId="4F6052DB">
            <w:pPr>
              <w:widowControl/>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《液氨使用与储存安全技术规范》（DB11/T 1014—2021）第5.4.1条</w:t>
            </w:r>
          </w:p>
        </w:tc>
        <w:tc>
          <w:tcPr>
            <w:tcW w:w="187" w:type="pct"/>
            <w:shd w:val="clear" w:color="auto" w:fill="auto"/>
            <w:vAlign w:val="center"/>
          </w:tcPr>
          <w:p w14:paraId="3E4A1D1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603A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E8EC25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72E591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451726E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4F3FDA48">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液氨的实瓶露天堆放。室外储罐未设置防止阳光直射的遮阳棚。</w:t>
            </w:r>
          </w:p>
        </w:tc>
        <w:tc>
          <w:tcPr>
            <w:tcW w:w="1615" w:type="pct"/>
            <w:shd w:val="clear" w:color="auto" w:fill="auto"/>
            <w:vAlign w:val="center"/>
          </w:tcPr>
          <w:p w14:paraId="4ABE36CF">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50160-2008）第6.5.5条</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《液氨使用与储存安全技术规范》（DB11/T 1014—2021）第5.4.3条</w:t>
            </w:r>
          </w:p>
        </w:tc>
        <w:tc>
          <w:tcPr>
            <w:tcW w:w="187" w:type="pct"/>
            <w:shd w:val="clear" w:color="auto" w:fill="auto"/>
            <w:vAlign w:val="center"/>
          </w:tcPr>
          <w:p w14:paraId="45D54E6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423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677EFD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40DE28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41759E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2560FA63">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氨的安全阀排放气未经处理后排放。</w:t>
            </w:r>
          </w:p>
        </w:tc>
        <w:tc>
          <w:tcPr>
            <w:tcW w:w="1615" w:type="pct"/>
            <w:shd w:val="clear" w:color="auto" w:fill="auto"/>
            <w:vAlign w:val="center"/>
          </w:tcPr>
          <w:p w14:paraId="5C6E37DB">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50160-2008）第5.5.10条</w:t>
            </w:r>
          </w:p>
        </w:tc>
        <w:tc>
          <w:tcPr>
            <w:tcW w:w="187" w:type="pct"/>
            <w:shd w:val="clear" w:color="auto" w:fill="auto"/>
            <w:vAlign w:val="center"/>
          </w:tcPr>
          <w:p w14:paraId="68E5F45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228E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77AFAF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3EB377D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4D4C6CE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40CDDB60">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超过100m</w:t>
            </w:r>
            <w:r>
              <w:rPr>
                <w:rFonts w:hint="eastAsia" w:ascii="仿宋_GB2312" w:hAnsi="等线" w:eastAsia="仿宋_GB2312" w:cs="宋体"/>
                <w:color w:val="000000" w:themeColor="text1"/>
                <w:kern w:val="0"/>
                <w:sz w:val="20"/>
                <w:szCs w:val="20"/>
                <w:vertAlign w:val="superscript"/>
                <w14:textFill>
                  <w14:solidFill>
                    <w14:schemeClr w14:val="tx1"/>
                  </w14:solidFill>
                </w14:textFill>
              </w:rPr>
              <w:t>3</w:t>
            </w:r>
            <w:r>
              <w:rPr>
                <w:rFonts w:hint="eastAsia" w:ascii="仿宋_GB2312" w:hAnsi="等线" w:eastAsia="仿宋_GB2312" w:cs="宋体"/>
                <w:color w:val="000000" w:themeColor="text1"/>
                <w:kern w:val="0"/>
                <w:sz w:val="20"/>
                <w:szCs w:val="20"/>
                <w14:textFill>
                  <w14:solidFill>
                    <w14:schemeClr w14:val="tx1"/>
                  </w14:solidFill>
                </w14:textFill>
              </w:rPr>
              <w:t>的液氨储罐未设双安全阀，安全阀排气未引至回收系统或火炬排放燃烧系统。</w:t>
            </w:r>
          </w:p>
        </w:tc>
        <w:tc>
          <w:tcPr>
            <w:tcW w:w="1615" w:type="pct"/>
            <w:shd w:val="clear" w:color="auto" w:fill="auto"/>
            <w:vAlign w:val="center"/>
          </w:tcPr>
          <w:p w14:paraId="73A5093C">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《合成氨生产企业安全标准化实施指南》（AQ/T 3017-2008）第5.5.4.6条</w:t>
            </w:r>
          </w:p>
        </w:tc>
        <w:tc>
          <w:tcPr>
            <w:tcW w:w="187" w:type="pct"/>
            <w:shd w:val="clear" w:color="auto" w:fill="auto"/>
            <w:vAlign w:val="center"/>
          </w:tcPr>
          <w:p w14:paraId="0AED33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C1D9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894287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FE3AAD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59A86B5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10F36A86">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液氨储罐进出口管线未设置双切断阀，其中一只出口切断阀为紧急切断阀。</w:t>
            </w:r>
          </w:p>
        </w:tc>
        <w:tc>
          <w:tcPr>
            <w:tcW w:w="1615" w:type="pct"/>
            <w:shd w:val="clear" w:color="auto" w:fill="auto"/>
            <w:vAlign w:val="center"/>
          </w:tcPr>
          <w:p w14:paraId="3DA58746">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《合成氨生产企业安全标准化实施指南》AQ/T 3017-2008）第5.5.4.6条</w:t>
            </w:r>
          </w:p>
        </w:tc>
        <w:tc>
          <w:tcPr>
            <w:tcW w:w="187" w:type="pct"/>
            <w:shd w:val="clear" w:color="auto" w:fill="auto"/>
            <w:vAlign w:val="center"/>
          </w:tcPr>
          <w:p w14:paraId="5FBCD53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E62E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098D6F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3F25E3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4AE81AC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物料类</w:t>
            </w:r>
          </w:p>
        </w:tc>
        <w:tc>
          <w:tcPr>
            <w:tcW w:w="1859" w:type="pct"/>
            <w:shd w:val="clear" w:color="auto" w:fill="auto"/>
            <w:vAlign w:val="center"/>
          </w:tcPr>
          <w:p w14:paraId="512E526F">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液氨钢瓶储存区未设置可容纳泄漏钢瓶的事故吸收水池。</w:t>
            </w:r>
          </w:p>
        </w:tc>
        <w:tc>
          <w:tcPr>
            <w:tcW w:w="1615" w:type="pct"/>
            <w:shd w:val="clear" w:color="auto" w:fill="auto"/>
            <w:vAlign w:val="center"/>
          </w:tcPr>
          <w:p w14:paraId="02C659EB">
            <w:pP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《液氨使用与储存安全技术规范》（DB11/T 1014—2021）第5.3.7条</w:t>
            </w:r>
          </w:p>
        </w:tc>
        <w:tc>
          <w:tcPr>
            <w:tcW w:w="187" w:type="pct"/>
            <w:shd w:val="clear" w:color="auto" w:fill="auto"/>
            <w:vAlign w:val="center"/>
          </w:tcPr>
          <w:p w14:paraId="1EBCE4E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6714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F73246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354C4B4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933A55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E02D73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使用淘汰落后安全技术工艺、设备目录列出的工艺、设备。</w:t>
            </w:r>
          </w:p>
        </w:tc>
        <w:tc>
          <w:tcPr>
            <w:tcW w:w="1615" w:type="pct"/>
            <w:shd w:val="clear" w:color="auto" w:fill="auto"/>
            <w:vAlign w:val="center"/>
          </w:tcPr>
          <w:p w14:paraId="4763756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第十一条</w:t>
            </w:r>
          </w:p>
        </w:tc>
        <w:tc>
          <w:tcPr>
            <w:tcW w:w="187" w:type="pct"/>
            <w:shd w:val="clear" w:color="auto" w:fill="auto"/>
            <w:vAlign w:val="center"/>
          </w:tcPr>
          <w:p w14:paraId="50A8511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65A5B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4D07CE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2CB8B5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3F2D9A1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19A12A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在役化工装置未经正规设计且未进行安全设计诊断，或者未委托具备国家规定资质等级的设计单位承担建设项目工程设计。</w:t>
            </w:r>
          </w:p>
          <w:p w14:paraId="0E77239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对未经过正规设计的在役装置未进行安全设计诊断，未对装置布局、工艺技术及流程、主要设备和管道、自动控制、公用工程等进行设计复核，未全面查找并整改装置设计存在的问题。</w:t>
            </w:r>
          </w:p>
        </w:tc>
        <w:tc>
          <w:tcPr>
            <w:tcW w:w="1615" w:type="pct"/>
            <w:shd w:val="clear" w:color="auto" w:fill="auto"/>
            <w:vAlign w:val="center"/>
          </w:tcPr>
          <w:p w14:paraId="6D5F70C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第十条；</w:t>
            </w:r>
          </w:p>
          <w:p w14:paraId="1AABAE4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《关于进一步加强危险化学品建设项目安全设计管理的通知》（安监总管三〔2013〕76号） 第一条 、第二条</w:t>
            </w:r>
          </w:p>
          <w:p w14:paraId="08B3FF2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《关于开展提升危险化学品领域本质安全水平专项行动的通知》（安监总管三〔</w:t>
            </w:r>
            <w:r>
              <w:rPr>
                <w:rFonts w:ascii="仿宋_GB2312" w:hAnsi="等线" w:eastAsia="仿宋_GB2312" w:cs="宋体"/>
                <w:color w:val="000000" w:themeColor="text1"/>
                <w:kern w:val="0"/>
                <w:sz w:val="20"/>
                <w:szCs w:val="20"/>
                <w14:textFill>
                  <w14:solidFill>
                    <w14:schemeClr w14:val="tx1"/>
                  </w14:solidFill>
                </w14:textFill>
              </w:rPr>
              <w:t>2012〕87号）</w:t>
            </w:r>
          </w:p>
          <w:p w14:paraId="4F31E10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第三部分第一条</w:t>
            </w:r>
          </w:p>
        </w:tc>
        <w:tc>
          <w:tcPr>
            <w:tcW w:w="187" w:type="pct"/>
            <w:shd w:val="clear" w:color="auto" w:fill="auto"/>
            <w:vAlign w:val="center"/>
          </w:tcPr>
          <w:p w14:paraId="3A9BF16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475BC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197191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3179FDE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75EC35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1CCD9C3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未对涉及“两重点一重大”的生产、储存装置每3年运用HAZOP分析法进行一次安全风险辨识分析，未编制HAZOP分析报告。</w:t>
            </w:r>
          </w:p>
        </w:tc>
        <w:tc>
          <w:tcPr>
            <w:tcW w:w="1615" w:type="pct"/>
            <w:shd w:val="clear" w:color="auto" w:fill="auto"/>
            <w:vAlign w:val="center"/>
          </w:tcPr>
          <w:p w14:paraId="06AB969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第五条</w:t>
            </w:r>
          </w:p>
        </w:tc>
        <w:tc>
          <w:tcPr>
            <w:tcW w:w="187" w:type="pct"/>
            <w:shd w:val="clear" w:color="auto" w:fill="auto"/>
            <w:vAlign w:val="center"/>
          </w:tcPr>
          <w:p w14:paraId="5561217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8F98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A05237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EBB70A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3636A4C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45FFDA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不涉及“两重点一重大”的其他生产储存装置未完成风险辨识分析，选用安全检查表、工作危害分析、预危险性分析、故障类型和影响分析（</w:t>
            </w:r>
            <w:r>
              <w:rPr>
                <w:rFonts w:ascii="仿宋_GB2312" w:hAnsi="等线" w:eastAsia="仿宋_GB2312" w:cs="宋体"/>
                <w:color w:val="000000" w:themeColor="text1"/>
                <w:kern w:val="0"/>
                <w:sz w:val="20"/>
                <w:szCs w:val="20"/>
                <w14:textFill>
                  <w14:solidFill>
                    <w14:schemeClr w14:val="tx1"/>
                  </w14:solidFill>
                </w14:textFill>
              </w:rPr>
              <w:t>FMEA）、HAZOP技术等方法或多种方法组合，每5年</w:t>
            </w:r>
            <w:r>
              <w:rPr>
                <w:rFonts w:hint="eastAsia" w:ascii="仿宋_GB2312" w:hAnsi="等线" w:eastAsia="仿宋_GB2312" w:cs="宋体"/>
                <w:color w:val="000000" w:themeColor="text1"/>
                <w:kern w:val="0"/>
                <w:sz w:val="20"/>
                <w:szCs w:val="20"/>
                <w14:textFill>
                  <w14:solidFill>
                    <w14:schemeClr w14:val="tx1"/>
                  </w14:solidFill>
                </w14:textFill>
              </w:rPr>
              <w:t>少于</w:t>
            </w:r>
            <w:r>
              <w:rPr>
                <w:rFonts w:ascii="仿宋_GB2312" w:hAnsi="等线" w:eastAsia="仿宋_GB2312" w:cs="宋体"/>
                <w:color w:val="000000" w:themeColor="text1"/>
                <w:kern w:val="0"/>
                <w:sz w:val="20"/>
                <w:szCs w:val="20"/>
                <w14:textFill>
                  <w14:solidFill>
                    <w14:schemeClr w14:val="tx1"/>
                  </w14:solidFill>
                </w14:textFill>
              </w:rPr>
              <w:t>一次。</w:t>
            </w:r>
          </w:p>
        </w:tc>
        <w:tc>
          <w:tcPr>
            <w:tcW w:w="1615" w:type="pct"/>
            <w:shd w:val="clear" w:color="auto" w:fill="auto"/>
            <w:vAlign w:val="center"/>
          </w:tcPr>
          <w:p w14:paraId="5E1281C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w:t>
            </w:r>
            <w:r>
              <w:rPr>
                <w:rFonts w:ascii="仿宋_GB2312" w:hAnsi="等线" w:eastAsia="仿宋_GB2312" w:cs="宋体"/>
                <w:color w:val="000000" w:themeColor="text1"/>
                <w:kern w:val="0"/>
                <w:sz w:val="20"/>
                <w:szCs w:val="20"/>
                <w14:textFill>
                  <w14:solidFill>
                    <w14:schemeClr w14:val="tx1"/>
                  </w14:solidFill>
                </w14:textFill>
              </w:rPr>
              <w:t>2013〕88号）第五条</w:t>
            </w:r>
          </w:p>
          <w:p w14:paraId="5614624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《北京市危险化学品安全专项整治三年行动实施方案》（一）</w:t>
            </w:r>
            <w:r>
              <w:rPr>
                <w:rFonts w:ascii="仿宋_GB2312" w:hAnsi="等线" w:eastAsia="仿宋_GB2312" w:cs="宋体"/>
                <w:color w:val="000000" w:themeColor="text1"/>
                <w:kern w:val="0"/>
                <w:sz w:val="20"/>
                <w:szCs w:val="20"/>
                <w14:textFill>
                  <w14:solidFill>
                    <w14:schemeClr w14:val="tx1"/>
                  </w14:solidFill>
                </w14:textFill>
              </w:rPr>
              <w:t>3</w:t>
            </w:r>
          </w:p>
        </w:tc>
        <w:tc>
          <w:tcPr>
            <w:tcW w:w="187" w:type="pct"/>
            <w:shd w:val="clear" w:color="auto" w:fill="auto"/>
            <w:vAlign w:val="center"/>
          </w:tcPr>
          <w:p w14:paraId="4151AC0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DA0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AA610C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CE4592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95D416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60F611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新开发的危险化学品生产工艺未经小试、中试、工业化试验直接进行工业化生产；国内首次使用的化工工艺未经过省级人民政府有关部门组织的安全可靠性论证；新建装置未制定试生产方案投料开车。</w:t>
            </w:r>
          </w:p>
        </w:tc>
        <w:tc>
          <w:tcPr>
            <w:tcW w:w="1615" w:type="pct"/>
            <w:shd w:val="clear" w:color="auto" w:fill="auto"/>
            <w:vAlign w:val="center"/>
          </w:tcPr>
          <w:p w14:paraId="09DA637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第十九条</w:t>
            </w:r>
          </w:p>
        </w:tc>
        <w:tc>
          <w:tcPr>
            <w:tcW w:w="187" w:type="pct"/>
            <w:shd w:val="clear" w:color="auto" w:fill="auto"/>
            <w:vAlign w:val="center"/>
          </w:tcPr>
          <w:p w14:paraId="4F1F12E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38FAA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2C2C54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5EF452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F3B71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212BE06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新、改、扩建危险化学品生产项目存在设备设施还未安装完毕、人员还未培训合格、未制定并组织审查试生产方案等不具备开车条件的情况下，开展试生产。</w:t>
            </w:r>
          </w:p>
        </w:tc>
        <w:tc>
          <w:tcPr>
            <w:tcW w:w="1615" w:type="pct"/>
            <w:shd w:val="clear" w:color="auto" w:fill="auto"/>
            <w:vAlign w:val="center"/>
          </w:tcPr>
          <w:p w14:paraId="1D24D9B9">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《关于对危险化学品领域安全生产新情况新问题开展专项排查整治的通知》（应急厅函〔</w:t>
            </w:r>
            <w:r>
              <w:rPr>
                <w:rFonts w:ascii="仿宋_GB2312" w:hAnsi="等线" w:eastAsia="仿宋_GB2312" w:cs="宋体"/>
                <w:color w:val="000000" w:themeColor="text1"/>
                <w:kern w:val="0"/>
                <w:sz w:val="20"/>
                <w:szCs w:val="20"/>
                <w14:textFill>
                  <w14:solidFill>
                    <w14:schemeClr w14:val="tx1"/>
                  </w14:solidFill>
                </w14:textFill>
              </w:rPr>
              <w:t>2021〕129号）</w:t>
            </w:r>
            <w:r>
              <w:rPr>
                <w:rFonts w:hint="eastAsia" w:ascii="仿宋_GB2312" w:hAnsi="等线" w:eastAsia="仿宋_GB2312" w:cs="宋体"/>
                <w:color w:val="000000" w:themeColor="text1"/>
                <w:kern w:val="0"/>
                <w:sz w:val="20"/>
                <w:szCs w:val="20"/>
                <w14:textFill>
                  <w14:solidFill>
                    <w14:schemeClr w14:val="tx1"/>
                  </w14:solidFill>
                </w14:textFill>
              </w:rPr>
              <w:t>第二条</w:t>
            </w:r>
          </w:p>
        </w:tc>
        <w:tc>
          <w:tcPr>
            <w:tcW w:w="187" w:type="pct"/>
            <w:shd w:val="clear" w:color="auto" w:fill="auto"/>
            <w:vAlign w:val="center"/>
          </w:tcPr>
          <w:p w14:paraId="44047C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BEF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A9630E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B4687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FC01E8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0C57FE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控制室或机柜间面向具有火灾、爆炸危险性装置一侧不满足国家标准关于防火防爆的要求。</w:t>
            </w:r>
          </w:p>
        </w:tc>
        <w:tc>
          <w:tcPr>
            <w:tcW w:w="1615" w:type="pct"/>
            <w:shd w:val="clear" w:color="auto" w:fill="auto"/>
            <w:vAlign w:val="center"/>
          </w:tcPr>
          <w:p w14:paraId="5FFDCBB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第十三条</w:t>
            </w:r>
          </w:p>
        </w:tc>
        <w:tc>
          <w:tcPr>
            <w:tcW w:w="187" w:type="pct"/>
            <w:shd w:val="clear" w:color="auto" w:fill="auto"/>
            <w:vAlign w:val="center"/>
          </w:tcPr>
          <w:p w14:paraId="1067872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583A7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025567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10C20F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38B1AE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56B0D7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危险化工工艺的安全控制未按照重点监管的危险化工工艺安全控制要求、重点监控参数及推荐的控制方案的要求，未结合HAZOP分析结果进行设置。</w:t>
            </w:r>
          </w:p>
        </w:tc>
        <w:tc>
          <w:tcPr>
            <w:tcW w:w="1615" w:type="pct"/>
            <w:shd w:val="clear" w:color="auto" w:fill="auto"/>
            <w:vAlign w:val="center"/>
          </w:tcPr>
          <w:p w14:paraId="4B0AE68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《首批重点监管的危险化工工艺目录》（安监总管三〔2009〕116 号）第一条</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《第二批重点监管危险化工工艺目录和调整首批重点监管危险化工工艺中部分典型工艺的通知 》的实施意见 》（安监总管三〔2013〕3 号 ）</w:t>
            </w:r>
          </w:p>
        </w:tc>
        <w:tc>
          <w:tcPr>
            <w:tcW w:w="187" w:type="pct"/>
            <w:shd w:val="clear" w:color="auto" w:fill="auto"/>
            <w:vAlign w:val="center"/>
          </w:tcPr>
          <w:p w14:paraId="237139C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454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86EFA3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2D716D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A9E499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DE7D1A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现场表指示数值、DCS控制值与工艺卡片控制值未保持一致。</w:t>
            </w:r>
          </w:p>
        </w:tc>
        <w:tc>
          <w:tcPr>
            <w:tcW w:w="1615" w:type="pct"/>
            <w:shd w:val="clear" w:color="auto" w:fill="auto"/>
            <w:vAlign w:val="center"/>
          </w:tcPr>
          <w:p w14:paraId="2468870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表4（四）</w:t>
            </w:r>
          </w:p>
        </w:tc>
        <w:tc>
          <w:tcPr>
            <w:tcW w:w="187" w:type="pct"/>
            <w:shd w:val="clear" w:color="auto" w:fill="auto"/>
            <w:vAlign w:val="center"/>
          </w:tcPr>
          <w:p w14:paraId="14D8CC0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4A30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C1D569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D85DEE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E22C7C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4807F86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设备、管线（弯头、法兰、变径等）发生泄漏，未采取有效措施仍然继续运行。     </w:t>
            </w:r>
          </w:p>
        </w:tc>
        <w:tc>
          <w:tcPr>
            <w:tcW w:w="1615" w:type="pct"/>
            <w:shd w:val="clear" w:color="auto" w:fill="auto"/>
            <w:vAlign w:val="center"/>
          </w:tcPr>
          <w:p w14:paraId="5B37F52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0212238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656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8671F2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EF4EEE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D94EFA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332ED9E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承压特种设备及管道超过法定检验期限仍然继续使用。</w:t>
            </w:r>
          </w:p>
        </w:tc>
        <w:tc>
          <w:tcPr>
            <w:tcW w:w="1615" w:type="pct"/>
            <w:shd w:val="clear" w:color="auto" w:fill="auto"/>
            <w:vAlign w:val="center"/>
          </w:tcPr>
          <w:p w14:paraId="66D0FA4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3444708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CA4F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D7EEC2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A0140D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47E000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C6F54B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对于反复出现异常的设备设施，经评估需要淘汰的仍继续使用。</w:t>
            </w:r>
          </w:p>
        </w:tc>
        <w:tc>
          <w:tcPr>
            <w:tcW w:w="1615" w:type="pct"/>
            <w:shd w:val="clear" w:color="auto" w:fill="auto"/>
            <w:vAlign w:val="center"/>
          </w:tcPr>
          <w:p w14:paraId="283491B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6A5EB46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E783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C91A38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CF538C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4E2210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4CEAD75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管线采取打“卡具”等临时性防泄漏措施。</w:t>
            </w:r>
          </w:p>
          <w:p w14:paraId="2DC5BEA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涉及易燃易爆、剧</w:t>
            </w:r>
            <w:r>
              <w:rPr>
                <w:rFonts w:ascii="仿宋_GB2312" w:hAnsi="等线" w:eastAsia="仿宋_GB2312" w:cs="宋体"/>
                <w:color w:val="000000" w:themeColor="text1"/>
                <w:kern w:val="0"/>
                <w:sz w:val="20"/>
                <w:szCs w:val="20"/>
                <w14:textFill>
                  <w14:solidFill>
                    <w14:schemeClr w14:val="tx1"/>
                  </w14:solidFill>
                </w14:textFill>
              </w:rPr>
              <w:t>毒物料的设备、管线及管件发生泄</w:t>
            </w:r>
            <w:r>
              <w:rPr>
                <w:rFonts w:hint="eastAsia" w:ascii="仿宋_GB2312" w:hAnsi="等线" w:eastAsia="仿宋_GB2312" w:cs="宋体"/>
                <w:color w:val="000000" w:themeColor="text1"/>
                <w:kern w:val="0"/>
                <w:sz w:val="20"/>
                <w:szCs w:val="20"/>
                <w14:textFill>
                  <w14:solidFill>
                    <w14:schemeClr w14:val="tx1"/>
                  </w14:solidFill>
                </w14:textFill>
              </w:rPr>
              <w:t>漏，未妥善处置仍</w:t>
            </w:r>
            <w:r>
              <w:rPr>
                <w:rFonts w:ascii="仿宋_GB2312" w:hAnsi="等线" w:eastAsia="仿宋_GB2312" w:cs="宋体"/>
                <w:color w:val="000000" w:themeColor="text1"/>
                <w:kern w:val="0"/>
                <w:sz w:val="20"/>
                <w:szCs w:val="20"/>
                <w14:textFill>
                  <w14:solidFill>
                    <w14:schemeClr w14:val="tx1"/>
                  </w14:solidFill>
                </w14:textFill>
              </w:rPr>
              <w:t>继续运行，或者打卡子带"病"运行，未采取有效措施彻底消除隐患。</w:t>
            </w:r>
          </w:p>
        </w:tc>
        <w:tc>
          <w:tcPr>
            <w:tcW w:w="1615" w:type="pct"/>
            <w:shd w:val="clear" w:color="auto" w:fill="auto"/>
            <w:vAlign w:val="center"/>
          </w:tcPr>
          <w:p w14:paraId="7F1E98F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w:t>
            </w:r>
            <w:r>
              <w:rPr>
                <w:rFonts w:ascii="仿宋_GB2312" w:hAnsi="等线" w:eastAsia="仿宋_GB2312" w:cs="宋体"/>
                <w:color w:val="000000" w:themeColor="text1"/>
                <w:kern w:val="0"/>
                <w:sz w:val="20"/>
                <w:szCs w:val="20"/>
                <w14:textFill>
                  <w14:solidFill>
                    <w14:schemeClr w14:val="tx1"/>
                  </w14:solidFill>
                </w14:textFill>
              </w:rPr>
              <w:t>产法》第四十一条第二款</w:t>
            </w:r>
          </w:p>
          <w:p w14:paraId="6A843DD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6394C1A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90F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8B9D83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5BF055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D97086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1D14BC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未按照有关标准规</w:t>
            </w:r>
            <w:r>
              <w:rPr>
                <w:rFonts w:ascii="仿宋_GB2312" w:hAnsi="等线" w:eastAsia="仿宋_GB2312" w:cs="宋体"/>
                <w:color w:val="000000" w:themeColor="text1"/>
                <w:kern w:val="0"/>
                <w:sz w:val="20"/>
                <w:szCs w:val="20"/>
                <w14:textFill>
                  <w14:solidFill>
                    <w14:schemeClr w14:val="tx1"/>
                  </w14:solidFill>
                </w14:textFill>
              </w:rPr>
              <w:t xml:space="preserve"> 范要求定期对涉及</w:t>
            </w:r>
            <w:r>
              <w:rPr>
                <w:rFonts w:hint="eastAsia" w:ascii="仿宋_GB2312" w:hAnsi="等线" w:eastAsia="仿宋_GB2312" w:cs="宋体"/>
                <w:color w:val="000000" w:themeColor="text1"/>
                <w:kern w:val="0"/>
                <w:sz w:val="20"/>
                <w:szCs w:val="20"/>
                <w14:textFill>
                  <w14:solidFill>
                    <w14:schemeClr w14:val="tx1"/>
                  </w14:solidFill>
                </w14:textFill>
              </w:rPr>
              <w:t>易燃易爆、剧毒物</w:t>
            </w:r>
            <w:r>
              <w:rPr>
                <w:rFonts w:ascii="仿宋_GB2312" w:hAnsi="等线" w:eastAsia="仿宋_GB2312" w:cs="宋体"/>
                <w:color w:val="000000" w:themeColor="text1"/>
                <w:kern w:val="0"/>
                <w:sz w:val="20"/>
                <w:szCs w:val="20"/>
                <w14:textFill>
                  <w14:solidFill>
                    <w14:schemeClr w14:val="tx1"/>
                  </w14:solidFill>
                </w14:textFill>
              </w:rPr>
              <w:t xml:space="preserve"> 料的管线(包括管件)进行测厚 </w:t>
            </w:r>
            <w:r>
              <w:rPr>
                <w:rFonts w:hint="eastAsia" w:ascii="仿宋_GB2312" w:hAnsi="等线" w:eastAsia="仿宋_GB2312" w:cs="宋体"/>
                <w:color w:val="000000" w:themeColor="text1"/>
                <w:kern w:val="0"/>
                <w:sz w:val="20"/>
                <w:szCs w:val="20"/>
                <w14:textFill>
                  <w14:solidFill>
                    <w14:schemeClr w14:val="tx1"/>
                  </w14:solidFill>
                </w14:textFill>
              </w:rPr>
              <w:t>；管线壁厚腐蚀减薄，已达不到设计要求；管线介质中腐蚀性物质含量超出正常范围未加强防腐蚀检测，仍然继续使用。</w:t>
            </w:r>
          </w:p>
        </w:tc>
        <w:tc>
          <w:tcPr>
            <w:tcW w:w="1615" w:type="pct"/>
            <w:shd w:val="clear" w:color="auto" w:fill="auto"/>
            <w:vAlign w:val="center"/>
          </w:tcPr>
          <w:p w14:paraId="3CAAA83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w:t>
            </w:r>
            <w:r>
              <w:rPr>
                <w:rFonts w:ascii="仿宋_GB2312" w:hAnsi="等线" w:eastAsia="仿宋_GB2312" w:cs="宋体"/>
                <w:color w:val="000000" w:themeColor="text1"/>
                <w:kern w:val="0"/>
                <w:sz w:val="20"/>
                <w:szCs w:val="20"/>
                <w14:textFill>
                  <w14:solidFill>
                    <w14:schemeClr w14:val="tx1"/>
                  </w14:solidFill>
                </w14:textFill>
              </w:rPr>
              <w:t>例》第十三条第一款</w:t>
            </w:r>
          </w:p>
          <w:p w14:paraId="48BB191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497309A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955A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6B7D32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94D5BB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73E19E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14F82D1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机泵或管道异常震动，未分析原因并采取措施仍然继续使用。</w:t>
            </w:r>
          </w:p>
        </w:tc>
        <w:tc>
          <w:tcPr>
            <w:tcW w:w="1615" w:type="pct"/>
            <w:shd w:val="clear" w:color="auto" w:fill="auto"/>
            <w:vAlign w:val="center"/>
          </w:tcPr>
          <w:p w14:paraId="48EF3EC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242525C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89F9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6B678C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E19F0C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FD1F83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6C832B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在非正常条件下，下列可能超压的设备或管道未设置可靠的安全泄压措施以及未保证安全泄压措施的完好性： </w:t>
            </w:r>
          </w:p>
          <w:p w14:paraId="71C67B5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1.顶部最高操作压力大于等于0.1MPa的压力容器； </w:t>
            </w:r>
          </w:p>
          <w:p w14:paraId="0C4C854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2.顶部最高操作压力大于0.03MPa的蒸馏塔、蒸发塔和汽提塔（汽提塔顶蒸汽通入另一蒸馏塔者除外）； </w:t>
            </w:r>
          </w:p>
          <w:p w14:paraId="5AAAE7C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3.往复式压缩机各段出口或电动往复泵、齿轮泵、螺杆泵等容积式泵的出口（设备本身已有安全阀者除外）； </w:t>
            </w:r>
          </w:p>
          <w:p w14:paraId="6F0C109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4.凡与鼓风机、离心式压缩机、离心泵或蒸汽往复泵出口连接的设备不能承受其最高压力时，鼓风机、离心式压缩机、离心泵或蒸汽往复泵的出口； 5.可燃气体或液体受热膨胀，可能超过设计压力的设备； </w:t>
            </w:r>
          </w:p>
          <w:p w14:paraId="491E7B0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6.顶部最高操作压力为0.03-0.1MPa的设备根据工艺要求设置； </w:t>
            </w:r>
          </w:p>
          <w:p w14:paraId="46357C5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7.两端阀门关闭或因外界影响可能造成介质压力升高的液化烃、甲B 、乙A类液体管道。</w:t>
            </w:r>
          </w:p>
        </w:tc>
        <w:tc>
          <w:tcPr>
            <w:tcW w:w="1615" w:type="pct"/>
            <w:shd w:val="clear" w:color="auto" w:fill="auto"/>
            <w:vAlign w:val="center"/>
          </w:tcPr>
          <w:p w14:paraId="58EDB1C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50160-2008）第5.5.1条</w:t>
            </w:r>
          </w:p>
        </w:tc>
        <w:tc>
          <w:tcPr>
            <w:tcW w:w="187" w:type="pct"/>
            <w:shd w:val="clear" w:color="auto" w:fill="auto"/>
            <w:vAlign w:val="center"/>
          </w:tcPr>
          <w:p w14:paraId="2E58444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6CE3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1986B9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D0D73F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90CA3A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206049A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因物料爆聚、分解造成超温、超压，可能引起火灾、爆炸的反应设备未设报警信号和泄压排放设施，以及自动或手动遥控的紧急切断进料设施。</w:t>
            </w:r>
          </w:p>
        </w:tc>
        <w:tc>
          <w:tcPr>
            <w:tcW w:w="1615" w:type="pct"/>
            <w:shd w:val="clear" w:color="auto" w:fill="auto"/>
            <w:vAlign w:val="center"/>
          </w:tcPr>
          <w:p w14:paraId="7515E72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 第5.5.13条</w:t>
            </w:r>
          </w:p>
        </w:tc>
        <w:tc>
          <w:tcPr>
            <w:tcW w:w="187" w:type="pct"/>
            <w:shd w:val="clear" w:color="auto" w:fill="auto"/>
            <w:vAlign w:val="center"/>
          </w:tcPr>
          <w:p w14:paraId="0987DB5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95D8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8A6637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83166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FA4FD6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DB09F9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安全阀、防爆膜、防爆门的设置未满足安全生产要求： </w:t>
            </w:r>
          </w:p>
          <w:p w14:paraId="04F8AB7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1.突然超压或发生瞬时分解爆炸危险物料的反应设备，如设安全阀不能满足要求时，应装爆破片或爆破片和导爆管，导爆管口未朝向无火源的安全方向；必要时采取防止二次爆炸、火灾的措施； </w:t>
            </w:r>
          </w:p>
          <w:p w14:paraId="11DE00E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2.有可能被物料堵塞或腐蚀的安全阀，在安全阀前未设爆破片或在其他出入口管道上采取吹扫、加热或保温等措施。</w:t>
            </w:r>
          </w:p>
        </w:tc>
        <w:tc>
          <w:tcPr>
            <w:tcW w:w="1615" w:type="pct"/>
            <w:shd w:val="clear" w:color="auto" w:fill="auto"/>
            <w:vAlign w:val="center"/>
          </w:tcPr>
          <w:p w14:paraId="5C9BEF6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 第5.5.5条 第5.5.12条</w:t>
            </w:r>
          </w:p>
        </w:tc>
        <w:tc>
          <w:tcPr>
            <w:tcW w:w="187" w:type="pct"/>
            <w:shd w:val="clear" w:color="auto" w:fill="auto"/>
            <w:vAlign w:val="center"/>
          </w:tcPr>
          <w:p w14:paraId="3E8C66A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9BA5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C50736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7C2DE9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EAD874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41457DB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较高浓度环氧乙烷设备的安全阀前未设爆破片，爆破片入口管道未设氮封，或安全阀的出口管道未充氮；</w:t>
            </w:r>
          </w:p>
          <w:p w14:paraId="67F46BE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环氧乙烷的安全阀及其他泄放设施直排大气的未采取安全措施。</w:t>
            </w:r>
          </w:p>
        </w:tc>
        <w:tc>
          <w:tcPr>
            <w:tcW w:w="1615" w:type="pct"/>
            <w:shd w:val="clear" w:color="auto" w:fill="auto"/>
            <w:vAlign w:val="center"/>
          </w:tcPr>
          <w:p w14:paraId="19D4709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 第5.5.9条 第5.5.4条</w:t>
            </w:r>
          </w:p>
        </w:tc>
        <w:tc>
          <w:tcPr>
            <w:tcW w:w="187" w:type="pct"/>
            <w:shd w:val="clear" w:color="auto" w:fill="auto"/>
            <w:vAlign w:val="center"/>
          </w:tcPr>
          <w:p w14:paraId="14D684E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14A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104150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7CECFA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02414D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4A6460F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危险物料的泄压排放或放空的安全性未满足以下规定：</w:t>
            </w:r>
          </w:p>
          <w:p w14:paraId="61D689E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1.可燃气体、可燃液体设备的安全阀出口连接至适宜的设施或系统； </w:t>
            </w:r>
          </w:p>
          <w:p w14:paraId="13D9182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2.对液化烃或可燃液体设备紧急排放时，液化烃或可燃液体排放至安全地点，剩余的液化烃排入火炬； </w:t>
            </w:r>
          </w:p>
          <w:p w14:paraId="494FCCA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3.对可燃气体设备，将设备内的可燃气体排入火炬或安全放空系统； </w:t>
            </w:r>
          </w:p>
          <w:p w14:paraId="26E3C53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4.常减压蒸馏装置的初馏塔顶、常压塔顶、减压塔顶的不凝气不应直接排入大气。</w:t>
            </w:r>
          </w:p>
        </w:tc>
        <w:tc>
          <w:tcPr>
            <w:tcW w:w="1615" w:type="pct"/>
            <w:shd w:val="clear" w:color="auto" w:fill="auto"/>
            <w:vAlign w:val="center"/>
          </w:tcPr>
          <w:p w14:paraId="0B52850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 第5.5.4条、第5.5.7条、第5.5.8条</w:t>
            </w:r>
          </w:p>
        </w:tc>
        <w:tc>
          <w:tcPr>
            <w:tcW w:w="187" w:type="pct"/>
            <w:shd w:val="clear" w:color="auto" w:fill="auto"/>
            <w:vAlign w:val="center"/>
          </w:tcPr>
          <w:p w14:paraId="78D3CFE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5E00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619B41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6E8EAA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2B71FF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9E9436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氨的安全阀排放气未经处理后直接放空。</w:t>
            </w:r>
          </w:p>
        </w:tc>
        <w:tc>
          <w:tcPr>
            <w:tcW w:w="1615" w:type="pct"/>
            <w:shd w:val="clear" w:color="auto" w:fill="auto"/>
            <w:vAlign w:val="center"/>
          </w:tcPr>
          <w:p w14:paraId="5DC1F96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2018年版）》（GB50160-2008）第5.5.10条</w:t>
            </w:r>
          </w:p>
        </w:tc>
        <w:tc>
          <w:tcPr>
            <w:tcW w:w="187" w:type="pct"/>
            <w:shd w:val="clear" w:color="auto" w:fill="auto"/>
            <w:vAlign w:val="center"/>
          </w:tcPr>
          <w:p w14:paraId="7EE51A5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2CE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87C696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B4C61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DB8A87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8DA6C2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安全阀排放管口朝向邻近设备或有人通过的地方；排放管口高出8m范围内的平台或建筑物顶不足3m。</w:t>
            </w:r>
          </w:p>
        </w:tc>
        <w:tc>
          <w:tcPr>
            <w:tcW w:w="1615" w:type="pct"/>
            <w:shd w:val="clear" w:color="auto" w:fill="auto"/>
            <w:vAlign w:val="center"/>
          </w:tcPr>
          <w:p w14:paraId="7D2092F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第5.5.11条</w:t>
            </w:r>
          </w:p>
        </w:tc>
        <w:tc>
          <w:tcPr>
            <w:tcW w:w="187" w:type="pct"/>
            <w:shd w:val="clear" w:color="auto" w:fill="auto"/>
            <w:vAlign w:val="center"/>
          </w:tcPr>
          <w:p w14:paraId="31CC2BE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5170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2689B6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75C096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2B5022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020AB6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1.不同的工艺尾气排入同一尾气处理系统，未进行安全风险分析；</w:t>
            </w:r>
          </w:p>
          <w:p w14:paraId="76811D0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2.使用多个化学品储罐尾气联通回收系统，未经安全论证合格即投用。将混合后可能发生化学反应并形成爆炸性混合气体的几种气体混合排放。</w:t>
            </w:r>
          </w:p>
        </w:tc>
        <w:tc>
          <w:tcPr>
            <w:tcW w:w="1615" w:type="pct"/>
            <w:shd w:val="clear" w:color="auto" w:fill="auto"/>
            <w:vAlign w:val="center"/>
          </w:tcPr>
          <w:p w14:paraId="168E31D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表4（五）2</w:t>
            </w:r>
          </w:p>
        </w:tc>
        <w:tc>
          <w:tcPr>
            <w:tcW w:w="187" w:type="pct"/>
            <w:shd w:val="clear" w:color="auto" w:fill="auto"/>
            <w:vAlign w:val="center"/>
          </w:tcPr>
          <w:p w14:paraId="1DF5EDA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E10D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C36840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DB2F1B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348DFC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4AE80D3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可燃气体放空管道内的凝结液未密闭回收，随地排放。</w:t>
            </w:r>
          </w:p>
        </w:tc>
        <w:tc>
          <w:tcPr>
            <w:tcW w:w="1615" w:type="pct"/>
            <w:shd w:val="clear" w:color="auto" w:fill="auto"/>
            <w:vAlign w:val="center"/>
          </w:tcPr>
          <w:p w14:paraId="6594E47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第5.5.17条</w:t>
            </w:r>
          </w:p>
        </w:tc>
        <w:tc>
          <w:tcPr>
            <w:tcW w:w="187" w:type="pct"/>
            <w:shd w:val="clear" w:color="auto" w:fill="auto"/>
            <w:vAlign w:val="center"/>
          </w:tcPr>
          <w:p w14:paraId="1C1CE60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31C0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89896E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5B7A90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4F86BB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7D7E6D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液体、低热值可燃气体、毒性为极度和高度危害的可燃气体、惰性气体、酸性气体及其他腐蚀性气体排入全厂性火炬系统，未设独立的排放系统或处理排放系统。</w:t>
            </w:r>
          </w:p>
        </w:tc>
        <w:tc>
          <w:tcPr>
            <w:tcW w:w="1615" w:type="pct"/>
            <w:shd w:val="clear" w:color="auto" w:fill="auto"/>
            <w:vAlign w:val="center"/>
          </w:tcPr>
          <w:p w14:paraId="2520CAA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第5.5.15条</w:t>
            </w:r>
          </w:p>
          <w:p w14:paraId="0C35D50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《石油化工可燃性气体排放系统设计规范》（</w:t>
            </w:r>
            <w:r>
              <w:rPr>
                <w:rFonts w:ascii="仿宋_GB2312" w:hAnsi="等线" w:eastAsia="仿宋_GB2312" w:cs="宋体"/>
                <w:color w:val="000000" w:themeColor="text1"/>
                <w:kern w:val="0"/>
                <w:sz w:val="20"/>
                <w:szCs w:val="20"/>
                <w14:textFill>
                  <w14:solidFill>
                    <w14:schemeClr w14:val="tx1"/>
                  </w14:solidFill>
                </w14:textFill>
              </w:rPr>
              <w:t>SH 3009-2013）第4.3条</w:t>
            </w:r>
          </w:p>
        </w:tc>
        <w:tc>
          <w:tcPr>
            <w:tcW w:w="187" w:type="pct"/>
            <w:shd w:val="clear" w:color="auto" w:fill="auto"/>
            <w:vAlign w:val="center"/>
          </w:tcPr>
          <w:p w14:paraId="04D3D7D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03D8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EAC355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B8FC91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A45004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3BF5851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火炬系统未采取防止回火措施。</w:t>
            </w:r>
          </w:p>
        </w:tc>
        <w:tc>
          <w:tcPr>
            <w:tcW w:w="1615" w:type="pct"/>
            <w:shd w:val="clear" w:color="auto" w:fill="auto"/>
            <w:vAlign w:val="center"/>
          </w:tcPr>
          <w:p w14:paraId="19DD507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《石油化工可燃性气体排放系统设计规范》（</w:t>
            </w:r>
            <w:r>
              <w:rPr>
                <w:rFonts w:ascii="仿宋_GB2312" w:hAnsi="等线" w:eastAsia="仿宋_GB2312" w:cs="宋体"/>
                <w:color w:val="000000" w:themeColor="text1"/>
                <w:kern w:val="0"/>
                <w:sz w:val="20"/>
                <w:szCs w:val="20"/>
                <w14:textFill>
                  <w14:solidFill>
                    <w14:schemeClr w14:val="tx1"/>
                  </w14:solidFill>
                </w14:textFill>
              </w:rPr>
              <w:t>SH 3009-2013）第9.5.1条</w:t>
            </w:r>
          </w:p>
        </w:tc>
        <w:tc>
          <w:tcPr>
            <w:tcW w:w="187" w:type="pct"/>
            <w:shd w:val="clear" w:color="auto" w:fill="auto"/>
            <w:vAlign w:val="center"/>
          </w:tcPr>
          <w:p w14:paraId="058D76D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8AC8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D970B2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CD600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20FD8E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1A128E6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1.极度危害和高度危害的介质、甲类可燃气体、液化烃未采取密闭循环取样系统； </w:t>
            </w:r>
          </w:p>
          <w:p w14:paraId="7D64F5F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2.取样口设在有振动的设备或管道上，且未采取减振措施。</w:t>
            </w:r>
          </w:p>
        </w:tc>
        <w:tc>
          <w:tcPr>
            <w:tcW w:w="1615" w:type="pct"/>
            <w:shd w:val="clear" w:color="auto" w:fill="auto"/>
            <w:vAlign w:val="center"/>
          </w:tcPr>
          <w:p w14:paraId="7BA0C79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《石油化工金属管道布置设计规范》（SH3012-2011） 第7.2.3条</w:t>
            </w:r>
          </w:p>
        </w:tc>
        <w:tc>
          <w:tcPr>
            <w:tcW w:w="187" w:type="pct"/>
            <w:shd w:val="clear" w:color="auto" w:fill="auto"/>
            <w:vAlign w:val="center"/>
          </w:tcPr>
          <w:p w14:paraId="0B01957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62E9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B39938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A942AF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121FE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F36C96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可燃气体、液化烃和可燃液体的取样管道引入了化验室。</w:t>
            </w:r>
          </w:p>
        </w:tc>
        <w:tc>
          <w:tcPr>
            <w:tcW w:w="1615" w:type="pct"/>
            <w:shd w:val="clear" w:color="auto" w:fill="auto"/>
            <w:vAlign w:val="center"/>
          </w:tcPr>
          <w:p w14:paraId="496AB6A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《石油化工金属管道布置设计规范》（</w:t>
            </w:r>
            <w:r>
              <w:rPr>
                <w:rFonts w:ascii="仿宋_GB2312" w:hAnsi="等线" w:eastAsia="仿宋_GB2312" w:cs="宋体"/>
                <w:color w:val="000000" w:themeColor="text1"/>
                <w:kern w:val="0"/>
                <w:sz w:val="20"/>
                <w:szCs w:val="20"/>
                <w14:textFill>
                  <w14:solidFill>
                    <w14:schemeClr w14:val="tx1"/>
                  </w14:solidFill>
                </w14:textFill>
              </w:rPr>
              <w:t>SH 3012-2011）第7.2.5条</w:t>
            </w:r>
          </w:p>
        </w:tc>
        <w:tc>
          <w:tcPr>
            <w:tcW w:w="187" w:type="pct"/>
            <w:shd w:val="clear" w:color="auto" w:fill="auto"/>
            <w:vAlign w:val="center"/>
          </w:tcPr>
          <w:p w14:paraId="395B717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4897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558697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979162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380E57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326A08A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当安全进出口管道上设有切断阀时，未铅封开或锁开；当切断阀为闸阀时，阀杆未水平安装。当安全阀有旁路阀时，该阀未铅封关或锁关。</w:t>
            </w:r>
          </w:p>
        </w:tc>
        <w:tc>
          <w:tcPr>
            <w:tcW w:w="1615" w:type="pct"/>
            <w:shd w:val="clear" w:color="auto" w:fill="auto"/>
            <w:vAlign w:val="center"/>
          </w:tcPr>
          <w:p w14:paraId="21B22F8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《石油化工金属管道布置设计规范》（</w:t>
            </w:r>
            <w:r>
              <w:rPr>
                <w:rFonts w:ascii="仿宋_GB2312" w:hAnsi="等线" w:eastAsia="仿宋_GB2312" w:cs="宋体"/>
                <w:color w:val="000000" w:themeColor="text1"/>
                <w:kern w:val="0"/>
                <w:sz w:val="20"/>
                <w:szCs w:val="20"/>
                <w14:textFill>
                  <w14:solidFill>
                    <w14:schemeClr w14:val="tx1"/>
                  </w14:solidFill>
                </w14:textFill>
              </w:rPr>
              <w:t>SH 3012-2011）第10.2.10条</w:t>
            </w:r>
          </w:p>
        </w:tc>
        <w:tc>
          <w:tcPr>
            <w:tcW w:w="187" w:type="pct"/>
            <w:shd w:val="clear" w:color="auto" w:fill="auto"/>
            <w:vAlign w:val="center"/>
          </w:tcPr>
          <w:p w14:paraId="5D48F7D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757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87235E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BBF4CF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21F6CA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2097F2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明火加热炉附属的燃料气分液罐、燃料气加热器等与炉体的防火间距小于</w:t>
            </w:r>
            <w:r>
              <w:rPr>
                <w:rFonts w:ascii="仿宋_GB2312" w:hAnsi="等线" w:eastAsia="仿宋_GB2312" w:cs="宋体"/>
                <w:color w:val="000000" w:themeColor="text1"/>
                <w:kern w:val="0"/>
                <w:sz w:val="20"/>
                <w:szCs w:val="20"/>
                <w14:textFill>
                  <w14:solidFill>
                    <w14:schemeClr w14:val="tx1"/>
                  </w14:solidFill>
                </w14:textFill>
              </w:rPr>
              <w:t>6m。</w:t>
            </w:r>
          </w:p>
        </w:tc>
        <w:tc>
          <w:tcPr>
            <w:tcW w:w="1615" w:type="pct"/>
            <w:shd w:val="clear" w:color="auto" w:fill="auto"/>
            <w:vAlign w:val="center"/>
          </w:tcPr>
          <w:p w14:paraId="12C636B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2018年版）》（GB50160-2008）第5.2.4条</w:t>
            </w:r>
          </w:p>
        </w:tc>
        <w:tc>
          <w:tcPr>
            <w:tcW w:w="187" w:type="pct"/>
            <w:shd w:val="clear" w:color="auto" w:fill="auto"/>
            <w:vAlign w:val="center"/>
          </w:tcPr>
          <w:p w14:paraId="42A06A8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024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99684F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CB7922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3BA32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C760B5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加热炉燃料气管道上的分液罐的凝液敞开排放。</w:t>
            </w:r>
          </w:p>
        </w:tc>
        <w:tc>
          <w:tcPr>
            <w:tcW w:w="1615" w:type="pct"/>
            <w:shd w:val="clear" w:color="auto" w:fill="auto"/>
            <w:vAlign w:val="center"/>
          </w:tcPr>
          <w:p w14:paraId="08C77C9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2018年版）》（GB50160-2008）第7.2.13条</w:t>
            </w:r>
          </w:p>
        </w:tc>
        <w:tc>
          <w:tcPr>
            <w:tcW w:w="187" w:type="pct"/>
            <w:shd w:val="clear" w:color="auto" w:fill="auto"/>
            <w:vAlign w:val="center"/>
          </w:tcPr>
          <w:p w14:paraId="05FF146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F461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36A63A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0946E0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1508A1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2DB3383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比空气重的可燃气体压缩机厂房的地面设地坑或地沟；厂房内没有防止可燃气体积聚的措施。</w:t>
            </w:r>
          </w:p>
        </w:tc>
        <w:tc>
          <w:tcPr>
            <w:tcW w:w="1615" w:type="pct"/>
            <w:shd w:val="clear" w:color="auto" w:fill="auto"/>
            <w:vAlign w:val="center"/>
          </w:tcPr>
          <w:p w14:paraId="68DBEE0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第5.3.1条</w:t>
            </w:r>
          </w:p>
        </w:tc>
        <w:tc>
          <w:tcPr>
            <w:tcW w:w="187" w:type="pct"/>
            <w:shd w:val="clear" w:color="auto" w:fill="auto"/>
            <w:vAlign w:val="center"/>
          </w:tcPr>
          <w:p w14:paraId="42BFB16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162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482729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E6AD0D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0C261B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AC7C6F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一级或者二级重大危险源，未设置紧急停车系统。</w:t>
            </w:r>
          </w:p>
        </w:tc>
        <w:tc>
          <w:tcPr>
            <w:tcW w:w="1615" w:type="pct"/>
            <w:shd w:val="clear" w:color="auto" w:fill="auto"/>
            <w:vAlign w:val="center"/>
          </w:tcPr>
          <w:p w14:paraId="4BEB9CF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《危险化学品重大危险源监督管理暂行规定》（国家安全监管总局令第40号） 第十三条</w:t>
            </w:r>
          </w:p>
        </w:tc>
        <w:tc>
          <w:tcPr>
            <w:tcW w:w="187" w:type="pct"/>
            <w:shd w:val="clear" w:color="auto" w:fill="auto"/>
            <w:vAlign w:val="center"/>
          </w:tcPr>
          <w:p w14:paraId="742C8B3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8FAA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287114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158288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74B3B95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857E7F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对出现异常状况的设备设施未及时处置。</w:t>
            </w:r>
          </w:p>
        </w:tc>
        <w:tc>
          <w:tcPr>
            <w:tcW w:w="1615" w:type="pct"/>
            <w:shd w:val="clear" w:color="auto" w:fill="auto"/>
            <w:vAlign w:val="center"/>
          </w:tcPr>
          <w:p w14:paraId="6A572B4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《危险化学品企业安全风险隐患排查治理导则》 附件 表5（一）6 </w:t>
            </w:r>
          </w:p>
        </w:tc>
        <w:tc>
          <w:tcPr>
            <w:tcW w:w="187" w:type="pct"/>
            <w:shd w:val="clear" w:color="auto" w:fill="auto"/>
            <w:vAlign w:val="center"/>
          </w:tcPr>
          <w:p w14:paraId="49363C4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2C81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4358C7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70EE8E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6750AC2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3DD0F0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企业未加强防腐蚀管理，未确定检查部位，未定期检测，未定期评估防腐效果。</w:t>
            </w:r>
          </w:p>
        </w:tc>
        <w:tc>
          <w:tcPr>
            <w:tcW w:w="1615" w:type="pct"/>
            <w:shd w:val="clear" w:color="auto" w:fill="auto"/>
            <w:vAlign w:val="center"/>
          </w:tcPr>
          <w:p w14:paraId="685F521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表5（二）5</w:t>
            </w:r>
          </w:p>
        </w:tc>
        <w:tc>
          <w:tcPr>
            <w:tcW w:w="187" w:type="pct"/>
            <w:shd w:val="clear" w:color="auto" w:fill="auto"/>
            <w:vAlign w:val="center"/>
          </w:tcPr>
          <w:p w14:paraId="589FE2F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6F8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1DEDC1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8A7430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5E4C58A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D278A1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企业未设置机组、机泵防止意外启动的措施。</w:t>
            </w:r>
          </w:p>
        </w:tc>
        <w:tc>
          <w:tcPr>
            <w:tcW w:w="1615" w:type="pct"/>
            <w:shd w:val="clear" w:color="auto" w:fill="auto"/>
            <w:vAlign w:val="center"/>
          </w:tcPr>
          <w:p w14:paraId="6EE2832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《机械安全防止意外启动》（GB/T19670-2005） 第4.2条</w:t>
            </w:r>
          </w:p>
        </w:tc>
        <w:tc>
          <w:tcPr>
            <w:tcW w:w="187" w:type="pct"/>
            <w:shd w:val="clear" w:color="auto" w:fill="auto"/>
            <w:vAlign w:val="center"/>
          </w:tcPr>
          <w:p w14:paraId="55E6514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1A89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78F8F4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2F9D9D5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C8A426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1417CD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企业未监测大机组和重点动设备转速、振动、位移、温度、压力等运行参数，未及时评估设备运行状况。</w:t>
            </w:r>
          </w:p>
        </w:tc>
        <w:tc>
          <w:tcPr>
            <w:tcW w:w="1615" w:type="pct"/>
            <w:shd w:val="clear" w:color="auto" w:fill="auto"/>
            <w:vAlign w:val="center"/>
          </w:tcPr>
          <w:p w14:paraId="6F8D960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第十七条</w:t>
            </w:r>
          </w:p>
        </w:tc>
        <w:tc>
          <w:tcPr>
            <w:tcW w:w="187" w:type="pct"/>
            <w:shd w:val="clear" w:color="auto" w:fill="auto"/>
            <w:vAlign w:val="center"/>
          </w:tcPr>
          <w:p w14:paraId="7270D76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6CA1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A5032D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80EBCC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7A49B1A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3B0AC5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可燃气体压缩机、液化烃、可燃液体泵使用皮带传动。在爆炸危险区域内的其他传动设备若使用皮带传动时，未使用防静电皮带。</w:t>
            </w:r>
          </w:p>
        </w:tc>
        <w:tc>
          <w:tcPr>
            <w:tcW w:w="1615" w:type="pct"/>
            <w:shd w:val="clear" w:color="auto" w:fill="auto"/>
            <w:vAlign w:val="center"/>
          </w:tcPr>
          <w:p w14:paraId="37026E3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第5.7.7条</w:t>
            </w:r>
          </w:p>
        </w:tc>
        <w:tc>
          <w:tcPr>
            <w:tcW w:w="187" w:type="pct"/>
            <w:shd w:val="clear" w:color="auto" w:fill="auto"/>
            <w:vAlign w:val="center"/>
          </w:tcPr>
          <w:p w14:paraId="7F5DAC3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ACD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8ADC38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850FDF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BB15AA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146450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可燃气体压缩机的吸入管道无防止产生负压的措施。</w:t>
            </w:r>
          </w:p>
        </w:tc>
        <w:tc>
          <w:tcPr>
            <w:tcW w:w="1615" w:type="pct"/>
            <w:shd w:val="clear" w:color="auto" w:fill="auto"/>
            <w:vAlign w:val="center"/>
          </w:tcPr>
          <w:p w14:paraId="3DBFE48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2018年版）》（GB50160-2008）第7.2.10条</w:t>
            </w:r>
          </w:p>
        </w:tc>
        <w:tc>
          <w:tcPr>
            <w:tcW w:w="187" w:type="pct"/>
            <w:shd w:val="clear" w:color="auto" w:fill="auto"/>
            <w:vAlign w:val="center"/>
          </w:tcPr>
          <w:p w14:paraId="411E1BA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80F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DCF36A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1EDE6E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A1B26C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AB2169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离心式可燃气体压缩机和可燃液体泵未在其出口管道上安装止回阀。</w:t>
            </w:r>
          </w:p>
        </w:tc>
        <w:tc>
          <w:tcPr>
            <w:tcW w:w="1615" w:type="pct"/>
            <w:shd w:val="clear" w:color="auto" w:fill="auto"/>
            <w:vAlign w:val="center"/>
          </w:tcPr>
          <w:p w14:paraId="64CAE40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第7.2.11条</w:t>
            </w:r>
          </w:p>
        </w:tc>
        <w:tc>
          <w:tcPr>
            <w:tcW w:w="187" w:type="pct"/>
            <w:shd w:val="clear" w:color="auto" w:fill="auto"/>
            <w:vAlign w:val="center"/>
          </w:tcPr>
          <w:p w14:paraId="42D9DFE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D63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56506F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FF1939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27DEC3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1C5EFC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传动带、转轴、传动链、皮带轮、齿轮等外露危险零部件及危险部位未设置安全防护装置。</w:t>
            </w:r>
          </w:p>
        </w:tc>
        <w:tc>
          <w:tcPr>
            <w:tcW w:w="1615" w:type="pct"/>
            <w:shd w:val="clear" w:color="auto" w:fill="auto"/>
            <w:vAlign w:val="center"/>
          </w:tcPr>
          <w:p w14:paraId="2FBA041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《生产设备安全卫生设计准则》（GB5083-1999） 第6.1.6条</w:t>
            </w:r>
          </w:p>
        </w:tc>
        <w:tc>
          <w:tcPr>
            <w:tcW w:w="187" w:type="pct"/>
            <w:shd w:val="clear" w:color="auto" w:fill="auto"/>
            <w:vAlign w:val="center"/>
          </w:tcPr>
          <w:p w14:paraId="2B83429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974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811E0C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9705B2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AFE600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2B3A5C3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危险化学品重大危险源配备的温度、压力、液位、流量、组份等信息未不间断采集和监测，或不具备信息远传、连续记录、事故预警、信息储存（不少于30天）等功能。</w:t>
            </w:r>
          </w:p>
        </w:tc>
        <w:tc>
          <w:tcPr>
            <w:tcW w:w="1615" w:type="pct"/>
            <w:shd w:val="clear" w:color="auto" w:fill="auto"/>
            <w:vAlign w:val="center"/>
          </w:tcPr>
          <w:p w14:paraId="04993F2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《危险化学品重大危险源监督管理暂行规定》（国家安全监管总局令第40号） 第十三条</w:t>
            </w:r>
          </w:p>
        </w:tc>
        <w:tc>
          <w:tcPr>
            <w:tcW w:w="187" w:type="pct"/>
            <w:shd w:val="clear" w:color="auto" w:fill="auto"/>
            <w:vAlign w:val="center"/>
          </w:tcPr>
          <w:p w14:paraId="0D6915B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4CB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58D10C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936A85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B42BFD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CF692F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加热炉现场运行管理，未满足以下要求：</w:t>
            </w:r>
          </w:p>
          <w:p w14:paraId="2A918F6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1.加热炉应在设计允许的范围内运行，严禁超温、超压、超负荷运行；</w:t>
            </w:r>
          </w:p>
          <w:p w14:paraId="0F99382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2.加热炉的炉用控制仪表以及检测仪表应正常投用，无故障。并定期对所有氧含量分析仪进行校验。</w:t>
            </w:r>
          </w:p>
        </w:tc>
        <w:tc>
          <w:tcPr>
            <w:tcW w:w="1615" w:type="pct"/>
            <w:shd w:val="clear" w:color="auto" w:fill="auto"/>
            <w:vAlign w:val="center"/>
          </w:tcPr>
          <w:p w14:paraId="6A61523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w:t>
            </w:r>
            <w:r>
              <w:rPr>
                <w:rFonts w:ascii="仿宋_GB2312" w:hAnsi="等线" w:eastAsia="仿宋_GB2312" w:cs="宋体"/>
                <w:color w:val="000000" w:themeColor="text1"/>
                <w:kern w:val="0"/>
                <w:sz w:val="20"/>
                <w:szCs w:val="20"/>
                <w14:textFill>
                  <w14:solidFill>
                    <w14:schemeClr w14:val="tx1"/>
                  </w14:solidFill>
                </w14:textFill>
              </w:rPr>
              <w:t>2012〕103号）附件4：设备隐患排查表</w:t>
            </w:r>
          </w:p>
        </w:tc>
        <w:tc>
          <w:tcPr>
            <w:tcW w:w="187" w:type="pct"/>
            <w:shd w:val="clear" w:color="auto" w:fill="auto"/>
            <w:vAlign w:val="center"/>
          </w:tcPr>
          <w:p w14:paraId="4BDFEDC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171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7B247C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2E77F7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8EF5F6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BC06CA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加热炉燃料系统中燃料油（气）线泄漏，长明灯不能正常点燃，备用的燃烧器未将风门、汽门关闭。</w:t>
            </w:r>
          </w:p>
        </w:tc>
        <w:tc>
          <w:tcPr>
            <w:tcW w:w="1615" w:type="pct"/>
            <w:shd w:val="clear" w:color="auto" w:fill="auto"/>
            <w:vAlign w:val="center"/>
          </w:tcPr>
          <w:p w14:paraId="3CD59D0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45F83A5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7043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C673D6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1AEA73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639BBC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5D3C35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加热炉炉体及附件管理未满足以下：</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1.炉体及附件的隔热、密封良好，看火窗、看火孔、点火孔、防爆门、人孔门严密，无漏风；</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2.灭火蒸汽系统处于备用状态；</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3.有吹灰器的加热炉，吹灰器正常投用。</w:t>
            </w:r>
          </w:p>
        </w:tc>
        <w:tc>
          <w:tcPr>
            <w:tcW w:w="1615" w:type="pct"/>
            <w:shd w:val="clear" w:color="auto" w:fill="auto"/>
            <w:vAlign w:val="center"/>
          </w:tcPr>
          <w:p w14:paraId="24A4D74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46EC3F1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23D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19486D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00346F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E35464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4C4808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明火加热炉附属的燃料气分液罐、燃料气加热器等与炉体的防火间距小于6m。</w:t>
            </w:r>
          </w:p>
        </w:tc>
        <w:tc>
          <w:tcPr>
            <w:tcW w:w="1615" w:type="pct"/>
            <w:shd w:val="clear" w:color="auto" w:fill="auto"/>
            <w:vAlign w:val="center"/>
          </w:tcPr>
          <w:p w14:paraId="4B6E5DD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p w14:paraId="34BF853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《石油化工企业设计防火规范》（GB 50160-2008）第5.2.4条。</w:t>
            </w:r>
          </w:p>
        </w:tc>
        <w:tc>
          <w:tcPr>
            <w:tcW w:w="187" w:type="pct"/>
            <w:shd w:val="clear" w:color="auto" w:fill="auto"/>
            <w:vAlign w:val="center"/>
          </w:tcPr>
          <w:p w14:paraId="001E316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26E4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060178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A84EF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F8B0A6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413102E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以燃料气为燃料的加热炉未设长明灯，未设置火焰检测器。</w:t>
            </w:r>
          </w:p>
        </w:tc>
        <w:tc>
          <w:tcPr>
            <w:tcW w:w="1615" w:type="pct"/>
            <w:shd w:val="clear" w:color="auto" w:fill="auto"/>
            <w:vAlign w:val="center"/>
          </w:tcPr>
          <w:p w14:paraId="43C1079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4FA74DC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FEA9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886C49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C85C1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EC9844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D934D75">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加热炉燃料气管道上的分液罐的凝液未敞开排放。</w:t>
            </w:r>
          </w:p>
        </w:tc>
        <w:tc>
          <w:tcPr>
            <w:tcW w:w="1615" w:type="pct"/>
            <w:shd w:val="clear" w:color="auto" w:fill="auto"/>
            <w:vAlign w:val="center"/>
          </w:tcPr>
          <w:p w14:paraId="1B5FD0C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5D44A9C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FD67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975614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7BE62D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8B20C6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9B39EAA">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大机组未设置相应的温度、压力、振动、轴位移等联锁。</w:t>
            </w:r>
          </w:p>
        </w:tc>
        <w:tc>
          <w:tcPr>
            <w:tcW w:w="1615" w:type="pct"/>
            <w:shd w:val="clear" w:color="auto" w:fill="auto"/>
            <w:vAlign w:val="center"/>
          </w:tcPr>
          <w:p w14:paraId="00F20514">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1B1E0B6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485B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39BE28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45E875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899B00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21334D3">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机泵的报警和联锁系统未正常投入使用。</w:t>
            </w:r>
          </w:p>
        </w:tc>
        <w:tc>
          <w:tcPr>
            <w:tcW w:w="1615" w:type="pct"/>
            <w:shd w:val="clear" w:color="auto" w:fill="auto"/>
            <w:vAlign w:val="center"/>
          </w:tcPr>
          <w:p w14:paraId="69DF424C">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2EFBA74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4546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2F6C81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BF1041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FE8757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7475B400">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备用机泵未保持完好状态，不能正常投入使用。</w:t>
            </w:r>
          </w:p>
        </w:tc>
        <w:tc>
          <w:tcPr>
            <w:tcW w:w="1615" w:type="pct"/>
            <w:shd w:val="clear" w:color="auto" w:fill="auto"/>
            <w:vAlign w:val="center"/>
          </w:tcPr>
          <w:p w14:paraId="240FD6A1">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56A20F2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74D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81912F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357317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19B27A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4D5F914">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转动设备的转动部位无可靠的安全防护装置。</w:t>
            </w:r>
          </w:p>
        </w:tc>
        <w:tc>
          <w:tcPr>
            <w:tcW w:w="1615" w:type="pct"/>
            <w:shd w:val="clear" w:color="auto" w:fill="auto"/>
            <w:vAlign w:val="center"/>
          </w:tcPr>
          <w:p w14:paraId="4A412D6D">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6F13853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B92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782CC4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882EA3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759B69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42E04590">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机泵润滑不符合“五定”、“三级过滤”要求。</w:t>
            </w:r>
          </w:p>
        </w:tc>
        <w:tc>
          <w:tcPr>
            <w:tcW w:w="1615" w:type="pct"/>
            <w:shd w:val="clear" w:color="auto" w:fill="auto"/>
            <w:vAlign w:val="center"/>
          </w:tcPr>
          <w:p w14:paraId="2BF2498C">
            <w:pPr>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《危险化学品企业事故隐患排查治理实施导则》（安监总管三〔2012〕103号）附件4：设备隐患排查表。</w:t>
            </w:r>
          </w:p>
        </w:tc>
        <w:tc>
          <w:tcPr>
            <w:tcW w:w="187" w:type="pct"/>
            <w:shd w:val="clear" w:color="auto" w:fill="auto"/>
            <w:vAlign w:val="center"/>
          </w:tcPr>
          <w:p w14:paraId="5278871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6C0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D11D80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1F5282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43FD4A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1AC35F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新建化工装置未设计装备自动化控制系统，未根据工艺过程危险和风险分析结果、安全完整性等级评价（SIL）结果，设置安全仪表系统。</w:t>
            </w:r>
          </w:p>
        </w:tc>
        <w:tc>
          <w:tcPr>
            <w:tcW w:w="1615" w:type="pct"/>
            <w:shd w:val="clear" w:color="auto" w:fill="auto"/>
            <w:vAlign w:val="center"/>
          </w:tcPr>
          <w:p w14:paraId="71A038B9">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《关于进一步加强危险化学品建设项目安全设计管理的通知》（安监总管三〔2013〕76号） 第十九条</w:t>
            </w:r>
          </w:p>
        </w:tc>
        <w:tc>
          <w:tcPr>
            <w:tcW w:w="187" w:type="pct"/>
            <w:shd w:val="clear" w:color="auto" w:fill="auto"/>
            <w:vAlign w:val="center"/>
          </w:tcPr>
          <w:p w14:paraId="0CCDF8D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12E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317EDB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CE9BAC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A81FB8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F4066B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涉及重点监管危险化工工艺的装置未实现自动化控制，系统未实现紧急停车功能，装备的自动化控制系统、紧急停车系统未投入使用。</w:t>
            </w:r>
          </w:p>
        </w:tc>
        <w:tc>
          <w:tcPr>
            <w:tcW w:w="1615" w:type="pct"/>
            <w:shd w:val="clear" w:color="auto" w:fill="auto"/>
            <w:vAlign w:val="center"/>
          </w:tcPr>
          <w:p w14:paraId="4909A6B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第四条</w:t>
            </w:r>
          </w:p>
        </w:tc>
        <w:tc>
          <w:tcPr>
            <w:tcW w:w="187" w:type="pct"/>
            <w:shd w:val="clear" w:color="auto" w:fill="auto"/>
            <w:vAlign w:val="center"/>
          </w:tcPr>
          <w:p w14:paraId="1F638FE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01416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B6C6EC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B60F1A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BFF5EC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D682AA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重大危险源的化工生产装置未装备满足安全生产要求的自动化控制系统。</w:t>
            </w:r>
          </w:p>
        </w:tc>
        <w:tc>
          <w:tcPr>
            <w:tcW w:w="1615" w:type="pct"/>
            <w:shd w:val="clear" w:color="auto" w:fill="auto"/>
            <w:vAlign w:val="center"/>
          </w:tcPr>
          <w:p w14:paraId="405DFE7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《危险化学品重大危险源监督管理暂行规定》（国家安全监管总局令第40号） 第十三条</w:t>
            </w:r>
          </w:p>
        </w:tc>
        <w:tc>
          <w:tcPr>
            <w:tcW w:w="187" w:type="pct"/>
            <w:shd w:val="clear" w:color="auto" w:fill="auto"/>
            <w:vAlign w:val="center"/>
          </w:tcPr>
          <w:p w14:paraId="74CDD16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CC2B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5F1DA4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63C3BE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754A3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355293F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涉及硝化、氯化、氟化、重氮化、过氧化工艺装置的上下游配套装置未实现自动化控制。</w:t>
            </w:r>
          </w:p>
        </w:tc>
        <w:tc>
          <w:tcPr>
            <w:tcW w:w="1615" w:type="pct"/>
            <w:shd w:val="clear" w:color="auto" w:fill="auto"/>
            <w:vAlign w:val="center"/>
          </w:tcPr>
          <w:p w14:paraId="5D7F89D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《危险化学品安全使用许</w:t>
            </w:r>
            <w:r>
              <w:rPr>
                <w:rFonts w:ascii="仿宋_GB2312" w:hAnsi="等线" w:eastAsia="仿宋_GB2312" w:cs="宋体"/>
                <w:color w:val="000000" w:themeColor="text1"/>
                <w:kern w:val="0"/>
                <w:sz w:val="20"/>
                <w:szCs w:val="20"/>
                <w14:textFill>
                  <w14:solidFill>
                    <w14:schemeClr w14:val="tx1"/>
                  </w14:solidFill>
                </w14:textFill>
              </w:rPr>
              <w:t xml:space="preserve"> 可证实施办法》(国家安全监管总局令第57号)第七条第三项</w:t>
            </w:r>
          </w:p>
        </w:tc>
        <w:tc>
          <w:tcPr>
            <w:tcW w:w="187" w:type="pct"/>
            <w:shd w:val="clear" w:color="auto" w:fill="auto"/>
            <w:vAlign w:val="center"/>
          </w:tcPr>
          <w:p w14:paraId="262FCAC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7A1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930DAC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BF9F49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5968B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0ACA2AF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涉及硝化、氯化、</w:t>
            </w:r>
            <w:r>
              <w:rPr>
                <w:rFonts w:ascii="仿宋_GB2312" w:hAnsi="等线" w:eastAsia="仿宋_GB2312" w:cs="宋体"/>
                <w:color w:val="000000" w:themeColor="text1"/>
                <w:kern w:val="0"/>
                <w:sz w:val="20"/>
                <w:szCs w:val="20"/>
                <w14:textFill>
                  <w14:solidFill>
                    <w14:schemeClr w14:val="tx1"/>
                  </w14:solidFill>
                </w14:textFill>
              </w:rPr>
              <w:t>氟化、重氮化、过氧化的精细化工生产装置企业，未开展有关产品生产工艺全流程的反应安全风险评估，未对原料、中间产品、产品及副产物进行热稳定性测试，或者未落实评估建</w:t>
            </w:r>
            <w:r>
              <w:rPr>
                <w:rFonts w:hint="eastAsia" w:ascii="仿宋_GB2312" w:hAnsi="等线" w:eastAsia="仿宋_GB2312" w:cs="宋体"/>
                <w:color w:val="000000" w:themeColor="text1"/>
                <w:kern w:val="0"/>
                <w:sz w:val="20"/>
                <w:szCs w:val="20"/>
                <w14:textFill>
                  <w14:solidFill>
                    <w14:schemeClr w14:val="tx1"/>
                  </w14:solidFill>
                </w14:textFill>
              </w:rPr>
              <w:t>议</w:t>
            </w:r>
            <w:r>
              <w:rPr>
                <w:rFonts w:ascii="仿宋_GB2312" w:hAnsi="等线" w:eastAsia="仿宋_GB2312" w:cs="宋体"/>
                <w:color w:val="000000" w:themeColor="text1"/>
                <w:kern w:val="0"/>
                <w:sz w:val="20"/>
                <w:szCs w:val="20"/>
                <w14:textFill>
                  <w14:solidFill>
                    <w14:schemeClr w14:val="tx1"/>
                  </w14:solidFill>
                </w14:textFill>
              </w:rPr>
              <w:t xml:space="preserve"> 。</w:t>
            </w:r>
          </w:p>
        </w:tc>
        <w:tc>
          <w:tcPr>
            <w:tcW w:w="1615" w:type="pct"/>
            <w:shd w:val="clear" w:color="auto" w:fill="auto"/>
            <w:vAlign w:val="center"/>
          </w:tcPr>
          <w:p w14:paraId="4347DA4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w:t>
            </w:r>
            <w:r>
              <w:rPr>
                <w:rFonts w:ascii="仿宋_GB2312" w:hAnsi="等线" w:eastAsia="仿宋_GB2312" w:cs="宋体"/>
                <w:color w:val="000000" w:themeColor="text1"/>
                <w:kern w:val="0"/>
                <w:sz w:val="20"/>
                <w:szCs w:val="20"/>
                <w14:textFill>
                  <w14:solidFill>
                    <w14:schemeClr w14:val="tx1"/>
                  </w14:solidFill>
                </w14:textFill>
              </w:rPr>
              <w:t xml:space="preserve"> 经营单位重大生产安全事故隐患判定标准(试行)》(安监总管三〔2017〕121号)第十九条 </w:t>
            </w:r>
          </w:p>
        </w:tc>
        <w:tc>
          <w:tcPr>
            <w:tcW w:w="187" w:type="pct"/>
            <w:shd w:val="clear" w:color="auto" w:fill="auto"/>
            <w:vAlign w:val="center"/>
          </w:tcPr>
          <w:p w14:paraId="60174AB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432B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551192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E9B091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40FDD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22ACAFD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化工生产装置未按国家标准要求设置双重电源供电，自动化控制系统未设置不间断电源。</w:t>
            </w:r>
          </w:p>
        </w:tc>
        <w:tc>
          <w:tcPr>
            <w:tcW w:w="1615" w:type="pct"/>
            <w:shd w:val="clear" w:color="auto" w:fill="auto"/>
            <w:vAlign w:val="center"/>
          </w:tcPr>
          <w:p w14:paraId="588AAF1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第十四条</w:t>
            </w:r>
          </w:p>
        </w:tc>
        <w:tc>
          <w:tcPr>
            <w:tcW w:w="187" w:type="pct"/>
            <w:shd w:val="clear" w:color="auto" w:fill="auto"/>
            <w:vAlign w:val="center"/>
          </w:tcPr>
          <w:p w14:paraId="6F8A7D3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62F7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493FDB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6721B1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43947B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615DD43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涉及重点监管危险化工工艺的大、中型新建建设项目未按照GB/T 21109和GB 50770等相关标准开展安全仪表系统设计。</w:t>
            </w:r>
          </w:p>
        </w:tc>
        <w:tc>
          <w:tcPr>
            <w:tcW w:w="1615" w:type="pct"/>
            <w:shd w:val="clear" w:color="auto" w:fill="auto"/>
            <w:vAlign w:val="center"/>
          </w:tcPr>
          <w:p w14:paraId="4D8F834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《关于进一步加强危险化学品建设项目安全设计管理的通知》（安监总管三〔2013〕76号） 第十九条</w:t>
            </w:r>
          </w:p>
        </w:tc>
        <w:tc>
          <w:tcPr>
            <w:tcW w:w="187" w:type="pct"/>
            <w:shd w:val="clear" w:color="auto" w:fill="auto"/>
            <w:vAlign w:val="center"/>
          </w:tcPr>
          <w:p w14:paraId="386F12D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83E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35546E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39A072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BFD842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工艺及生产设备设施类</w:t>
            </w:r>
          </w:p>
        </w:tc>
        <w:tc>
          <w:tcPr>
            <w:tcW w:w="1859" w:type="pct"/>
            <w:shd w:val="clear" w:color="auto" w:fill="auto"/>
            <w:vAlign w:val="center"/>
          </w:tcPr>
          <w:p w14:paraId="56BC719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配备的安全仪表系统未投入使用。</w:t>
            </w:r>
          </w:p>
        </w:tc>
        <w:tc>
          <w:tcPr>
            <w:tcW w:w="1615" w:type="pct"/>
            <w:shd w:val="clear" w:color="auto" w:fill="auto"/>
            <w:vAlign w:val="center"/>
          </w:tcPr>
          <w:p w14:paraId="1CD57BE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表6（二）3</w:t>
            </w:r>
          </w:p>
        </w:tc>
        <w:tc>
          <w:tcPr>
            <w:tcW w:w="187" w:type="pct"/>
            <w:shd w:val="clear" w:color="auto" w:fill="auto"/>
            <w:vAlign w:val="center"/>
          </w:tcPr>
          <w:p w14:paraId="29B4FED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7DC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11506B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D34089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6E36B5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83F285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存在生产装置和储存设施的防雷、防静电、防汛、防台风、降温等安全设施不完好的情况；</w:t>
            </w:r>
            <w:r>
              <w:rPr>
                <w:rFonts w:hint="eastAsia" w:ascii="仿宋_GB2312" w:hAnsi="等线" w:eastAsia="仿宋_GB2312" w:cs="宋体"/>
                <w:color w:val="000000" w:themeColor="text1"/>
                <w:kern w:val="0"/>
                <w:sz w:val="20"/>
                <w:szCs w:val="20"/>
                <w14:textFill>
                  <w14:solidFill>
                    <w14:schemeClr w14:val="tx1"/>
                  </w14:solidFill>
                </w14:textFill>
              </w:rPr>
              <w:t>wei</w:t>
            </w:r>
            <w:r>
              <w:rPr>
                <w:rFonts w:ascii="仿宋_GB2312" w:hAnsi="等线" w:eastAsia="仿宋_GB2312" w:cs="宋体"/>
                <w:color w:val="000000" w:themeColor="text1"/>
                <w:kern w:val="0"/>
                <w:sz w:val="20"/>
                <w:szCs w:val="20"/>
                <w14:textFill>
                  <w14:solidFill>
                    <w14:schemeClr w14:val="tx1"/>
                  </w14:solidFill>
                </w14:textFill>
              </w:rPr>
              <w:t>针对极端天气影响制定完善应急预案，开展应急演练，备齐备足应急物资设备。</w:t>
            </w:r>
          </w:p>
        </w:tc>
        <w:tc>
          <w:tcPr>
            <w:tcW w:w="1615" w:type="pct"/>
            <w:shd w:val="clear" w:color="auto" w:fill="auto"/>
            <w:vAlign w:val="center"/>
          </w:tcPr>
          <w:p w14:paraId="0B37F72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《关于对危险化学品领域安全生产新情况新问题开展专项排查整治的通知》（应急厅函〔</w:t>
            </w:r>
            <w:r>
              <w:rPr>
                <w:rFonts w:ascii="仿宋_GB2312" w:hAnsi="等线" w:eastAsia="仿宋_GB2312" w:cs="宋体"/>
                <w:color w:val="000000" w:themeColor="text1"/>
                <w:kern w:val="0"/>
                <w:sz w:val="20"/>
                <w:szCs w:val="20"/>
                <w14:textFill>
                  <w14:solidFill>
                    <w14:schemeClr w14:val="tx1"/>
                  </w14:solidFill>
                </w14:textFill>
              </w:rPr>
              <w:t>2021〕129号）</w:t>
            </w:r>
            <w:r>
              <w:rPr>
                <w:rFonts w:hint="eastAsia" w:ascii="仿宋_GB2312" w:hAnsi="等线" w:eastAsia="仿宋_GB2312" w:cs="宋体"/>
                <w:color w:val="000000" w:themeColor="text1"/>
                <w:kern w:val="0"/>
                <w:sz w:val="20"/>
                <w:szCs w:val="20"/>
                <w14:textFill>
                  <w14:solidFill>
                    <w14:schemeClr w14:val="tx1"/>
                  </w14:solidFill>
                </w14:textFill>
              </w:rPr>
              <w:t>第五条</w:t>
            </w:r>
          </w:p>
        </w:tc>
        <w:tc>
          <w:tcPr>
            <w:tcW w:w="187" w:type="pct"/>
            <w:shd w:val="clear" w:color="auto" w:fill="auto"/>
            <w:vAlign w:val="center"/>
          </w:tcPr>
          <w:p w14:paraId="6D10714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B748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653139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ADF7DB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7C678A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124F8DC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生产污水管道的下列部位未设水封，水封高度小于250mm：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1.工艺装置内的塔、加热炉、泵、冷换设备等区围堰的排水出口；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2.工艺装置、罐组或其他设施及建筑物、构筑物、管沟等的排水出口；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3.全厂性的支干管与干管交汇处的支干管上；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4.全厂性支干管、干管的管段长度超过300m时，未用水封井隔开。</w:t>
            </w:r>
          </w:p>
        </w:tc>
        <w:tc>
          <w:tcPr>
            <w:tcW w:w="1615" w:type="pct"/>
            <w:shd w:val="clear" w:color="auto" w:fill="auto"/>
            <w:vAlign w:val="center"/>
          </w:tcPr>
          <w:p w14:paraId="78A406F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第7.3.3条</w:t>
            </w:r>
          </w:p>
        </w:tc>
        <w:tc>
          <w:tcPr>
            <w:tcW w:w="187" w:type="pct"/>
            <w:shd w:val="clear" w:color="auto" w:fill="auto"/>
            <w:vAlign w:val="center"/>
          </w:tcPr>
          <w:p w14:paraId="1F59B39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5E6C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287328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1C544F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7A078CC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279EEC1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易燃易爆危险化学品的汽车罐车和装卸场所，未设防静电专用接地线。 </w:t>
            </w:r>
          </w:p>
        </w:tc>
        <w:tc>
          <w:tcPr>
            <w:tcW w:w="1615" w:type="pct"/>
            <w:shd w:val="clear" w:color="auto" w:fill="auto"/>
            <w:vAlign w:val="center"/>
          </w:tcPr>
          <w:p w14:paraId="7409B7B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《危险化学品企业安全风险隐患排查治理导则》 附件 表4（七）14 </w:t>
            </w:r>
          </w:p>
        </w:tc>
        <w:tc>
          <w:tcPr>
            <w:tcW w:w="187" w:type="pct"/>
            <w:shd w:val="clear" w:color="auto" w:fill="auto"/>
            <w:vAlign w:val="center"/>
          </w:tcPr>
          <w:p w14:paraId="62CD82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737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4C7436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B87E87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56BBC7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60B854E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甲B、乙、丙A类液体的装车未采用液下装车鹤管；距装车栈台边缘</w:t>
            </w:r>
            <w:r>
              <w:rPr>
                <w:rFonts w:ascii="仿宋_GB2312" w:hAnsi="等线" w:eastAsia="仿宋_GB2312" w:cs="宋体"/>
                <w:color w:val="000000" w:themeColor="text1"/>
                <w:kern w:val="0"/>
                <w:sz w:val="20"/>
                <w:szCs w:val="20"/>
                <w14:textFill>
                  <w14:solidFill>
                    <w14:schemeClr w14:val="tx1"/>
                  </w14:solidFill>
                </w14:textFill>
              </w:rPr>
              <w:t>10m以外的可燃液体输入管道上</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设紧急切断阀；鹤位与泵的距离</w:t>
            </w:r>
            <w:r>
              <w:rPr>
                <w:rFonts w:hint="eastAsia" w:ascii="仿宋_GB2312" w:hAnsi="等线" w:eastAsia="仿宋_GB2312" w:cs="宋体"/>
                <w:color w:val="000000" w:themeColor="text1"/>
                <w:kern w:val="0"/>
                <w:sz w:val="20"/>
                <w:szCs w:val="20"/>
                <w14:textFill>
                  <w14:solidFill>
                    <w14:schemeClr w14:val="tx1"/>
                  </w14:solidFill>
                </w14:textFill>
              </w:rPr>
              <w:t>大于</w:t>
            </w:r>
            <w:r>
              <w:rPr>
                <w:rFonts w:ascii="仿宋_GB2312" w:hAnsi="等线" w:eastAsia="仿宋_GB2312" w:cs="宋体"/>
                <w:color w:val="000000" w:themeColor="text1"/>
                <w:kern w:val="0"/>
                <w:sz w:val="20"/>
                <w:szCs w:val="20"/>
                <w14:textFill>
                  <w14:solidFill>
                    <w14:schemeClr w14:val="tx1"/>
                  </w14:solidFill>
                </w14:textFill>
              </w:rPr>
              <w:t>8m，</w:t>
            </w:r>
            <w:r>
              <w:rPr>
                <w:rFonts w:hint="eastAsia" w:ascii="仿宋_GB2312" w:hAnsi="等线" w:eastAsia="仿宋_GB2312" w:cs="宋体"/>
                <w:color w:val="000000" w:themeColor="text1"/>
                <w:kern w:val="0"/>
                <w:sz w:val="20"/>
                <w:szCs w:val="20"/>
                <w14:textFill>
                  <w14:solidFill>
                    <w14:schemeClr w14:val="tx1"/>
                  </w14:solidFill>
                </w14:textFill>
              </w:rPr>
              <w:t>与</w:t>
            </w:r>
            <w:r>
              <w:rPr>
                <w:rFonts w:ascii="仿宋_GB2312" w:hAnsi="等线" w:eastAsia="仿宋_GB2312" w:cs="宋体"/>
                <w:color w:val="000000" w:themeColor="text1"/>
                <w:kern w:val="0"/>
                <w:sz w:val="20"/>
                <w:szCs w:val="20"/>
                <w14:textFill>
                  <w14:solidFill>
                    <w14:schemeClr w14:val="tx1"/>
                  </w14:solidFill>
                </w14:textFill>
              </w:rPr>
              <w:t>油气回收距离</w:t>
            </w:r>
            <w:r>
              <w:rPr>
                <w:rFonts w:hint="eastAsia" w:ascii="仿宋_GB2312" w:hAnsi="等线" w:eastAsia="仿宋_GB2312" w:cs="宋体"/>
                <w:color w:val="000000" w:themeColor="text1"/>
                <w:kern w:val="0"/>
                <w:sz w:val="20"/>
                <w:szCs w:val="20"/>
                <w14:textFill>
                  <w14:solidFill>
                    <w14:schemeClr w14:val="tx1"/>
                  </w14:solidFill>
                </w14:textFill>
              </w:rPr>
              <w:t>大于</w:t>
            </w:r>
            <w:r>
              <w:rPr>
                <w:rFonts w:ascii="仿宋_GB2312" w:hAnsi="等线" w:eastAsia="仿宋_GB2312" w:cs="宋体"/>
                <w:color w:val="000000" w:themeColor="text1"/>
                <w:kern w:val="0"/>
                <w:sz w:val="20"/>
                <w:szCs w:val="20"/>
                <w14:textFill>
                  <w14:solidFill>
                    <w14:schemeClr w14:val="tx1"/>
                  </w14:solidFill>
                </w14:textFill>
              </w:rPr>
              <w:t>4.5m。</w:t>
            </w:r>
          </w:p>
        </w:tc>
        <w:tc>
          <w:tcPr>
            <w:tcW w:w="1615" w:type="pct"/>
            <w:shd w:val="clear" w:color="auto" w:fill="auto"/>
            <w:vAlign w:val="center"/>
          </w:tcPr>
          <w:p w14:paraId="6CC8806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第6.4.2条</w:t>
            </w:r>
          </w:p>
        </w:tc>
        <w:tc>
          <w:tcPr>
            <w:tcW w:w="187" w:type="pct"/>
            <w:shd w:val="clear" w:color="auto" w:fill="auto"/>
            <w:vAlign w:val="center"/>
          </w:tcPr>
          <w:p w14:paraId="7C5E5C7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3196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FDA447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3C5032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45DFBA1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78A4DEE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液化烃汽车装卸栈台与可燃液体汽车装卸栈台相邻鹤位之间的距离小于</w:t>
            </w:r>
            <w:r>
              <w:rPr>
                <w:rFonts w:ascii="仿宋_GB2312" w:hAnsi="等线" w:eastAsia="仿宋_GB2312" w:cs="宋体"/>
                <w:color w:val="000000" w:themeColor="text1"/>
                <w:kern w:val="0"/>
                <w:sz w:val="20"/>
                <w:szCs w:val="20"/>
                <w14:textFill>
                  <w14:solidFill>
                    <w14:schemeClr w14:val="tx1"/>
                  </w14:solidFill>
                </w14:textFill>
              </w:rPr>
              <w:t>8m；装卸车鹤位10m以外的装卸管道上</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设紧急切断阀；鹤位与泵的距离</w:t>
            </w:r>
            <w:r>
              <w:rPr>
                <w:rFonts w:hint="eastAsia" w:ascii="仿宋_GB2312" w:hAnsi="等线" w:eastAsia="仿宋_GB2312" w:cs="宋体"/>
                <w:color w:val="000000" w:themeColor="text1"/>
                <w:kern w:val="0"/>
                <w:sz w:val="20"/>
                <w:szCs w:val="20"/>
                <w14:textFill>
                  <w14:solidFill>
                    <w14:schemeClr w14:val="tx1"/>
                  </w14:solidFill>
                </w14:textFill>
              </w:rPr>
              <w:t>小</w:t>
            </w:r>
            <w:r>
              <w:rPr>
                <w:rFonts w:ascii="仿宋_GB2312" w:hAnsi="等线" w:eastAsia="仿宋_GB2312" w:cs="宋体"/>
                <w:color w:val="000000" w:themeColor="text1"/>
                <w:kern w:val="0"/>
                <w:sz w:val="20"/>
                <w:szCs w:val="20"/>
                <w14:textFill>
                  <w14:solidFill>
                    <w14:schemeClr w14:val="tx1"/>
                  </w14:solidFill>
                </w14:textFill>
              </w:rPr>
              <w:t>于</w:t>
            </w:r>
            <w:r>
              <w:rPr>
                <w:rFonts w:hint="eastAsia" w:ascii="仿宋_GB2312" w:hAnsi="等线" w:eastAsia="仿宋_GB2312" w:cs="宋体"/>
                <w:color w:val="000000" w:themeColor="text1"/>
                <w:kern w:val="0"/>
                <w:sz w:val="20"/>
                <w:szCs w:val="20"/>
                <w14:textFill>
                  <w14:solidFill>
                    <w14:schemeClr w14:val="tx1"/>
                  </w14:solidFill>
                </w14:textFill>
              </w:rPr>
              <w:t>10</w:t>
            </w:r>
            <w:r>
              <w:rPr>
                <w:rFonts w:ascii="仿宋_GB2312" w:hAnsi="等线" w:eastAsia="仿宋_GB2312" w:cs="宋体"/>
                <w:color w:val="000000" w:themeColor="text1"/>
                <w:kern w:val="0"/>
                <w:sz w:val="20"/>
                <w:szCs w:val="20"/>
                <w14:textFill>
                  <w14:solidFill>
                    <w14:schemeClr w14:val="tx1"/>
                  </w14:solidFill>
                </w14:textFill>
              </w:rPr>
              <w:t>m。</w:t>
            </w:r>
          </w:p>
        </w:tc>
        <w:tc>
          <w:tcPr>
            <w:tcW w:w="1615" w:type="pct"/>
            <w:shd w:val="clear" w:color="auto" w:fill="auto"/>
            <w:vAlign w:val="center"/>
          </w:tcPr>
          <w:p w14:paraId="381EF61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2018年版）》（GB50160-2008）第6.4.3条</w:t>
            </w:r>
          </w:p>
        </w:tc>
        <w:tc>
          <w:tcPr>
            <w:tcW w:w="187" w:type="pct"/>
            <w:shd w:val="clear" w:color="auto" w:fill="auto"/>
            <w:vAlign w:val="center"/>
          </w:tcPr>
          <w:p w14:paraId="68FF7AA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8570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A2F4C5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04C322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49AC0E8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2EDC531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液化烃、液氨以外的易燃易爆、有毒有害液化气体的充装未使用万向管道充装系统。</w:t>
            </w:r>
          </w:p>
        </w:tc>
        <w:tc>
          <w:tcPr>
            <w:tcW w:w="1615" w:type="pct"/>
            <w:shd w:val="clear" w:color="auto" w:fill="auto"/>
            <w:vAlign w:val="center"/>
          </w:tcPr>
          <w:p w14:paraId="3EBC738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《安全生产法》第六十二条；《化工和危险化学品生产经营单位重大生产安全事故隐患判定标准（试行）》第七条。</w:t>
            </w:r>
          </w:p>
        </w:tc>
        <w:tc>
          <w:tcPr>
            <w:tcW w:w="187" w:type="pct"/>
            <w:shd w:val="clear" w:color="auto" w:fill="auto"/>
            <w:vAlign w:val="center"/>
          </w:tcPr>
          <w:p w14:paraId="1A2162B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7AC95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0B49B2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050DF3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E6889B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CF5013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充装设备管道的静电接地、装卸软管及仪表和安全附件未配备齐全。</w:t>
            </w:r>
          </w:p>
        </w:tc>
        <w:tc>
          <w:tcPr>
            <w:tcW w:w="1615" w:type="pct"/>
            <w:shd w:val="clear" w:color="auto" w:fill="auto"/>
            <w:vAlign w:val="center"/>
          </w:tcPr>
          <w:p w14:paraId="7E167819">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《关于进一步加强危险化学品建设项目安全设计管理的通知》第二十条</w:t>
            </w:r>
          </w:p>
        </w:tc>
        <w:tc>
          <w:tcPr>
            <w:tcW w:w="187" w:type="pct"/>
            <w:shd w:val="clear" w:color="auto" w:fill="auto"/>
            <w:vAlign w:val="center"/>
          </w:tcPr>
          <w:p w14:paraId="38316E5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AD01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06B6BB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B28314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21CF73D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2057DA1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不同压力的压缩机串联运行时，未在两台空气压缩机之间设置缓冲罐，未在后置压缩机后设缓冲罐。</w:t>
            </w:r>
          </w:p>
        </w:tc>
        <w:tc>
          <w:tcPr>
            <w:tcW w:w="1615" w:type="pct"/>
            <w:shd w:val="clear" w:color="auto" w:fill="auto"/>
            <w:vAlign w:val="center"/>
          </w:tcPr>
          <w:p w14:paraId="028144D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《压缩空气站设计规范》（GB50029-2014）第3.0.9条</w:t>
            </w:r>
          </w:p>
        </w:tc>
        <w:tc>
          <w:tcPr>
            <w:tcW w:w="187" w:type="pct"/>
            <w:shd w:val="clear" w:color="auto" w:fill="auto"/>
            <w:vAlign w:val="center"/>
          </w:tcPr>
          <w:p w14:paraId="3D2ACE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D9AA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514046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25C82C8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74D354F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08292C2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活塞空气压缩机、隔膜压缩机与储气罐之间，未装设止回阀；空气压缩机与止回阀之间，未设置放空管，放空管上未设置消声器。活塞空气压缩机、隔膜压缩机与储气罐之间，装设切断阀，当需要装设切断阀时，在空气压缩机与切断阀之间未装设安全阀。</w:t>
            </w:r>
          </w:p>
        </w:tc>
        <w:tc>
          <w:tcPr>
            <w:tcW w:w="1615" w:type="pct"/>
            <w:shd w:val="clear" w:color="auto" w:fill="auto"/>
            <w:vAlign w:val="center"/>
          </w:tcPr>
          <w:p w14:paraId="766C422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《压缩空气站设计规范》（</w:t>
            </w:r>
            <w:r>
              <w:rPr>
                <w:rFonts w:ascii="仿宋_GB2312" w:hAnsi="等线" w:eastAsia="仿宋_GB2312" w:cs="宋体"/>
                <w:color w:val="000000" w:themeColor="text1"/>
                <w:kern w:val="0"/>
                <w:sz w:val="20"/>
                <w:szCs w:val="20"/>
                <w14:textFill>
                  <w14:solidFill>
                    <w14:schemeClr w14:val="tx1"/>
                  </w14:solidFill>
                </w14:textFill>
              </w:rPr>
              <w:t>GB50029-2014）第3.0.14条</w:t>
            </w:r>
          </w:p>
        </w:tc>
        <w:tc>
          <w:tcPr>
            <w:tcW w:w="187" w:type="pct"/>
            <w:shd w:val="clear" w:color="auto" w:fill="auto"/>
            <w:vAlign w:val="center"/>
          </w:tcPr>
          <w:p w14:paraId="119E3F2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237D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C898CB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50FC11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1E8884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31D837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离心空气压缩机的排气管上未装设止回阀和切断阀，空气压缩机与止回阀之间，未设置放空管，放空管上未装设防喘振调节阀和消声器。</w:t>
            </w:r>
          </w:p>
        </w:tc>
        <w:tc>
          <w:tcPr>
            <w:tcW w:w="1615" w:type="pct"/>
            <w:shd w:val="clear" w:color="auto" w:fill="auto"/>
            <w:vAlign w:val="center"/>
          </w:tcPr>
          <w:p w14:paraId="4889888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《压缩空气站设计规范》（</w:t>
            </w:r>
            <w:r>
              <w:rPr>
                <w:rFonts w:ascii="仿宋_GB2312" w:hAnsi="等线" w:eastAsia="仿宋_GB2312" w:cs="宋体"/>
                <w:color w:val="000000" w:themeColor="text1"/>
                <w:kern w:val="0"/>
                <w:sz w:val="20"/>
                <w:szCs w:val="20"/>
                <w14:textFill>
                  <w14:solidFill>
                    <w14:schemeClr w14:val="tx1"/>
                  </w14:solidFill>
                </w14:textFill>
              </w:rPr>
              <w:t>GB50029-2014）第3.0.15条</w:t>
            </w:r>
          </w:p>
        </w:tc>
        <w:tc>
          <w:tcPr>
            <w:tcW w:w="187" w:type="pct"/>
            <w:shd w:val="clear" w:color="auto" w:fill="auto"/>
            <w:vAlign w:val="center"/>
          </w:tcPr>
          <w:p w14:paraId="3F2CB1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B142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DE4B5E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9A1D58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B0EF01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1684234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对毒性气体的设施，未设置泄漏物紧急处置装置。</w:t>
            </w:r>
          </w:p>
        </w:tc>
        <w:tc>
          <w:tcPr>
            <w:tcW w:w="1615" w:type="pct"/>
            <w:shd w:val="clear" w:color="auto" w:fill="auto"/>
            <w:vAlign w:val="center"/>
          </w:tcPr>
          <w:p w14:paraId="7104696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《危险化学品重大危险源监督管理暂行规定》（国家安全监管总局令第40号） 第十三条</w:t>
            </w:r>
          </w:p>
        </w:tc>
        <w:tc>
          <w:tcPr>
            <w:tcW w:w="187" w:type="pct"/>
            <w:shd w:val="clear" w:color="auto" w:fill="auto"/>
            <w:vAlign w:val="center"/>
          </w:tcPr>
          <w:p w14:paraId="42B5C59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01F8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B74EE7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6C4D16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706642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288BA54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重大危险源中储存剧毒物质的场所或者设施，未设置视频监控系统。</w:t>
            </w:r>
          </w:p>
        </w:tc>
        <w:tc>
          <w:tcPr>
            <w:tcW w:w="1615" w:type="pct"/>
            <w:shd w:val="clear" w:color="auto" w:fill="auto"/>
            <w:vAlign w:val="center"/>
          </w:tcPr>
          <w:p w14:paraId="6F030C8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《危险化学品重大危险源监督管理暂行规定》（国家安全监管总局令第40号） 第十三条</w:t>
            </w:r>
          </w:p>
        </w:tc>
        <w:tc>
          <w:tcPr>
            <w:tcW w:w="187" w:type="pct"/>
            <w:shd w:val="clear" w:color="auto" w:fill="auto"/>
            <w:vAlign w:val="center"/>
          </w:tcPr>
          <w:p w14:paraId="472A7AA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4CCC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329330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C85E23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5CB5D7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6FB890C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架空氧气管道应在管道分叉处、与电力架空电缆的交叉处、无分叉管道每隔80～100m处以及进出装置或设施等处，未设置防雷、防静电接地措施。</w:t>
            </w:r>
          </w:p>
        </w:tc>
        <w:tc>
          <w:tcPr>
            <w:tcW w:w="1615" w:type="pct"/>
            <w:shd w:val="clear" w:color="auto" w:fill="auto"/>
            <w:vAlign w:val="center"/>
          </w:tcPr>
          <w:p w14:paraId="2281292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《深度冷冻法生产氧气及相关气体安全技术规程》(GB16912-2008)第8.1.2条</w:t>
            </w:r>
          </w:p>
        </w:tc>
        <w:tc>
          <w:tcPr>
            <w:tcW w:w="187" w:type="pct"/>
            <w:shd w:val="clear" w:color="auto" w:fill="auto"/>
            <w:vAlign w:val="center"/>
          </w:tcPr>
          <w:p w14:paraId="68EE690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F68D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0481FD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9DCD7B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5AD786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FAE0D1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氧气管道穿过生活间、办公室，不宜穿过不使用氧气的房间，若必须穿过时，则该房间内未采取防止氧气泄漏等措施。</w:t>
            </w:r>
          </w:p>
        </w:tc>
        <w:tc>
          <w:tcPr>
            <w:tcW w:w="1615" w:type="pct"/>
            <w:shd w:val="clear" w:color="auto" w:fill="auto"/>
            <w:vAlign w:val="center"/>
          </w:tcPr>
          <w:p w14:paraId="0BC4AD0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《深度冷冻法生产氧气及相关气体安全技术规程》(GB16912-2008)第8.1.4条</w:t>
            </w:r>
          </w:p>
        </w:tc>
        <w:tc>
          <w:tcPr>
            <w:tcW w:w="187" w:type="pct"/>
            <w:shd w:val="clear" w:color="auto" w:fill="auto"/>
            <w:vAlign w:val="center"/>
          </w:tcPr>
          <w:p w14:paraId="7E967B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2B8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B43C18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A41BB8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567B07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4A904CB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氧气管道可沿生产氧气或使用氧气的建筑物构件上敷设，厂房内架空氧气管道的法兰、螺纹、阀门等易泄漏处下方有建筑物。</w:t>
            </w:r>
          </w:p>
        </w:tc>
        <w:tc>
          <w:tcPr>
            <w:tcW w:w="1615" w:type="pct"/>
            <w:shd w:val="clear" w:color="auto" w:fill="auto"/>
            <w:vAlign w:val="center"/>
          </w:tcPr>
          <w:p w14:paraId="701CED7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《深度冷冻法生产氧气及相关气体安全技术规程》(GB16912-2008)第8.1.8条</w:t>
            </w:r>
          </w:p>
        </w:tc>
        <w:tc>
          <w:tcPr>
            <w:tcW w:w="187" w:type="pct"/>
            <w:shd w:val="clear" w:color="auto" w:fill="auto"/>
            <w:vAlign w:val="center"/>
          </w:tcPr>
          <w:p w14:paraId="03C9EF4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EEB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2EDCB1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668FEE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C79201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403A9B0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架空氧气管道与建、构筑物特定地点的最小间距小于标准规范的要求。</w:t>
            </w:r>
          </w:p>
        </w:tc>
        <w:tc>
          <w:tcPr>
            <w:tcW w:w="1615" w:type="pct"/>
            <w:shd w:val="clear" w:color="auto" w:fill="auto"/>
            <w:vAlign w:val="center"/>
          </w:tcPr>
          <w:p w14:paraId="1C58972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《深度冷冻法生产氧气及相关气体安全技术规程》(GB16912-2008)第8.1.9条</w:t>
            </w:r>
          </w:p>
        </w:tc>
        <w:tc>
          <w:tcPr>
            <w:tcW w:w="187" w:type="pct"/>
            <w:shd w:val="clear" w:color="auto" w:fill="auto"/>
            <w:vAlign w:val="center"/>
          </w:tcPr>
          <w:p w14:paraId="6BD4A9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F5FF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37C1D8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CA33C6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24F3C6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3994566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架空氧气管道与其他管线之间最小间距小于标准规范的要求</w:t>
            </w:r>
            <w:r>
              <w:rPr>
                <w:rFonts w:ascii="仿宋_GB2312" w:hAnsi="等线" w:eastAsia="仿宋_GB2312" w:cs="宋体"/>
                <w:color w:val="000000" w:themeColor="text1"/>
                <w:kern w:val="0"/>
                <w:sz w:val="20"/>
                <w:szCs w:val="20"/>
                <w14:textFill>
                  <w14:solidFill>
                    <w14:schemeClr w14:val="tx1"/>
                  </w14:solidFill>
                </w14:textFill>
              </w:rPr>
              <w:t>。</w:t>
            </w:r>
          </w:p>
        </w:tc>
        <w:tc>
          <w:tcPr>
            <w:tcW w:w="1615" w:type="pct"/>
            <w:shd w:val="clear" w:color="auto" w:fill="auto"/>
            <w:vAlign w:val="center"/>
          </w:tcPr>
          <w:p w14:paraId="4E7810B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《深度冷冻法生产氧气及相关气体安全技术规程》</w:t>
            </w:r>
            <w:r>
              <w:rPr>
                <w:rFonts w:ascii="仿宋_GB2312" w:hAnsi="等线" w:eastAsia="仿宋_GB2312" w:cs="宋体"/>
                <w:color w:val="000000" w:themeColor="text1"/>
                <w:kern w:val="0"/>
                <w:sz w:val="20"/>
                <w:szCs w:val="20"/>
                <w14:textFill>
                  <w14:solidFill>
                    <w14:schemeClr w14:val="tx1"/>
                  </w14:solidFill>
                </w14:textFill>
              </w:rPr>
              <w:t>(GB16912-2008)第8.1.10条</w:t>
            </w:r>
          </w:p>
        </w:tc>
        <w:tc>
          <w:tcPr>
            <w:tcW w:w="187" w:type="pct"/>
            <w:shd w:val="clear" w:color="auto" w:fill="auto"/>
            <w:vAlign w:val="center"/>
          </w:tcPr>
          <w:p w14:paraId="758D520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45F6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F0D3E8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194F7E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72FE5F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24927F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氧气管道在不通行地沟敷设时，不符合下列要求：</w:t>
            </w:r>
          </w:p>
          <w:p w14:paraId="0C08004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a)沟上应设防止可燃物料、火花侵入的盖板，地沟及盖板应是不燃烧体材料制作；地沟应能排除积水；严禁油脂及易燃物漏入地沟内；</w:t>
            </w:r>
          </w:p>
          <w:p w14:paraId="08436DF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b)地沟内氧气管道不应设阀门、泛滥、螺纹等易泄漏接口；</w:t>
            </w:r>
          </w:p>
          <w:p w14:paraId="58724EA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c)地沟内氧气管道与同沟敷设的管线间距参照表7执行；</w:t>
            </w:r>
          </w:p>
          <w:p w14:paraId="4876C12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d)地沟内氧气管道与非燃气、水管道同沟敷设时，氧气管道应在上面；</w:t>
            </w:r>
          </w:p>
          <w:p w14:paraId="3C2CCB3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e)严禁氧气管道与可燃气体管道（不含乙炔气）、油质管道、腐蚀性介质管道、电缆线同沟敷设；并严禁氧气管道地沟与该类管线地沟相通。</w:t>
            </w:r>
          </w:p>
        </w:tc>
        <w:tc>
          <w:tcPr>
            <w:tcW w:w="1615" w:type="pct"/>
            <w:shd w:val="clear" w:color="auto" w:fill="auto"/>
            <w:vAlign w:val="center"/>
          </w:tcPr>
          <w:p w14:paraId="24AE1B6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《深度冷冻法生产氧气及相关气体安全技术规程》</w:t>
            </w:r>
            <w:r>
              <w:rPr>
                <w:rFonts w:ascii="仿宋_GB2312" w:hAnsi="等线" w:eastAsia="仿宋_GB2312" w:cs="宋体"/>
                <w:color w:val="000000" w:themeColor="text1"/>
                <w:kern w:val="0"/>
                <w:sz w:val="20"/>
                <w:szCs w:val="20"/>
                <w14:textFill>
                  <w14:solidFill>
                    <w14:schemeClr w14:val="tx1"/>
                  </w14:solidFill>
                </w14:textFill>
              </w:rPr>
              <w:t>(GB16912-2008)第8.1.12条</w:t>
            </w:r>
          </w:p>
        </w:tc>
        <w:tc>
          <w:tcPr>
            <w:tcW w:w="187" w:type="pct"/>
            <w:shd w:val="clear" w:color="auto" w:fill="auto"/>
            <w:vAlign w:val="center"/>
          </w:tcPr>
          <w:p w14:paraId="44F97A7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D04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748B91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7FB72A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9DB3E0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28520F1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车间内氧气管道的敷设不符合下列规定：</w:t>
            </w:r>
          </w:p>
          <w:p w14:paraId="1F6201E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1氧气管道不得穿过生活间、办公室；</w:t>
            </w:r>
          </w:p>
          <w:p w14:paraId="1F5EAB2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2车间内氧气管道宜沿墙、柱或专设的支架架空敷设，其高度应不妨碍交通和便于检修；</w:t>
            </w:r>
          </w:p>
          <w:p w14:paraId="2CE4DEC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3氧气管道与其他管线共架敷设时，应符合本规范第11.0.2条第5款的规定；</w:t>
            </w:r>
          </w:p>
          <w:p w14:paraId="3A762B3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4当不能架空敷设时，可采用不通行地沟敷设，但应符合本规范第11.0.3条第2款-第4款和第8款的规定；</w:t>
            </w:r>
          </w:p>
          <w:p w14:paraId="1384CB1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5进入用户车间的氧气主管应在车间入口处装设切断阀、压力表，并宜在适当位置设放散管；</w:t>
            </w:r>
          </w:p>
          <w:p w14:paraId="3FD1092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6氧气管道的放散管应引至室外，并应高出附近操作面4m以上的无明火场所；</w:t>
            </w:r>
          </w:p>
          <w:p w14:paraId="18C0731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7氧气管道不得穿过高温作业及火焰区域。当必须穿过时，应在该管段增设隔热措施，其管壁温度不应超过70℃；</w:t>
            </w:r>
          </w:p>
          <w:p w14:paraId="696EC9F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8穿过墙壁、楼板的氧气管道应敷设在套管内；套管内不得有焊缝，管子与套管间的间隙应采用不燃烧的软质材料填实；</w:t>
            </w:r>
          </w:p>
          <w:p w14:paraId="7336515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9氧气管道不应穿过不使用氧气的房间。当必须通过不使用氧气的房间时，其在房间内的管段上不得设有阀门、法兰和螺纹连接，并应采取防止氧气泄漏的措施；</w:t>
            </w:r>
          </w:p>
          <w:p w14:paraId="7258FD0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10供切割、焊接用氧的管道与切割、焊接工具或设备用软管连接时，供氧嘴头及切断阀应设置在用不燃烧材料制作的保护箱内。</w:t>
            </w:r>
          </w:p>
        </w:tc>
        <w:tc>
          <w:tcPr>
            <w:tcW w:w="1615" w:type="pct"/>
            <w:shd w:val="clear" w:color="auto" w:fill="auto"/>
            <w:vAlign w:val="center"/>
          </w:tcPr>
          <w:p w14:paraId="2C9D456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《氧气站设计规范》（</w:t>
            </w:r>
            <w:r>
              <w:rPr>
                <w:rFonts w:ascii="仿宋_GB2312" w:hAnsi="等线" w:eastAsia="仿宋_GB2312" w:cs="宋体"/>
                <w:color w:val="000000" w:themeColor="text1"/>
                <w:kern w:val="0"/>
                <w:sz w:val="20"/>
                <w:szCs w:val="20"/>
                <w14:textFill>
                  <w14:solidFill>
                    <w14:schemeClr w14:val="tx1"/>
                  </w14:solidFill>
                </w14:textFill>
              </w:rPr>
              <w:t>GB50030-2013）第11.0.4条</w:t>
            </w:r>
          </w:p>
        </w:tc>
        <w:tc>
          <w:tcPr>
            <w:tcW w:w="187" w:type="pct"/>
            <w:shd w:val="clear" w:color="auto" w:fill="auto"/>
            <w:vAlign w:val="center"/>
          </w:tcPr>
          <w:p w14:paraId="14825FB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87E2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498DF2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474997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C7D0E7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71CC85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未依据国家公布的设备性能标准淘汰落后的电气设备。</w:t>
            </w:r>
          </w:p>
        </w:tc>
        <w:tc>
          <w:tcPr>
            <w:tcW w:w="1615" w:type="pct"/>
            <w:shd w:val="clear" w:color="auto" w:fill="auto"/>
            <w:vAlign w:val="center"/>
          </w:tcPr>
          <w:p w14:paraId="3B75D86C">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《安全生产等级评定技术规范</w:t>
            </w:r>
            <w:r>
              <w:rPr>
                <w:rFonts w:ascii="仿宋_GB2312" w:hAnsi="等线" w:eastAsia="仿宋_GB2312" w:cs="宋体"/>
                <w:color w:val="000000" w:themeColor="text1"/>
                <w:kern w:val="0"/>
                <w:sz w:val="20"/>
                <w:szCs w:val="20"/>
                <w14:textFill>
                  <w14:solidFill>
                    <w14:schemeClr w14:val="tx1"/>
                  </w14:solidFill>
                </w14:textFill>
              </w:rPr>
              <w:t xml:space="preserve"> 第2部分》（DB11/T 1322.2-2017）</w:t>
            </w:r>
          </w:p>
        </w:tc>
        <w:tc>
          <w:tcPr>
            <w:tcW w:w="187" w:type="pct"/>
            <w:shd w:val="clear" w:color="auto" w:fill="auto"/>
            <w:vAlign w:val="center"/>
          </w:tcPr>
          <w:p w14:paraId="5433E99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249A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C1A2EA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38600E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6C4C3C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642B300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企业的供电电源未满足不同负荷等级的供电要求：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1.一级负荷应由双重电源供电，当一电源发生故障时，另一电源不应同时受到损坏； </w:t>
            </w:r>
          </w:p>
          <w:p w14:paraId="227F9AE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2.一级负荷中特别重要的负荷供电，尚应增设应急电源，并严禁将其他负荷接入应急供电系统；设备的供电电源的切换时间，应满足设备允许中断供电的要求；</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3.二级负荷的供电系统，宜由两回线路供电。在负荷较小或地区供电条件困难时，二级负荷可由一回6kV 及以上专用的架空线路供电。</w:t>
            </w:r>
          </w:p>
        </w:tc>
        <w:tc>
          <w:tcPr>
            <w:tcW w:w="1615" w:type="pct"/>
            <w:shd w:val="clear" w:color="auto" w:fill="auto"/>
            <w:vAlign w:val="center"/>
          </w:tcPr>
          <w:p w14:paraId="7A6B8CD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《供配电系统设计规范》（GB50052-2009） 第3.0.2条、第3.0.3条、第3.0.7条</w:t>
            </w:r>
          </w:p>
        </w:tc>
        <w:tc>
          <w:tcPr>
            <w:tcW w:w="187" w:type="pct"/>
            <w:shd w:val="clear" w:color="auto" w:fill="auto"/>
            <w:vAlign w:val="center"/>
          </w:tcPr>
          <w:p w14:paraId="35A934D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A6A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BB60EB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7AC57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8AFF9C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0CB4648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爆炸危险区域内的电气设备未符合GB 50058要求。</w:t>
            </w:r>
          </w:p>
        </w:tc>
        <w:tc>
          <w:tcPr>
            <w:tcW w:w="1615" w:type="pct"/>
            <w:shd w:val="clear" w:color="auto" w:fill="auto"/>
            <w:vAlign w:val="center"/>
          </w:tcPr>
          <w:p w14:paraId="115E9E3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表7（二）2</w:t>
            </w:r>
          </w:p>
        </w:tc>
        <w:tc>
          <w:tcPr>
            <w:tcW w:w="187" w:type="pct"/>
            <w:shd w:val="clear" w:color="auto" w:fill="auto"/>
            <w:vAlign w:val="center"/>
          </w:tcPr>
          <w:p w14:paraId="25118C4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DFF2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32F5C7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E3E23D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1E5254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09C4200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电气设备的安全性能,未满足以下要求：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1.设备的金属外壳应采取防漏电保护接地；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2.接地线不得搭接或串接，接线规范、接触可靠；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3.明设的应沿管道或设备外壳敷设，暗设的在接线处外部应有接地标志；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4.接地线接线间不得涂漆或加绝缘垫。</w:t>
            </w:r>
          </w:p>
        </w:tc>
        <w:tc>
          <w:tcPr>
            <w:tcW w:w="1615" w:type="pct"/>
            <w:shd w:val="clear" w:color="auto" w:fill="auto"/>
            <w:vAlign w:val="center"/>
          </w:tcPr>
          <w:p w14:paraId="1ED3DB3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表7（二）3</w:t>
            </w:r>
          </w:p>
        </w:tc>
        <w:tc>
          <w:tcPr>
            <w:tcW w:w="187" w:type="pct"/>
            <w:shd w:val="clear" w:color="auto" w:fill="auto"/>
            <w:vAlign w:val="center"/>
          </w:tcPr>
          <w:p w14:paraId="145E0CC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1D1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BDEDDF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8E6097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AA70DD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653D79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电缆没有阻燃措施；电缆桥架未符合相关设计规范。</w:t>
            </w:r>
          </w:p>
        </w:tc>
        <w:tc>
          <w:tcPr>
            <w:tcW w:w="1615" w:type="pct"/>
            <w:shd w:val="clear" w:color="auto" w:fill="auto"/>
            <w:vAlign w:val="center"/>
          </w:tcPr>
          <w:p w14:paraId="738352F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表7（二）4</w:t>
            </w:r>
          </w:p>
        </w:tc>
        <w:tc>
          <w:tcPr>
            <w:tcW w:w="187" w:type="pct"/>
            <w:shd w:val="clear" w:color="auto" w:fill="auto"/>
            <w:vAlign w:val="center"/>
          </w:tcPr>
          <w:p w14:paraId="3C86537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B3C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047E07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DC8738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8E8D17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6E4B497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可燃气体、液化烃、可燃液体的钢罐，工艺装置内露天布置的塔、容器等未按规范要求设设避雷针、线，防雷接地等防雷设施。</w:t>
            </w:r>
          </w:p>
        </w:tc>
        <w:tc>
          <w:tcPr>
            <w:tcW w:w="1615" w:type="pct"/>
            <w:shd w:val="clear" w:color="auto" w:fill="auto"/>
            <w:vAlign w:val="center"/>
          </w:tcPr>
          <w:p w14:paraId="47D6775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第9.2.2条</w:t>
            </w:r>
          </w:p>
        </w:tc>
        <w:tc>
          <w:tcPr>
            <w:tcW w:w="187" w:type="pct"/>
            <w:shd w:val="clear" w:color="auto" w:fill="auto"/>
            <w:vAlign w:val="center"/>
          </w:tcPr>
          <w:p w14:paraId="449B634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1EE5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C72252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E2E45D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5A330D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9A11F8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在生产加工、储运过程中，设备、管道、操作工具等，有可能产生和积聚静电而造成静电危害时，未采取静电接地措施。</w:t>
            </w:r>
          </w:p>
        </w:tc>
        <w:tc>
          <w:tcPr>
            <w:tcW w:w="1615" w:type="pct"/>
            <w:shd w:val="clear" w:color="auto" w:fill="auto"/>
            <w:vAlign w:val="center"/>
          </w:tcPr>
          <w:p w14:paraId="457DDA2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《石油化工静电接地设计规范》（SH/T3097-2017） 第4.1.1条</w:t>
            </w:r>
          </w:p>
        </w:tc>
        <w:tc>
          <w:tcPr>
            <w:tcW w:w="187" w:type="pct"/>
            <w:shd w:val="clear" w:color="auto" w:fill="auto"/>
            <w:vAlign w:val="center"/>
          </w:tcPr>
          <w:p w14:paraId="3A4C1F2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DA17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BCA2CB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C4813F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CAF4F0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0614FC4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储罐罐顶平台上取样口（量油口），危险化学品储存场所等重点防火、防爆作业区的入口处，未设计人体导除静电装置。</w:t>
            </w:r>
          </w:p>
        </w:tc>
        <w:tc>
          <w:tcPr>
            <w:tcW w:w="1615" w:type="pct"/>
            <w:shd w:val="clear" w:color="auto" w:fill="auto"/>
            <w:vAlign w:val="center"/>
          </w:tcPr>
          <w:p w14:paraId="588CDB6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《化工企业安全卫生设计规范》（HG20571-2014） 第4.2.10条</w:t>
            </w:r>
          </w:p>
        </w:tc>
        <w:tc>
          <w:tcPr>
            <w:tcW w:w="187" w:type="pct"/>
            <w:shd w:val="clear" w:color="auto" w:fill="auto"/>
            <w:vAlign w:val="center"/>
          </w:tcPr>
          <w:p w14:paraId="197D0CB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9E58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5379D4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1B59DF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9C0D6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0D6C1FE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电缆没有阻燃措施。电缆沟没有防窜油汽、防腐蚀、防水措施；电缆隧道没有防火、防沉陷措施。</w:t>
            </w:r>
          </w:p>
        </w:tc>
        <w:tc>
          <w:tcPr>
            <w:tcW w:w="1615" w:type="pct"/>
            <w:shd w:val="clear" w:color="auto" w:fill="auto"/>
            <w:vAlign w:val="center"/>
          </w:tcPr>
          <w:p w14:paraId="6A23864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表7（四）1</w:t>
            </w:r>
          </w:p>
        </w:tc>
        <w:tc>
          <w:tcPr>
            <w:tcW w:w="187" w:type="pct"/>
            <w:shd w:val="clear" w:color="auto" w:fill="auto"/>
            <w:vAlign w:val="center"/>
          </w:tcPr>
          <w:p w14:paraId="57A7269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C252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6E0546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DB7A70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203BA9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4281E0C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临时电源、手持式电动工具、施工电源、插座回路均未采用TN-S供电方式，且未采用剩余电流动作保护装置。</w:t>
            </w:r>
          </w:p>
        </w:tc>
        <w:tc>
          <w:tcPr>
            <w:tcW w:w="1615" w:type="pct"/>
            <w:shd w:val="clear" w:color="auto" w:fill="auto"/>
            <w:vAlign w:val="center"/>
          </w:tcPr>
          <w:p w14:paraId="0BF0F395">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表7（四）2</w:t>
            </w:r>
          </w:p>
        </w:tc>
        <w:tc>
          <w:tcPr>
            <w:tcW w:w="187" w:type="pct"/>
            <w:shd w:val="clear" w:color="auto" w:fill="auto"/>
            <w:vAlign w:val="center"/>
          </w:tcPr>
          <w:p w14:paraId="39E3C09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DCB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4ECB2F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1D0F48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E5F92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7490A8E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临时用电线路，未采用绝缘良好、完整无损的橡皮线，室内沿墙敷设，其高度低于2.5米，室外跨路时，其高度低于4.5米，且沿暖气、水管及其他气体管道敷设，沿地面敷设时，未加可靠的保护装置和醒目的警示标志。</w:t>
            </w:r>
          </w:p>
        </w:tc>
        <w:tc>
          <w:tcPr>
            <w:tcW w:w="1615" w:type="pct"/>
            <w:shd w:val="clear" w:color="auto" w:fill="auto"/>
            <w:vAlign w:val="center"/>
          </w:tcPr>
          <w:p w14:paraId="0B64DEE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表7（四）3</w:t>
            </w:r>
          </w:p>
        </w:tc>
        <w:tc>
          <w:tcPr>
            <w:tcW w:w="187" w:type="pct"/>
            <w:shd w:val="clear" w:color="auto" w:fill="auto"/>
            <w:vAlign w:val="center"/>
          </w:tcPr>
          <w:p w14:paraId="2F58AEA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EB7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CD4728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757FC7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F265F1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403F3DA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沿墙面或地面敷设电缆线路未符合下列规定：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1.电缆线路敷设路径应有醒目的警告标识；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2.沿地面明敷的电缆线路应沿建筑物墙体根部敷设，穿越道路或其他易受机械损伤的区域，应采取防机械损伤的措施，周围环境应保持干燥；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3.在电缆敷设路径附近，当有产生明火的作业时，应采取防止火花损伤电缆的措施。</w:t>
            </w:r>
          </w:p>
        </w:tc>
        <w:tc>
          <w:tcPr>
            <w:tcW w:w="1615" w:type="pct"/>
            <w:shd w:val="clear" w:color="auto" w:fill="auto"/>
            <w:vAlign w:val="center"/>
          </w:tcPr>
          <w:p w14:paraId="377C79F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《建设工程施工现场供用电安全规范》（GB50194-2014） 第7.4.2条</w:t>
            </w:r>
          </w:p>
        </w:tc>
        <w:tc>
          <w:tcPr>
            <w:tcW w:w="187" w:type="pct"/>
            <w:shd w:val="clear" w:color="auto" w:fill="auto"/>
            <w:vAlign w:val="center"/>
          </w:tcPr>
          <w:p w14:paraId="45ADDC3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734E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EC1944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9719EA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933C1B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00A807F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仪表气源未采用清洁、干燥的空气。当采用氮气作为备用气源时，封闭厂房未设置低氧检测报警等安全设施。</w:t>
            </w:r>
          </w:p>
        </w:tc>
        <w:tc>
          <w:tcPr>
            <w:tcW w:w="1615" w:type="pct"/>
            <w:shd w:val="clear" w:color="auto" w:fill="auto"/>
            <w:vAlign w:val="center"/>
          </w:tcPr>
          <w:p w14:paraId="24F8FD7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《石油化工仪表供气设计规范》（SH 3020-2013）第4.1.1条</w:t>
            </w:r>
          </w:p>
        </w:tc>
        <w:tc>
          <w:tcPr>
            <w:tcW w:w="187" w:type="pct"/>
            <w:shd w:val="clear" w:color="auto" w:fill="auto"/>
            <w:vAlign w:val="center"/>
          </w:tcPr>
          <w:p w14:paraId="2CE4C75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3387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86497C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FE36CF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3506DE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763A53B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仪表气源装置未设置备用气源。</w:t>
            </w:r>
          </w:p>
        </w:tc>
        <w:tc>
          <w:tcPr>
            <w:tcW w:w="1615" w:type="pct"/>
            <w:shd w:val="clear" w:color="auto" w:fill="auto"/>
            <w:vAlign w:val="center"/>
          </w:tcPr>
          <w:p w14:paraId="4AE2B5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《石油化工仪表供气设计规范》（SH 3020-2013）第4.4.1条</w:t>
            </w:r>
          </w:p>
        </w:tc>
        <w:tc>
          <w:tcPr>
            <w:tcW w:w="187" w:type="pct"/>
            <w:shd w:val="clear" w:color="auto" w:fill="auto"/>
            <w:vAlign w:val="center"/>
          </w:tcPr>
          <w:p w14:paraId="354CA8A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7725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9CCE3F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575634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A415E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C14B6E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仪表电源负荷属于一级负荷中特别重要的负荷时，未采用UPS；三级负荷以外的仪表电源采用了普通电源。</w:t>
            </w:r>
          </w:p>
        </w:tc>
        <w:tc>
          <w:tcPr>
            <w:tcW w:w="1615" w:type="pct"/>
            <w:shd w:val="clear" w:color="auto" w:fill="auto"/>
            <w:vAlign w:val="center"/>
          </w:tcPr>
          <w:p w14:paraId="061410B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《仪表供电设计规范》（HG/T 20509-2014）第3.2.3条</w:t>
            </w:r>
          </w:p>
        </w:tc>
        <w:tc>
          <w:tcPr>
            <w:tcW w:w="187" w:type="pct"/>
            <w:shd w:val="clear" w:color="auto" w:fill="auto"/>
            <w:vAlign w:val="center"/>
          </w:tcPr>
          <w:p w14:paraId="3A3AACA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B17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32E395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473066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2E69D0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18C20E0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重要仪表电源未采用不间断电源，后备电池的供电时间小于30min。</w:t>
            </w:r>
          </w:p>
        </w:tc>
        <w:tc>
          <w:tcPr>
            <w:tcW w:w="1615" w:type="pct"/>
            <w:shd w:val="clear" w:color="auto" w:fill="auto"/>
            <w:vAlign w:val="center"/>
          </w:tcPr>
          <w:p w14:paraId="3098D12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《仪表供电设计规范》（HG/T 20509-2014）第5.3.1条</w:t>
            </w:r>
          </w:p>
        </w:tc>
        <w:tc>
          <w:tcPr>
            <w:tcW w:w="187" w:type="pct"/>
            <w:shd w:val="clear" w:color="auto" w:fill="auto"/>
            <w:vAlign w:val="center"/>
          </w:tcPr>
          <w:p w14:paraId="69AB125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671B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E213DF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CF595F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91E9B7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48714B5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安装DCS、PLC、SIS等设备的控制室、机柜室、过程控制计算机的机房，其室内的导静电地面、活动地板、工作台等未进行防静电接地。</w:t>
            </w:r>
          </w:p>
        </w:tc>
        <w:tc>
          <w:tcPr>
            <w:tcW w:w="1615" w:type="pct"/>
            <w:shd w:val="clear" w:color="auto" w:fill="auto"/>
            <w:vAlign w:val="center"/>
          </w:tcPr>
          <w:p w14:paraId="60EA13C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《仪表系统接地设计规范》（HG/T 20513-2014）第5.3.1条</w:t>
            </w:r>
          </w:p>
        </w:tc>
        <w:tc>
          <w:tcPr>
            <w:tcW w:w="187" w:type="pct"/>
            <w:shd w:val="clear" w:color="auto" w:fill="auto"/>
            <w:vAlign w:val="center"/>
          </w:tcPr>
          <w:p w14:paraId="284811D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E807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50D68D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36C0D1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5A27EEC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CA7ECA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保护管与检测元件或现场仪表之间未采取相应的防水措施。防爆场合，未采取相应防爆级别的密封措施。</w:t>
            </w:r>
          </w:p>
        </w:tc>
        <w:tc>
          <w:tcPr>
            <w:tcW w:w="1615" w:type="pct"/>
            <w:shd w:val="clear" w:color="auto" w:fill="auto"/>
            <w:vAlign w:val="center"/>
          </w:tcPr>
          <w:p w14:paraId="49CE88D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《自动化仪表工程施工及质量验收规范》（GB 50093-2013）第7.4.8条</w:t>
            </w:r>
          </w:p>
          <w:p w14:paraId="1B1E45A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表6（三）5</w:t>
            </w:r>
          </w:p>
        </w:tc>
        <w:tc>
          <w:tcPr>
            <w:tcW w:w="187" w:type="pct"/>
            <w:shd w:val="clear" w:color="auto" w:fill="auto"/>
            <w:vAlign w:val="center"/>
          </w:tcPr>
          <w:p w14:paraId="64FD490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FB22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475325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B4EB44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41BB24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辅助系统设备设施类</w:t>
            </w:r>
          </w:p>
        </w:tc>
        <w:tc>
          <w:tcPr>
            <w:tcW w:w="1859" w:type="pct"/>
            <w:shd w:val="clear" w:color="auto" w:fill="auto"/>
            <w:vAlign w:val="center"/>
          </w:tcPr>
          <w:p w14:paraId="5CA6362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保护管与检测元件或现场仪表之间，采用挠性管连接时，保护管口低于仪表进线口约250mm，保护管从上向下敷设至仪表时，在管末端未加排水三通。当保护管与仪表之间不采用挠性管连接时，管末端未带护线帽（护口）或加工成喇叭口。</w:t>
            </w:r>
          </w:p>
        </w:tc>
        <w:tc>
          <w:tcPr>
            <w:tcW w:w="1615" w:type="pct"/>
            <w:shd w:val="clear" w:color="auto" w:fill="auto"/>
            <w:vAlign w:val="center"/>
          </w:tcPr>
          <w:p w14:paraId="79B9871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《石油化工仪表管道线路设计规范》（SH/T 3019- 2016）第7.3.6条</w:t>
            </w:r>
          </w:p>
        </w:tc>
        <w:tc>
          <w:tcPr>
            <w:tcW w:w="187" w:type="pct"/>
            <w:shd w:val="clear" w:color="auto" w:fill="auto"/>
            <w:vAlign w:val="center"/>
          </w:tcPr>
          <w:p w14:paraId="366137E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E84A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FC8358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B3C3B1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1A0C399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07960B0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安全阀、爆破片等安全附件未正常投用。</w:t>
            </w:r>
          </w:p>
        </w:tc>
        <w:tc>
          <w:tcPr>
            <w:tcW w:w="1615" w:type="pct"/>
            <w:shd w:val="clear" w:color="auto" w:fill="auto"/>
            <w:vAlign w:val="center"/>
          </w:tcPr>
          <w:p w14:paraId="024637A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第十五条</w:t>
            </w:r>
          </w:p>
        </w:tc>
        <w:tc>
          <w:tcPr>
            <w:tcW w:w="187" w:type="pct"/>
            <w:shd w:val="clear" w:color="auto" w:fill="auto"/>
            <w:vAlign w:val="center"/>
          </w:tcPr>
          <w:p w14:paraId="07DD75E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4158A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2C7580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EC0E09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2C7A7A7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1610FDA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压力表的选型未符合相关要求，压力范围及检定标记不明显。</w:t>
            </w:r>
          </w:p>
        </w:tc>
        <w:tc>
          <w:tcPr>
            <w:tcW w:w="1615" w:type="pct"/>
            <w:shd w:val="clear" w:color="auto" w:fill="auto"/>
            <w:vAlign w:val="center"/>
          </w:tcPr>
          <w:p w14:paraId="2778131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表5（五）5</w:t>
            </w:r>
          </w:p>
        </w:tc>
        <w:tc>
          <w:tcPr>
            <w:tcW w:w="187" w:type="pct"/>
            <w:shd w:val="clear" w:color="auto" w:fill="auto"/>
            <w:vAlign w:val="center"/>
          </w:tcPr>
          <w:p w14:paraId="3501776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579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CE288D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3AC88D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926E57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4CB13BB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涉及可燃和有毒有害气体泄漏的场所未按国家标准设置检测报警装置，爆炸危险场所未按国家标准安装使用防爆电气设备。</w:t>
            </w:r>
          </w:p>
        </w:tc>
        <w:tc>
          <w:tcPr>
            <w:tcW w:w="1615" w:type="pct"/>
            <w:shd w:val="clear" w:color="auto" w:fill="auto"/>
            <w:vAlign w:val="center"/>
          </w:tcPr>
          <w:p w14:paraId="5916B8A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第十二条</w:t>
            </w:r>
          </w:p>
        </w:tc>
        <w:tc>
          <w:tcPr>
            <w:tcW w:w="187" w:type="pct"/>
            <w:shd w:val="clear" w:color="auto" w:fill="auto"/>
            <w:vAlign w:val="center"/>
          </w:tcPr>
          <w:p w14:paraId="2B15DA0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5D72D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73FD57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C89B79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EC799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3759509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可燃和有毒气体泄漏等报警系统未投用或处于非正常状态，长时间报警未处置。</w:t>
            </w:r>
          </w:p>
        </w:tc>
        <w:tc>
          <w:tcPr>
            <w:tcW w:w="1615" w:type="pct"/>
            <w:shd w:val="clear" w:color="auto" w:fill="auto"/>
            <w:vAlign w:val="center"/>
          </w:tcPr>
          <w:p w14:paraId="080AA54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《北京市危险化学品企业装置设备带“病”运行安全专项整治工作实施方案》</w:t>
            </w:r>
          </w:p>
        </w:tc>
        <w:tc>
          <w:tcPr>
            <w:tcW w:w="187" w:type="pct"/>
            <w:shd w:val="clear" w:color="auto" w:fill="auto"/>
            <w:vAlign w:val="center"/>
          </w:tcPr>
          <w:p w14:paraId="23934E3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6972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EA3C7A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DF7652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4D772D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5FDF2D9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危险化学品重大危险源罐区安全监控装备未符合要求：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1.摄像头的设置个数和位置，未根据罐区现场的实际情况实现全面覆盖；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2.摄像头的安装高度未确保可以有效监控到储罐顶；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3.有防爆要求的未使用防爆摄像机或采取防爆措施。</w:t>
            </w:r>
          </w:p>
        </w:tc>
        <w:tc>
          <w:tcPr>
            <w:tcW w:w="1615" w:type="pct"/>
            <w:shd w:val="clear" w:color="auto" w:fill="auto"/>
            <w:vAlign w:val="center"/>
          </w:tcPr>
          <w:p w14:paraId="2930EC3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表6（三）7</w:t>
            </w:r>
          </w:p>
        </w:tc>
        <w:tc>
          <w:tcPr>
            <w:tcW w:w="187" w:type="pct"/>
            <w:shd w:val="clear" w:color="auto" w:fill="auto"/>
            <w:vAlign w:val="center"/>
          </w:tcPr>
          <w:p w14:paraId="7D2A042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C18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882192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6B2D3D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430D968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19B5927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罐区储罐高高、低低液位报警信号的液位测量仪表未采用单独的液位连续测量仪表或液位开关，报警信号未传送至自动控制系统。</w:t>
            </w:r>
          </w:p>
        </w:tc>
        <w:tc>
          <w:tcPr>
            <w:tcW w:w="1615" w:type="pct"/>
            <w:shd w:val="clear" w:color="auto" w:fill="auto"/>
            <w:vAlign w:val="center"/>
          </w:tcPr>
          <w:p w14:paraId="2C86F7E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《石油化工储运系统罐区设计规范》（SH/T3007-2014） 第5.4.5条</w:t>
            </w:r>
          </w:p>
        </w:tc>
        <w:tc>
          <w:tcPr>
            <w:tcW w:w="187" w:type="pct"/>
            <w:shd w:val="clear" w:color="auto" w:fill="auto"/>
            <w:vAlign w:val="center"/>
          </w:tcPr>
          <w:p w14:paraId="17E07D7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145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72927B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CD11B6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30D804D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487275C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可燃气体和有毒气体检测报警器的设置与报警值的设置未满足GB 50493要求。</w:t>
            </w:r>
          </w:p>
          <w:p w14:paraId="7194D1A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报警值设定未符合下列规定：</w:t>
            </w:r>
          </w:p>
          <w:p w14:paraId="0C8D6CB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1 可燃气体的一级报警设定值应小于或等于25%LEL。</w:t>
            </w:r>
          </w:p>
          <w:p w14:paraId="2E079C1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2 可燃气体的二级报警设定值应小于或等于50%LEL。</w:t>
            </w:r>
          </w:p>
          <w:p w14:paraId="4233279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3 有毒气体的一级报警设定值应小于或等于100%OEL，有毒气体的二级报警设定值应小于或等于200% OEL。当现有探测器的测量范围不能满足测量要求时，有毒气体的一级报警设定值不得超过5%IDLH，有毒气体的二级报警设定值不得超过10%IDLH。</w:t>
            </w:r>
          </w:p>
          <w:p w14:paraId="328657D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4 环境氧气的过氧报警设定值宜为23.5%VOL，环境欠氧报警设定值宜为19.5%VOL。</w:t>
            </w:r>
          </w:p>
          <w:p w14:paraId="2DBB42D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5 线性可燃气体测量一级报警设定值应为1LEL•m；二级报警设定值应为2LEL•m。</w:t>
            </w:r>
          </w:p>
        </w:tc>
        <w:tc>
          <w:tcPr>
            <w:tcW w:w="1615" w:type="pct"/>
            <w:shd w:val="clear" w:color="auto" w:fill="auto"/>
            <w:vAlign w:val="center"/>
          </w:tcPr>
          <w:p w14:paraId="5E0B07F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表6（四）1</w:t>
            </w:r>
          </w:p>
          <w:p w14:paraId="4E989A2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《石油化工可燃气体和有毒气体检测报警设计标准》（</w:t>
            </w:r>
            <w:r>
              <w:rPr>
                <w:rFonts w:ascii="仿宋_GB2312" w:hAnsi="等线" w:eastAsia="仿宋_GB2312" w:cs="宋体"/>
                <w:color w:val="000000" w:themeColor="text1"/>
                <w:kern w:val="0"/>
                <w:sz w:val="20"/>
                <w:szCs w:val="20"/>
                <w14:textFill>
                  <w14:solidFill>
                    <w14:schemeClr w14:val="tx1"/>
                  </w14:solidFill>
                </w14:textFill>
              </w:rPr>
              <w:t>GB/T 50493-2019）第5.5.2条</w:t>
            </w:r>
          </w:p>
        </w:tc>
        <w:tc>
          <w:tcPr>
            <w:tcW w:w="187" w:type="pct"/>
            <w:shd w:val="clear" w:color="auto" w:fill="auto"/>
            <w:vAlign w:val="center"/>
          </w:tcPr>
          <w:p w14:paraId="1288A48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311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8775E4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85DEC6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F574AA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2A0814E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有毒气体检测报警信号未发送至有操作人员常驻的控制室、现场操作室进行报警可燃、有毒气体检测报警信号没有报警与处警记录，未对报警原因进行分析。可燃气体二级报警信号、可燃气体和有毒气体检测报警系统报警控制单元的故障信号未送至消防控制室，长时间报警</w:t>
            </w:r>
            <w:r>
              <w:rPr>
                <w:rFonts w:ascii="仿宋_GB2312" w:hAnsi="等线" w:eastAsia="仿宋_GB2312" w:cs="宋体"/>
                <w:color w:val="000000" w:themeColor="text1"/>
                <w:kern w:val="0"/>
                <w:sz w:val="20"/>
                <w:szCs w:val="20"/>
                <w14:textFill>
                  <w14:solidFill>
                    <w14:schemeClr w14:val="tx1"/>
                  </w14:solidFill>
                </w14:textFill>
              </w:rPr>
              <w:t>未处置</w:t>
            </w:r>
            <w:r>
              <w:rPr>
                <w:rFonts w:hint="eastAsia" w:ascii="仿宋_GB2312" w:hAnsi="等线" w:eastAsia="仿宋_GB2312" w:cs="宋体"/>
                <w:color w:val="000000" w:themeColor="text1"/>
                <w:kern w:val="0"/>
                <w:sz w:val="20"/>
                <w:szCs w:val="20"/>
                <w14:textFill>
                  <w14:solidFill>
                    <w14:schemeClr w14:val="tx1"/>
                  </w14:solidFill>
                </w14:textFill>
              </w:rPr>
              <w:t>。</w:t>
            </w:r>
          </w:p>
        </w:tc>
        <w:tc>
          <w:tcPr>
            <w:tcW w:w="1615" w:type="pct"/>
            <w:shd w:val="clear" w:color="auto" w:fill="auto"/>
            <w:vAlign w:val="center"/>
          </w:tcPr>
          <w:p w14:paraId="46DBCC4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表6（四）4</w:t>
            </w:r>
          </w:p>
        </w:tc>
        <w:tc>
          <w:tcPr>
            <w:tcW w:w="187" w:type="pct"/>
            <w:shd w:val="clear" w:color="auto" w:fill="auto"/>
            <w:vAlign w:val="center"/>
          </w:tcPr>
          <w:p w14:paraId="65406E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D95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77EF5A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FD983A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718794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229B775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可燃、有毒气体检测报警器未正常运转，未进行经常性维护、保养，未定期检测或校准。</w:t>
            </w:r>
          </w:p>
        </w:tc>
        <w:tc>
          <w:tcPr>
            <w:tcW w:w="1615" w:type="pct"/>
            <w:shd w:val="clear" w:color="auto" w:fill="auto"/>
            <w:vAlign w:val="center"/>
          </w:tcPr>
          <w:p w14:paraId="1095F04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 第三十六条</w:t>
            </w:r>
          </w:p>
        </w:tc>
        <w:tc>
          <w:tcPr>
            <w:tcW w:w="187" w:type="pct"/>
            <w:shd w:val="clear" w:color="auto" w:fill="auto"/>
            <w:vAlign w:val="center"/>
          </w:tcPr>
          <w:p w14:paraId="2BD04E6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142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90174F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B7D5AD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78F085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6B54A1D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下列可燃气体和（或）有毒气体释放源周围未布置检测点：</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1.气体压缩机和液体泵的动密封；</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2.液体采样口和气体采样口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3.液体（气体）排液（水）口和放空口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4.经常拆卸的法兰和经常操作的阀门组。</w:t>
            </w:r>
          </w:p>
        </w:tc>
        <w:tc>
          <w:tcPr>
            <w:tcW w:w="1615" w:type="pct"/>
            <w:shd w:val="clear" w:color="auto" w:fill="auto"/>
            <w:vAlign w:val="center"/>
          </w:tcPr>
          <w:p w14:paraId="35269EE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《石油化工可燃气体和有毒气体检测报警设计标准》（</w:t>
            </w:r>
            <w:r>
              <w:rPr>
                <w:rFonts w:ascii="仿宋_GB2312" w:hAnsi="等线" w:eastAsia="仿宋_GB2312" w:cs="宋体"/>
                <w:color w:val="000000" w:themeColor="text1"/>
                <w:kern w:val="0"/>
                <w:sz w:val="20"/>
                <w:szCs w:val="20"/>
                <w14:textFill>
                  <w14:solidFill>
                    <w14:schemeClr w14:val="tx1"/>
                  </w14:solidFill>
                </w14:textFill>
              </w:rPr>
              <w:t>GB/T 50493-2019）第4.1.3条</w:t>
            </w:r>
          </w:p>
        </w:tc>
        <w:tc>
          <w:tcPr>
            <w:tcW w:w="187" w:type="pct"/>
            <w:shd w:val="clear" w:color="auto" w:fill="auto"/>
            <w:vAlign w:val="center"/>
          </w:tcPr>
          <w:p w14:paraId="77E870D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90C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A843C6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850912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F0DC1B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272BB7E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可燃气体和有毒气体检测报警系统未独立于其他系统单独设置。</w:t>
            </w:r>
          </w:p>
        </w:tc>
        <w:tc>
          <w:tcPr>
            <w:tcW w:w="1615" w:type="pct"/>
            <w:shd w:val="clear" w:color="auto" w:fill="auto"/>
            <w:vAlign w:val="center"/>
          </w:tcPr>
          <w:p w14:paraId="6B14BB6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《石油化工可燃气体和有毒气体检测报警设计标准》（GB/T 50493-2019）第3.0.8条</w:t>
            </w:r>
          </w:p>
        </w:tc>
        <w:tc>
          <w:tcPr>
            <w:tcW w:w="187" w:type="pct"/>
            <w:shd w:val="clear" w:color="auto" w:fill="auto"/>
            <w:vAlign w:val="center"/>
          </w:tcPr>
          <w:p w14:paraId="67D4286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F616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C5BBDD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00AFD8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61BD658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061E58E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可燃气体和有毒气体检测报警系统的气体探测器、报警控制单元、现场报警器等的供电负荷，未按一级用电负荷中特别重要的负荷考虑，未采用UPS电源装置供电。</w:t>
            </w:r>
          </w:p>
        </w:tc>
        <w:tc>
          <w:tcPr>
            <w:tcW w:w="1615" w:type="pct"/>
            <w:shd w:val="clear" w:color="auto" w:fill="auto"/>
            <w:vAlign w:val="center"/>
          </w:tcPr>
          <w:p w14:paraId="0ADD974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《石油化工可燃气体和有毒气体检测报警设计标准》（GB/T 50493-2019）第3.0.9条</w:t>
            </w:r>
          </w:p>
        </w:tc>
        <w:tc>
          <w:tcPr>
            <w:tcW w:w="187" w:type="pct"/>
            <w:shd w:val="clear" w:color="auto" w:fill="auto"/>
            <w:vAlign w:val="center"/>
          </w:tcPr>
          <w:p w14:paraId="3185536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A36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9AD0EE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F6017D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000000" w:fill="FFFFFF"/>
            <w:vAlign w:val="center"/>
          </w:tcPr>
          <w:p w14:paraId="06BAB37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5422E8E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可燃气体和有毒气体探测器的安装高度不满足相关规范要求：</w:t>
            </w:r>
          </w:p>
          <w:p w14:paraId="3E05DF1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检测比空气重的可燃气体或有毒气体时，探测器的安装高度宜距地坪（或楼地板）</w:t>
            </w:r>
            <w:r>
              <w:rPr>
                <w:rFonts w:ascii="仿宋_GB2312" w:hAnsi="等线" w:eastAsia="仿宋_GB2312" w:cs="宋体"/>
                <w:color w:val="000000" w:themeColor="text1"/>
                <w:kern w:val="0"/>
                <w:sz w:val="20"/>
                <w:szCs w:val="20"/>
                <w14:textFill>
                  <w14:solidFill>
                    <w14:schemeClr w14:val="tx1"/>
                  </w14:solidFill>
                </w14:textFill>
              </w:rPr>
              <w:t>0.3m</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0.6m；检测比空气轻的可燃气体或有毒气体时，探测器的安装高度宜在释放源上方2.0m内。检测比空气略重的可燃气体或有毒气体时，探测器的安装高度宜在释放源下方0.5m</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1.0m；检测比空气略轻的可燃气体或有毒气体时，探测器的安装高度宜高出释放源0.5m</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1.0m。</w:t>
            </w:r>
          </w:p>
          <w:p w14:paraId="2132805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判别泄漏气体介质是否比空气重，应以泄漏气体介质的分子量与环境空气的分子量的比值为基准，并应按下列原则判别：</w:t>
            </w:r>
          </w:p>
          <w:p w14:paraId="4D0C7F0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1 当比值大于或等于1.2时，则泄漏的气体重于空气；</w:t>
            </w:r>
          </w:p>
          <w:p w14:paraId="7F81334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2 当比值大于或等于1.0、小于1.2时，则泄漏的气体为略重于空气；</w:t>
            </w:r>
          </w:p>
          <w:p w14:paraId="3FA82E0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3 当比值为0.8</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1.0时，则泄漏的气体为略轻于空气；</w:t>
            </w:r>
          </w:p>
          <w:p w14:paraId="1ACF460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4 当比值小于或等于0.8时，则泄漏的气体为轻于空气。</w:t>
            </w:r>
          </w:p>
        </w:tc>
        <w:tc>
          <w:tcPr>
            <w:tcW w:w="1615" w:type="pct"/>
            <w:shd w:val="clear" w:color="auto" w:fill="auto"/>
            <w:vAlign w:val="center"/>
          </w:tcPr>
          <w:p w14:paraId="3E517B1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《石油化工可燃气体和有毒气体检测报警设计标准》（</w:t>
            </w:r>
            <w:r>
              <w:rPr>
                <w:rFonts w:ascii="仿宋_GB2312" w:hAnsi="等线" w:eastAsia="仿宋_GB2312" w:cs="宋体"/>
                <w:color w:val="000000" w:themeColor="text1"/>
                <w:kern w:val="0"/>
                <w:sz w:val="20"/>
                <w:szCs w:val="20"/>
                <w14:textFill>
                  <w14:solidFill>
                    <w14:schemeClr w14:val="tx1"/>
                  </w14:solidFill>
                </w14:textFill>
              </w:rPr>
              <w:t>GB/T 50493-2019）第4.1.2条 ,第6.1.2条</w:t>
            </w:r>
          </w:p>
        </w:tc>
        <w:tc>
          <w:tcPr>
            <w:tcW w:w="187" w:type="pct"/>
            <w:shd w:val="clear" w:color="auto" w:fill="auto"/>
            <w:vAlign w:val="center"/>
          </w:tcPr>
          <w:p w14:paraId="2B5850D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D8A2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01C623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FD3B8F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56C2F21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4155C70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未按照《危险化学品单位应急救援物资配备要求》配备必要的应急救援器材、设备和物资，未进行经常性维护、保养，保证正常运转。</w:t>
            </w:r>
          </w:p>
        </w:tc>
        <w:tc>
          <w:tcPr>
            <w:tcW w:w="1615" w:type="pct"/>
            <w:shd w:val="clear" w:color="auto" w:fill="auto"/>
            <w:vAlign w:val="center"/>
          </w:tcPr>
          <w:p w14:paraId="6D9AD5A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 第八十二条</w:t>
            </w:r>
          </w:p>
        </w:tc>
        <w:tc>
          <w:tcPr>
            <w:tcW w:w="187" w:type="pct"/>
            <w:shd w:val="clear" w:color="auto" w:fill="auto"/>
            <w:vAlign w:val="center"/>
          </w:tcPr>
          <w:p w14:paraId="11FAD49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8E06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CC15B3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3AE55E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750710A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6074FAC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未设置应急通讯的固定报警电话；报警电话不畅通。</w:t>
            </w:r>
          </w:p>
        </w:tc>
        <w:tc>
          <w:tcPr>
            <w:tcW w:w="1615" w:type="pct"/>
            <w:shd w:val="clear" w:color="auto" w:fill="auto"/>
            <w:vAlign w:val="center"/>
          </w:tcPr>
          <w:p w14:paraId="0D29F22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2018年版）》（GB50160-2008）第8.12.1条</w:t>
            </w:r>
          </w:p>
        </w:tc>
        <w:tc>
          <w:tcPr>
            <w:tcW w:w="187" w:type="pct"/>
            <w:shd w:val="clear" w:color="auto" w:fill="auto"/>
            <w:vAlign w:val="center"/>
          </w:tcPr>
          <w:p w14:paraId="1934FC9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319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507DB0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36FA57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7FB9FE5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4A08CF6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在生产调度中心、消防水泵站、中央控制室、总变配电所等重要场所未设置与消防站直通的专用电话。</w:t>
            </w:r>
          </w:p>
        </w:tc>
        <w:tc>
          <w:tcPr>
            <w:tcW w:w="1615" w:type="pct"/>
            <w:shd w:val="clear" w:color="auto" w:fill="auto"/>
            <w:vAlign w:val="center"/>
          </w:tcPr>
          <w:p w14:paraId="00DC7870">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2018年版）》（GB50160-2008）第8.12.2条</w:t>
            </w:r>
          </w:p>
        </w:tc>
        <w:tc>
          <w:tcPr>
            <w:tcW w:w="187" w:type="pct"/>
            <w:shd w:val="clear" w:color="auto" w:fill="auto"/>
            <w:vAlign w:val="center"/>
          </w:tcPr>
          <w:p w14:paraId="3A2A4A9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117E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31C5C4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3D5499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709BC52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57E83F8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消防控制室无人值守，接处警无记录；化工企业的生产区、公用及辅助生产设施、全厂性重要设施和区域性重要设施的火灾危险场所未设置火灾自动报警系统、火灾电话报警及消防应急广播；区域性火灾报警控制器未设置在该区域的控制室内，当该区域无控制室时，未设置在</w:t>
            </w:r>
            <w:r>
              <w:rPr>
                <w:rFonts w:ascii="仿宋_GB2312" w:hAnsi="等线" w:eastAsia="仿宋_GB2312" w:cs="宋体"/>
                <w:color w:val="000000" w:themeColor="text1"/>
                <w:kern w:val="0"/>
                <w:sz w:val="20"/>
                <w:szCs w:val="20"/>
                <w14:textFill>
                  <w14:solidFill>
                    <w14:schemeClr w14:val="tx1"/>
                  </w14:solidFill>
                </w14:textFill>
              </w:rPr>
              <w:t>24h有人值班的场所，其全部信息</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通过网络传输到中央控制室；火灾自动报警系统</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设置警报装置和可接收电视监视系统（CCTV）的报警信息。</w:t>
            </w:r>
          </w:p>
        </w:tc>
        <w:tc>
          <w:tcPr>
            <w:tcW w:w="1615" w:type="pct"/>
            <w:shd w:val="clear" w:color="auto" w:fill="auto"/>
            <w:vAlign w:val="center"/>
          </w:tcPr>
          <w:p w14:paraId="27D9997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2018年版）》（GB50160-2008）第8.12.1条、第8.12.3条</w:t>
            </w:r>
          </w:p>
        </w:tc>
        <w:tc>
          <w:tcPr>
            <w:tcW w:w="187" w:type="pct"/>
            <w:shd w:val="clear" w:color="auto" w:fill="auto"/>
            <w:vAlign w:val="center"/>
          </w:tcPr>
          <w:p w14:paraId="44269DA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95AD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1208F2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5E60D4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设备设施及物料类</w:t>
            </w:r>
          </w:p>
        </w:tc>
        <w:tc>
          <w:tcPr>
            <w:tcW w:w="384" w:type="pct"/>
            <w:shd w:val="clear" w:color="auto" w:fill="auto"/>
            <w:vAlign w:val="center"/>
          </w:tcPr>
          <w:p w14:paraId="70BB76F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其他设备设施类</w:t>
            </w:r>
          </w:p>
        </w:tc>
        <w:tc>
          <w:tcPr>
            <w:tcW w:w="1859" w:type="pct"/>
            <w:shd w:val="clear" w:color="auto" w:fill="auto"/>
            <w:vAlign w:val="center"/>
          </w:tcPr>
          <w:p w14:paraId="441AAAA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重要作业场所如消防泵房及其配电室、控制室、变配电室、需人工操作的泡沫站、自备发电机房、防排烟机房以及发生火灾时仍需正常工作的消防设备房未设置备用照明。</w:t>
            </w:r>
          </w:p>
        </w:tc>
        <w:tc>
          <w:tcPr>
            <w:tcW w:w="1615" w:type="pct"/>
            <w:shd w:val="clear" w:color="auto" w:fill="auto"/>
            <w:vAlign w:val="center"/>
          </w:tcPr>
          <w:p w14:paraId="55B701F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w:t>
            </w:r>
            <w:r>
              <w:rPr>
                <w:rFonts w:ascii="仿宋_GB2312" w:hAnsi="等线" w:eastAsia="仿宋_GB2312" w:cs="宋体"/>
                <w:color w:val="000000" w:themeColor="text1"/>
                <w:kern w:val="0"/>
                <w:sz w:val="20"/>
                <w:szCs w:val="20"/>
                <w14:textFill>
                  <w14:solidFill>
                    <w14:schemeClr w14:val="tx1"/>
                  </w14:solidFill>
                </w14:textFill>
              </w:rPr>
              <w:t>2018版）》（GB 50016-2014）第10.3.3条</w:t>
            </w:r>
          </w:p>
        </w:tc>
        <w:tc>
          <w:tcPr>
            <w:tcW w:w="187" w:type="pct"/>
            <w:shd w:val="clear" w:color="auto" w:fill="auto"/>
            <w:vAlign w:val="center"/>
          </w:tcPr>
          <w:p w14:paraId="668BD6B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766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495A7A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14DBEF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409823B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资格资质类</w:t>
            </w:r>
          </w:p>
        </w:tc>
        <w:tc>
          <w:tcPr>
            <w:tcW w:w="1859" w:type="pct"/>
            <w:shd w:val="clear" w:color="auto" w:fill="auto"/>
            <w:vAlign w:val="center"/>
          </w:tcPr>
          <w:p w14:paraId="14130BF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危险化学品生产、经营单位主要负责人和安全生产管理人员未依法经考核合格。</w:t>
            </w:r>
          </w:p>
        </w:tc>
        <w:tc>
          <w:tcPr>
            <w:tcW w:w="1615" w:type="pct"/>
            <w:shd w:val="clear" w:color="auto" w:fill="auto"/>
            <w:vAlign w:val="center"/>
          </w:tcPr>
          <w:p w14:paraId="0F9DEFC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第一条</w:t>
            </w:r>
          </w:p>
        </w:tc>
        <w:tc>
          <w:tcPr>
            <w:tcW w:w="187" w:type="pct"/>
            <w:shd w:val="clear" w:color="auto" w:fill="auto"/>
            <w:vAlign w:val="center"/>
          </w:tcPr>
          <w:p w14:paraId="54A75EB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466DE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85C7B7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88E6E2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45E0383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资格资质类</w:t>
            </w:r>
          </w:p>
        </w:tc>
        <w:tc>
          <w:tcPr>
            <w:tcW w:w="1859" w:type="pct"/>
            <w:shd w:val="clear" w:color="auto" w:fill="auto"/>
            <w:vAlign w:val="center"/>
          </w:tcPr>
          <w:p w14:paraId="26C2BD3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分管安全负责人、分管生产负责人、分管技术负责人未具有一定的化工专业知识或者相应的专业学历，专职安全生产管理人员未具备国民教育化工化学类（或安全工程）中等职业教育以上学历或者化工化学类中级以上专业技术职称。</w:t>
            </w:r>
          </w:p>
        </w:tc>
        <w:tc>
          <w:tcPr>
            <w:tcW w:w="1615" w:type="pct"/>
            <w:shd w:val="clear" w:color="auto" w:fill="auto"/>
            <w:vAlign w:val="center"/>
          </w:tcPr>
          <w:p w14:paraId="28C4F93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《北京市应急管理局关于在危险化学品重点企业全面实施“五项制度”的通知》第三条（</w:t>
            </w:r>
            <w:r>
              <w:rPr>
                <w:rFonts w:ascii="仿宋_GB2312" w:hAnsi="等线" w:eastAsia="仿宋_GB2312" w:cs="宋体"/>
                <w:color w:val="000000" w:themeColor="text1"/>
                <w:kern w:val="0"/>
                <w:sz w:val="20"/>
                <w:szCs w:val="20"/>
                <w14:textFill>
                  <w14:solidFill>
                    <w14:schemeClr w14:val="tx1"/>
                  </w14:solidFill>
                </w14:textFill>
              </w:rPr>
              <w:t>京应急通〔2018〕6 号</w:t>
            </w:r>
            <w:r>
              <w:rPr>
                <w:rFonts w:hint="eastAsia" w:ascii="仿宋_GB2312" w:hAnsi="等线" w:eastAsia="仿宋_GB2312" w:cs="宋体"/>
                <w:color w:val="000000" w:themeColor="text1"/>
                <w:kern w:val="0"/>
                <w:sz w:val="20"/>
                <w:szCs w:val="20"/>
                <w14:textFill>
                  <w14:solidFill>
                    <w14:schemeClr w14:val="tx1"/>
                  </w14:solidFill>
                </w14:textFill>
              </w:rPr>
              <w:t>）</w:t>
            </w:r>
          </w:p>
        </w:tc>
        <w:tc>
          <w:tcPr>
            <w:tcW w:w="187" w:type="pct"/>
            <w:shd w:val="clear" w:color="auto" w:fill="auto"/>
            <w:vAlign w:val="center"/>
          </w:tcPr>
          <w:p w14:paraId="399F730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4C93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A8E8C5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0A670F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0F05D7C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资格资质类</w:t>
            </w:r>
          </w:p>
        </w:tc>
        <w:tc>
          <w:tcPr>
            <w:tcW w:w="1859" w:type="pct"/>
            <w:shd w:val="clear" w:color="auto" w:fill="auto"/>
            <w:vAlign w:val="center"/>
          </w:tcPr>
          <w:p w14:paraId="0E7EA19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重大危险源的主要负责人、技术负责人、操作负责人未经主管的负有安全生产监督管理职责的部门对其安全生产知识和管理能力考核合格。</w:t>
            </w:r>
          </w:p>
        </w:tc>
        <w:tc>
          <w:tcPr>
            <w:tcW w:w="1615" w:type="pct"/>
            <w:shd w:val="clear" w:color="auto" w:fill="auto"/>
            <w:vAlign w:val="center"/>
          </w:tcPr>
          <w:p w14:paraId="6AAABFF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《应急管理部办公厅关于印发危险化学品企业重大危险源安全包保责任制办法（试行）的通知》（应急厅〔2021〕12号）第十五条</w:t>
            </w:r>
          </w:p>
        </w:tc>
        <w:tc>
          <w:tcPr>
            <w:tcW w:w="187" w:type="pct"/>
            <w:shd w:val="clear" w:color="auto" w:fill="auto"/>
            <w:vAlign w:val="center"/>
          </w:tcPr>
          <w:p w14:paraId="2E39E72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008B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478E09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174409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3FC8007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资格资质类</w:t>
            </w:r>
          </w:p>
        </w:tc>
        <w:tc>
          <w:tcPr>
            <w:tcW w:w="1859" w:type="pct"/>
            <w:shd w:val="clear" w:color="auto" w:fill="auto"/>
            <w:vAlign w:val="center"/>
          </w:tcPr>
          <w:p w14:paraId="4527DCA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涉及“两重点一重大”生产装置和储存设施的企业，主要负责人和主管生产、设备、技术、安全负责人及安全生产管理人员不具备化学、化工、安全等相关专业大专及以上学历或化工类中级及以上职称。</w:t>
            </w:r>
          </w:p>
        </w:tc>
        <w:tc>
          <w:tcPr>
            <w:tcW w:w="1615" w:type="pct"/>
            <w:shd w:val="clear" w:color="auto" w:fill="auto"/>
            <w:vAlign w:val="center"/>
          </w:tcPr>
          <w:p w14:paraId="430CE84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《危险化学品企业重点人员安全资质达标导则》</w:t>
            </w:r>
          </w:p>
        </w:tc>
        <w:tc>
          <w:tcPr>
            <w:tcW w:w="187" w:type="pct"/>
            <w:shd w:val="clear" w:color="auto" w:fill="auto"/>
            <w:vAlign w:val="center"/>
          </w:tcPr>
          <w:p w14:paraId="69A6512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1B62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C4A872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C41DA0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31FB4C8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资格资质类</w:t>
            </w:r>
          </w:p>
        </w:tc>
        <w:tc>
          <w:tcPr>
            <w:tcW w:w="1859" w:type="pct"/>
            <w:shd w:val="clear" w:color="auto" w:fill="auto"/>
            <w:vAlign w:val="center"/>
          </w:tcPr>
          <w:p w14:paraId="3295A87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涉及重大危险源、重点监管化工工艺的生产装置、储存设施操作人员不具备高中及以上学历或中等及以上职业教育水平。</w:t>
            </w:r>
          </w:p>
        </w:tc>
        <w:tc>
          <w:tcPr>
            <w:tcW w:w="1615" w:type="pct"/>
            <w:shd w:val="clear" w:color="auto" w:fill="auto"/>
            <w:vAlign w:val="center"/>
          </w:tcPr>
          <w:p w14:paraId="1B2E439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《危险化学品企业重点人员安全资质达标导则》</w:t>
            </w:r>
          </w:p>
        </w:tc>
        <w:tc>
          <w:tcPr>
            <w:tcW w:w="187" w:type="pct"/>
            <w:shd w:val="clear" w:color="000000" w:fill="FFFFFF"/>
            <w:vAlign w:val="center"/>
          </w:tcPr>
          <w:p w14:paraId="456A33B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5B9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890D23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ACB5BA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78C8D7A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资格资质类</w:t>
            </w:r>
          </w:p>
        </w:tc>
        <w:tc>
          <w:tcPr>
            <w:tcW w:w="1859" w:type="pct"/>
            <w:shd w:val="clear" w:color="auto" w:fill="auto"/>
            <w:vAlign w:val="center"/>
          </w:tcPr>
          <w:p w14:paraId="513FE4E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涉及爆炸危险性化学品的生产装置和储存设施的操作人员不具备大专及以上或同等学历。（含化工自动化控制仪表作业人员、防爆电气作业人员）</w:t>
            </w:r>
          </w:p>
        </w:tc>
        <w:tc>
          <w:tcPr>
            <w:tcW w:w="1615" w:type="pct"/>
            <w:shd w:val="clear" w:color="auto" w:fill="auto"/>
            <w:vAlign w:val="center"/>
          </w:tcPr>
          <w:p w14:paraId="2DE11E9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《特种作业人员安全技术培训考核管理规定》（国家安监总局令第</w:t>
            </w:r>
            <w:r>
              <w:rPr>
                <w:rFonts w:ascii="仿宋_GB2312" w:hAnsi="等线" w:eastAsia="仿宋_GB2312" w:cs="宋体"/>
                <w:color w:val="000000" w:themeColor="text1"/>
                <w:kern w:val="0"/>
                <w:sz w:val="20"/>
                <w:szCs w:val="20"/>
                <w14:textFill>
                  <w14:solidFill>
                    <w14:schemeClr w14:val="tx1"/>
                  </w14:solidFill>
                </w14:textFill>
              </w:rPr>
              <w:t xml:space="preserve">30号）第五条   </w:t>
            </w:r>
          </w:p>
          <w:p w14:paraId="049B358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《危险化学品企业重点人员安全资质达标导则》</w:t>
            </w:r>
          </w:p>
        </w:tc>
        <w:tc>
          <w:tcPr>
            <w:tcW w:w="187" w:type="pct"/>
            <w:shd w:val="clear" w:color="000000" w:fill="FFFFFF"/>
            <w:vAlign w:val="center"/>
          </w:tcPr>
          <w:p w14:paraId="77924E5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575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A01924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2C4170D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00D62F8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资格资质类</w:t>
            </w:r>
          </w:p>
        </w:tc>
        <w:tc>
          <w:tcPr>
            <w:tcW w:w="1859" w:type="pct"/>
            <w:shd w:val="clear" w:color="auto" w:fill="auto"/>
            <w:vAlign w:val="center"/>
          </w:tcPr>
          <w:p w14:paraId="174BF7F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特种作业人员未持证上岗。</w:t>
            </w:r>
          </w:p>
        </w:tc>
        <w:tc>
          <w:tcPr>
            <w:tcW w:w="1615" w:type="pct"/>
            <w:shd w:val="clear" w:color="auto" w:fill="auto"/>
            <w:vAlign w:val="center"/>
          </w:tcPr>
          <w:p w14:paraId="077895C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第二条</w:t>
            </w:r>
          </w:p>
        </w:tc>
        <w:tc>
          <w:tcPr>
            <w:tcW w:w="187" w:type="pct"/>
            <w:shd w:val="clear" w:color="auto" w:fill="auto"/>
            <w:vAlign w:val="center"/>
          </w:tcPr>
          <w:p w14:paraId="78AE0FF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71073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DC4C5B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2306D1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7F3F1D5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资格资质类</w:t>
            </w:r>
          </w:p>
        </w:tc>
        <w:tc>
          <w:tcPr>
            <w:tcW w:w="1859" w:type="pct"/>
            <w:shd w:val="clear" w:color="auto" w:fill="auto"/>
            <w:vAlign w:val="center"/>
          </w:tcPr>
          <w:p w14:paraId="6DB4EFB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有限空间作业监护人员未取得相应的资格，或资质证件未在有效期限内。</w:t>
            </w:r>
          </w:p>
        </w:tc>
        <w:tc>
          <w:tcPr>
            <w:tcW w:w="1615" w:type="pct"/>
            <w:shd w:val="clear" w:color="auto" w:fill="auto"/>
            <w:vAlign w:val="center"/>
          </w:tcPr>
          <w:p w14:paraId="4AE4680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《中华人民共和国安全生产法》第三十条</w:t>
            </w:r>
          </w:p>
        </w:tc>
        <w:tc>
          <w:tcPr>
            <w:tcW w:w="187" w:type="pct"/>
            <w:shd w:val="clear" w:color="auto" w:fill="auto"/>
            <w:vAlign w:val="center"/>
          </w:tcPr>
          <w:p w14:paraId="031BC77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C278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759566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2857FAB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61BF1A5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4DA2F54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操作人员未掌握工艺安全信息，主要包括：</w:t>
            </w:r>
          </w:p>
          <w:p w14:paraId="2A05963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1）化学品危险性信息：物理特性、化学特性、毒性、职业接触限值；</w:t>
            </w:r>
          </w:p>
          <w:p w14:paraId="75D2631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2）工艺信息：流程图、化学反应过程、最大储存量、工艺参数安全上下限值；</w:t>
            </w:r>
          </w:p>
          <w:p w14:paraId="1BE2815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3）设备信息：设备材料、设备和管道图纸、电气类别、调节阀系统、安全设施。</w:t>
            </w:r>
          </w:p>
        </w:tc>
        <w:tc>
          <w:tcPr>
            <w:tcW w:w="1615" w:type="pct"/>
            <w:shd w:val="clear" w:color="auto" w:fill="auto"/>
            <w:vAlign w:val="center"/>
          </w:tcPr>
          <w:p w14:paraId="7EC65B4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《危险化学品从业单位安全标准化通用规范》（AQ 3013-2008）第5.5.4.1条</w:t>
            </w:r>
          </w:p>
        </w:tc>
        <w:tc>
          <w:tcPr>
            <w:tcW w:w="187" w:type="pct"/>
            <w:shd w:val="clear" w:color="auto" w:fill="auto"/>
            <w:vAlign w:val="center"/>
          </w:tcPr>
          <w:p w14:paraId="3997177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2351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21AA48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9D81DD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658FB42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77C9695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作业人员未严格遵守各项规章制度和劳动纪律。</w:t>
            </w:r>
          </w:p>
        </w:tc>
        <w:tc>
          <w:tcPr>
            <w:tcW w:w="1615" w:type="pct"/>
            <w:shd w:val="clear" w:color="auto" w:fill="auto"/>
            <w:vAlign w:val="center"/>
          </w:tcPr>
          <w:p w14:paraId="1244BBE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w:t>
            </w:r>
            <w:r>
              <w:rPr>
                <w:rFonts w:ascii="仿宋_GB2312" w:hAnsi="等线" w:eastAsia="仿宋_GB2312" w:cs="宋体"/>
                <w:color w:val="000000" w:themeColor="text1"/>
                <w:kern w:val="0"/>
                <w:sz w:val="20"/>
                <w:szCs w:val="20"/>
                <w14:textFill>
                  <w14:solidFill>
                    <w14:schemeClr w14:val="tx1"/>
                  </w14:solidFill>
                </w14:textFill>
              </w:rPr>
              <w:t>AQ 3013-2008）</w:t>
            </w:r>
          </w:p>
        </w:tc>
        <w:tc>
          <w:tcPr>
            <w:tcW w:w="187" w:type="pct"/>
            <w:shd w:val="clear" w:color="auto" w:fill="auto"/>
            <w:vAlign w:val="center"/>
          </w:tcPr>
          <w:p w14:paraId="52FDBE3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A3EF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EF7DB0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9832F1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389DACD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653E8C8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企业存在超设计生产能力、超设备设施负荷能力进行生产的行为。</w:t>
            </w:r>
          </w:p>
        </w:tc>
        <w:tc>
          <w:tcPr>
            <w:tcW w:w="1615" w:type="pct"/>
            <w:shd w:val="clear" w:color="auto" w:fill="auto"/>
            <w:vAlign w:val="center"/>
          </w:tcPr>
          <w:p w14:paraId="404859D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《关于对危险化学品领域安全生产新情况新问题开展专项排查整治的通知》（应急厅函〔</w:t>
            </w:r>
            <w:r>
              <w:rPr>
                <w:rFonts w:ascii="仿宋_GB2312" w:hAnsi="等线" w:eastAsia="仿宋_GB2312" w:cs="宋体"/>
                <w:color w:val="000000" w:themeColor="text1"/>
                <w:kern w:val="0"/>
                <w:sz w:val="20"/>
                <w:szCs w:val="20"/>
                <w14:textFill>
                  <w14:solidFill>
                    <w14:schemeClr w14:val="tx1"/>
                  </w14:solidFill>
                </w14:textFill>
              </w:rPr>
              <w:t>2021〕129号）</w:t>
            </w:r>
            <w:r>
              <w:rPr>
                <w:rFonts w:hint="eastAsia" w:ascii="仿宋_GB2312" w:hAnsi="等线" w:eastAsia="仿宋_GB2312" w:cs="宋体"/>
                <w:color w:val="000000" w:themeColor="text1"/>
                <w:kern w:val="0"/>
                <w:sz w:val="20"/>
                <w:szCs w:val="20"/>
                <w14:textFill>
                  <w14:solidFill>
                    <w14:schemeClr w14:val="tx1"/>
                  </w14:solidFill>
                </w14:textFill>
              </w:rPr>
              <w:t>第一条</w:t>
            </w:r>
          </w:p>
        </w:tc>
        <w:tc>
          <w:tcPr>
            <w:tcW w:w="187" w:type="pct"/>
            <w:shd w:val="clear" w:color="auto" w:fill="auto"/>
            <w:vAlign w:val="center"/>
          </w:tcPr>
          <w:p w14:paraId="09D7EAC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C88D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91275B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BF7EB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17F2A27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2D5561C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新、改、扩建危险化学品生产项目存在盲目抢工期、赶进度的情况。</w:t>
            </w:r>
          </w:p>
        </w:tc>
        <w:tc>
          <w:tcPr>
            <w:tcW w:w="1615" w:type="pct"/>
            <w:shd w:val="clear" w:color="auto" w:fill="auto"/>
            <w:vAlign w:val="center"/>
          </w:tcPr>
          <w:p w14:paraId="590FF62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《关于对危险化学品领域安全生产新情况新问题开展专项排查整治的通知》（应急厅函〔</w:t>
            </w:r>
            <w:r>
              <w:rPr>
                <w:rFonts w:ascii="仿宋_GB2312" w:hAnsi="等线" w:eastAsia="仿宋_GB2312" w:cs="宋体"/>
                <w:color w:val="000000" w:themeColor="text1"/>
                <w:kern w:val="0"/>
                <w:sz w:val="20"/>
                <w:szCs w:val="20"/>
                <w14:textFill>
                  <w14:solidFill>
                    <w14:schemeClr w14:val="tx1"/>
                  </w14:solidFill>
                </w14:textFill>
              </w:rPr>
              <w:t>2021〕129号）</w:t>
            </w:r>
            <w:r>
              <w:rPr>
                <w:rFonts w:hint="eastAsia" w:ascii="仿宋_GB2312" w:hAnsi="等线" w:eastAsia="仿宋_GB2312" w:cs="宋体"/>
                <w:color w:val="000000" w:themeColor="text1"/>
                <w:kern w:val="0"/>
                <w:sz w:val="20"/>
                <w:szCs w:val="20"/>
                <w14:textFill>
                  <w14:solidFill>
                    <w14:schemeClr w14:val="tx1"/>
                  </w14:solidFill>
                </w14:textFill>
              </w:rPr>
              <w:t>第一条</w:t>
            </w:r>
          </w:p>
        </w:tc>
        <w:tc>
          <w:tcPr>
            <w:tcW w:w="187" w:type="pct"/>
            <w:shd w:val="clear" w:color="auto" w:fill="auto"/>
            <w:vAlign w:val="center"/>
          </w:tcPr>
          <w:p w14:paraId="0853CB6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2A93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E558CC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1B892F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6E108A6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41DEC7A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存在装置设备延迟检修、未经评估擅自延长检修周期等情况。存在装置设备带病运行、强行生产的情况。</w:t>
            </w:r>
          </w:p>
        </w:tc>
        <w:tc>
          <w:tcPr>
            <w:tcW w:w="1615" w:type="pct"/>
            <w:shd w:val="clear" w:color="auto" w:fill="auto"/>
            <w:vAlign w:val="center"/>
          </w:tcPr>
          <w:p w14:paraId="3C6D355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《关于对危险化学品领域安全生产新情况新问题开展专项排查整治的通知》（应急厅函〔</w:t>
            </w:r>
            <w:r>
              <w:rPr>
                <w:rFonts w:ascii="仿宋_GB2312" w:hAnsi="等线" w:eastAsia="仿宋_GB2312" w:cs="宋体"/>
                <w:color w:val="000000" w:themeColor="text1"/>
                <w:kern w:val="0"/>
                <w:sz w:val="20"/>
                <w:szCs w:val="20"/>
                <w14:textFill>
                  <w14:solidFill>
                    <w14:schemeClr w14:val="tx1"/>
                  </w14:solidFill>
                </w14:textFill>
              </w:rPr>
              <w:t>2021〕129号）</w:t>
            </w:r>
            <w:r>
              <w:rPr>
                <w:rFonts w:hint="eastAsia" w:ascii="仿宋_GB2312" w:hAnsi="等线" w:eastAsia="仿宋_GB2312" w:cs="宋体"/>
                <w:color w:val="000000" w:themeColor="text1"/>
                <w:kern w:val="0"/>
                <w:sz w:val="20"/>
                <w:szCs w:val="20"/>
                <w14:textFill>
                  <w14:solidFill>
                    <w14:schemeClr w14:val="tx1"/>
                  </w14:solidFill>
                </w14:textFill>
              </w:rPr>
              <w:t>第三条</w:t>
            </w:r>
          </w:p>
        </w:tc>
        <w:tc>
          <w:tcPr>
            <w:tcW w:w="187" w:type="pct"/>
            <w:shd w:val="clear" w:color="auto" w:fill="auto"/>
            <w:vAlign w:val="center"/>
          </w:tcPr>
          <w:p w14:paraId="618842F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90ED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EFB6E9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7CBCD4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05F66BD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5C4546C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涉及硝化、加氢、氟化、氯化等重点监管化工工艺及其他反应工艺危险度</w:t>
            </w:r>
            <w:r>
              <w:rPr>
                <w:rFonts w:ascii="仿宋_GB2312" w:hAnsi="等线" w:eastAsia="仿宋_GB2312" w:cs="宋体"/>
                <w:color w:val="000000" w:themeColor="text1"/>
                <w:kern w:val="0"/>
                <w:sz w:val="20"/>
                <w:szCs w:val="20"/>
                <w14:textFill>
                  <w14:solidFill>
                    <w14:schemeClr w14:val="tx1"/>
                  </w14:solidFill>
                </w14:textFill>
              </w:rPr>
              <w:t>2级及以上的生产车间（区域），同一时间现场操作人员</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控制在3人以下。</w:t>
            </w:r>
          </w:p>
        </w:tc>
        <w:tc>
          <w:tcPr>
            <w:tcW w:w="1615" w:type="pct"/>
            <w:shd w:val="clear" w:color="auto" w:fill="auto"/>
            <w:vAlign w:val="center"/>
          </w:tcPr>
          <w:p w14:paraId="471E840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《危险化学品企业安全风险隐患排查治理导则》附件安全风险检查表（五）安全风险管理第五条</w:t>
            </w:r>
          </w:p>
        </w:tc>
        <w:tc>
          <w:tcPr>
            <w:tcW w:w="187" w:type="pct"/>
            <w:shd w:val="clear" w:color="auto" w:fill="auto"/>
            <w:vAlign w:val="center"/>
          </w:tcPr>
          <w:p w14:paraId="6D460CA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3641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A36810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49E282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5FFC2B2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755F428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企业未严格执行危险化学品运输、装卸安全管理制度，规范运输、装卸人员行为。未明确运输、装卸作业前、作业中和作业结束后各个环节的安全要求。</w:t>
            </w:r>
          </w:p>
        </w:tc>
        <w:tc>
          <w:tcPr>
            <w:tcW w:w="1615" w:type="pct"/>
            <w:shd w:val="clear" w:color="auto" w:fill="auto"/>
            <w:vAlign w:val="center"/>
          </w:tcPr>
          <w:p w14:paraId="01C6BEB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w:t>
            </w:r>
            <w:r>
              <w:rPr>
                <w:rFonts w:ascii="仿宋_GB2312" w:hAnsi="等线" w:eastAsia="仿宋_GB2312" w:cs="宋体"/>
                <w:color w:val="000000" w:themeColor="text1"/>
                <w:kern w:val="0"/>
                <w:sz w:val="20"/>
                <w:szCs w:val="20"/>
                <w14:textFill>
                  <w14:solidFill>
                    <w14:schemeClr w14:val="tx1"/>
                  </w14:solidFill>
                </w14:textFill>
              </w:rPr>
              <w:t>AQ 3013-2008）第5.6.3.10条</w:t>
            </w:r>
          </w:p>
        </w:tc>
        <w:tc>
          <w:tcPr>
            <w:tcW w:w="187" w:type="pct"/>
            <w:shd w:val="clear" w:color="auto" w:fill="auto"/>
            <w:vAlign w:val="center"/>
          </w:tcPr>
          <w:p w14:paraId="1E7D6E1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9946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3D2357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A67070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43172D7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6BFFD30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企业员工不了解生产过程中危险化学品的危险特性、活性危害、禁配物等，以及采取的预防及应急处理措施。</w:t>
            </w:r>
          </w:p>
        </w:tc>
        <w:tc>
          <w:tcPr>
            <w:tcW w:w="1615" w:type="pct"/>
            <w:shd w:val="clear" w:color="auto" w:fill="auto"/>
            <w:vAlign w:val="center"/>
          </w:tcPr>
          <w:p w14:paraId="0D53741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《危险化学品从业单位安全标准化通用规范》（</w:t>
            </w:r>
            <w:r>
              <w:rPr>
                <w:rFonts w:ascii="仿宋_GB2312" w:hAnsi="等线" w:eastAsia="仿宋_GB2312" w:cs="宋体"/>
                <w:color w:val="000000" w:themeColor="text1"/>
                <w:kern w:val="0"/>
                <w:sz w:val="20"/>
                <w:szCs w:val="20"/>
                <w14:textFill>
                  <w14:solidFill>
                    <w14:schemeClr w14:val="tx1"/>
                  </w14:solidFill>
                </w14:textFill>
              </w:rPr>
              <w:t>AQ 3013-2008）第5.7.6条</w:t>
            </w:r>
          </w:p>
        </w:tc>
        <w:tc>
          <w:tcPr>
            <w:tcW w:w="187" w:type="pct"/>
            <w:shd w:val="clear" w:color="auto" w:fill="auto"/>
            <w:vAlign w:val="center"/>
          </w:tcPr>
          <w:p w14:paraId="5A63712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BEA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8B61D9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8B6CD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3E0733B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4F8561B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生产过程中出现超温、超压、超液位运行（如：油气储罐），随意变更储存介质等情况时，对异常工况处置未符合操作规程要求。</w:t>
            </w:r>
          </w:p>
        </w:tc>
        <w:tc>
          <w:tcPr>
            <w:tcW w:w="1615" w:type="pct"/>
            <w:shd w:val="clear" w:color="auto" w:fill="auto"/>
            <w:vAlign w:val="center"/>
          </w:tcPr>
          <w:p w14:paraId="3F558974">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w:t>
            </w:r>
            <w:r>
              <w:rPr>
                <w:rFonts w:ascii="仿宋_GB2312" w:hAnsi="等线" w:eastAsia="仿宋_GB2312" w:cs="宋体"/>
                <w:color w:val="000000" w:themeColor="text1"/>
                <w:kern w:val="0"/>
                <w:sz w:val="20"/>
                <w:szCs w:val="20"/>
                <w14:textFill>
                  <w14:solidFill>
                    <w14:schemeClr w14:val="tx1"/>
                  </w14:solidFill>
                </w14:textFill>
              </w:rPr>
              <w:t xml:space="preserve"> 例》第二十四条第二款  </w:t>
            </w:r>
          </w:p>
          <w:p w14:paraId="583A088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 xml:space="preserve">《油气罐区防火防爆十条 规定》(安监总政法〔2017〕15  号)第一条 </w:t>
            </w:r>
          </w:p>
          <w:p w14:paraId="48B7E0F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第九条</w:t>
            </w:r>
          </w:p>
        </w:tc>
        <w:tc>
          <w:tcPr>
            <w:tcW w:w="187" w:type="pct"/>
            <w:shd w:val="clear" w:color="auto" w:fill="auto"/>
            <w:vAlign w:val="center"/>
          </w:tcPr>
          <w:p w14:paraId="28BD998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FE9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D641AF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E4352C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6E9D15B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0401E5F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切水、脱水作业及其他风险较大的排液作业时，作业人员离开现场。</w:t>
            </w:r>
          </w:p>
        </w:tc>
        <w:tc>
          <w:tcPr>
            <w:tcW w:w="1615" w:type="pct"/>
            <w:shd w:val="clear" w:color="auto" w:fill="auto"/>
            <w:vAlign w:val="center"/>
          </w:tcPr>
          <w:p w14:paraId="2D234B1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《化工（危险化学品）企业安全检查重点指导目录》（安监总管三〔2015〕113号） 附表34 </w:t>
            </w:r>
          </w:p>
        </w:tc>
        <w:tc>
          <w:tcPr>
            <w:tcW w:w="187" w:type="pct"/>
            <w:shd w:val="clear" w:color="auto" w:fill="auto"/>
            <w:vAlign w:val="center"/>
          </w:tcPr>
          <w:p w14:paraId="175602C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1915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440A58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FB3316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7BFDF1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1CD7A27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未严格控制进退料顺序和速率，现场未安排专人不间断巡检，未监控有无泄漏等异常现象。</w:t>
            </w:r>
          </w:p>
        </w:tc>
        <w:tc>
          <w:tcPr>
            <w:tcW w:w="1615" w:type="pct"/>
            <w:shd w:val="clear" w:color="auto" w:fill="auto"/>
            <w:vAlign w:val="center"/>
          </w:tcPr>
          <w:p w14:paraId="439E9C0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第十条</w:t>
            </w:r>
          </w:p>
        </w:tc>
        <w:tc>
          <w:tcPr>
            <w:tcW w:w="187" w:type="pct"/>
            <w:shd w:val="clear" w:color="auto" w:fill="auto"/>
            <w:vAlign w:val="center"/>
          </w:tcPr>
          <w:p w14:paraId="0E8D512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53F0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C315FB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818B8C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00658D7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292455C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停车过程中的设备、管线低点的排放未按照顺序缓慢进行，未做好个人防护；设备、管线吹扫处理完毕后，未用盲板切断与其他系统的联系。抽堵盲板作业未在编号、挂牌、登记后按规定的顺序进行，未安排专人逐一进行现场确认。</w:t>
            </w:r>
          </w:p>
        </w:tc>
        <w:tc>
          <w:tcPr>
            <w:tcW w:w="1615" w:type="pct"/>
            <w:shd w:val="clear" w:color="auto" w:fill="auto"/>
            <w:vAlign w:val="center"/>
          </w:tcPr>
          <w:p w14:paraId="5D829CF9">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 第十条</w:t>
            </w:r>
          </w:p>
        </w:tc>
        <w:tc>
          <w:tcPr>
            <w:tcW w:w="187" w:type="pct"/>
            <w:shd w:val="clear" w:color="auto" w:fill="auto"/>
            <w:vAlign w:val="center"/>
          </w:tcPr>
          <w:p w14:paraId="138EEC7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AA5B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9CF453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F2D273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54426B2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4885CBC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装运危险化学品的汽车“三证”（驾驶证、准运证、危险品押运证）未齐全。进入厂区的车辆未安装阻火器。</w:t>
            </w:r>
          </w:p>
        </w:tc>
        <w:tc>
          <w:tcPr>
            <w:tcW w:w="1615" w:type="pct"/>
            <w:shd w:val="clear" w:color="auto" w:fill="auto"/>
            <w:vAlign w:val="center"/>
          </w:tcPr>
          <w:p w14:paraId="6857CFE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表4（七）12</w:t>
            </w:r>
          </w:p>
        </w:tc>
        <w:tc>
          <w:tcPr>
            <w:tcW w:w="187" w:type="pct"/>
            <w:shd w:val="clear" w:color="auto" w:fill="auto"/>
            <w:vAlign w:val="center"/>
          </w:tcPr>
          <w:p w14:paraId="13D8769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891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D077AC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24D5D3A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65F79B7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0401D04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装卸车作业环节未严格遵守安全作业标准、规程和制度，未在监护人员现场指挥和全程监护下进行。</w:t>
            </w:r>
          </w:p>
        </w:tc>
        <w:tc>
          <w:tcPr>
            <w:tcW w:w="1615" w:type="pct"/>
            <w:shd w:val="clear" w:color="auto" w:fill="auto"/>
            <w:vAlign w:val="center"/>
          </w:tcPr>
          <w:p w14:paraId="7BFEE31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表4（七）16</w:t>
            </w:r>
          </w:p>
        </w:tc>
        <w:tc>
          <w:tcPr>
            <w:tcW w:w="187" w:type="pct"/>
            <w:shd w:val="clear" w:color="auto" w:fill="auto"/>
            <w:vAlign w:val="center"/>
          </w:tcPr>
          <w:p w14:paraId="6B450A8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DF4C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A1BA3E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E855DB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171343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5A5B472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未经培训合格人员和无相关资质承包商进入油气罐区作业。</w:t>
            </w:r>
          </w:p>
        </w:tc>
        <w:tc>
          <w:tcPr>
            <w:tcW w:w="1615" w:type="pct"/>
            <w:shd w:val="clear" w:color="auto" w:fill="auto"/>
            <w:vAlign w:val="center"/>
          </w:tcPr>
          <w:p w14:paraId="23DFA2C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《应急管理部办公厅关于印发</w:t>
            </w:r>
            <w:r>
              <w:rPr>
                <w:rFonts w:ascii="仿宋_GB2312" w:hAnsi="等线" w:eastAsia="仿宋_GB2312" w:cs="宋体"/>
                <w:color w:val="000000" w:themeColor="text1"/>
                <w:kern w:val="0"/>
                <w:sz w:val="20"/>
                <w:szCs w:val="20"/>
                <w14:textFill>
                  <w14:solidFill>
                    <w14:schemeClr w14:val="tx1"/>
                  </w14:solidFill>
                </w14:textFill>
              </w:rPr>
              <w:t>&lt;危险化学品重大危险源企业专项检查督导工作方案&gt;的通知》（应急厅〔2020〕23号）</w:t>
            </w:r>
          </w:p>
        </w:tc>
        <w:tc>
          <w:tcPr>
            <w:tcW w:w="187" w:type="pct"/>
            <w:shd w:val="clear" w:color="auto" w:fill="auto"/>
            <w:vAlign w:val="center"/>
          </w:tcPr>
          <w:p w14:paraId="594CAF1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C893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AC72C9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578512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auto" w:fill="auto"/>
            <w:vAlign w:val="center"/>
          </w:tcPr>
          <w:p w14:paraId="204F46D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3066694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存在未经许可的机动车辆及外来人员进入罐区。</w:t>
            </w:r>
          </w:p>
        </w:tc>
        <w:tc>
          <w:tcPr>
            <w:tcW w:w="1615" w:type="pct"/>
            <w:shd w:val="clear" w:color="auto" w:fill="auto"/>
            <w:vAlign w:val="center"/>
          </w:tcPr>
          <w:p w14:paraId="681A35C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《应急管理部办公厅关于印发</w:t>
            </w:r>
            <w:r>
              <w:rPr>
                <w:rFonts w:ascii="仿宋_GB2312" w:hAnsi="等线" w:eastAsia="仿宋_GB2312" w:cs="宋体"/>
                <w:color w:val="000000" w:themeColor="text1"/>
                <w:kern w:val="0"/>
                <w:sz w:val="20"/>
                <w:szCs w:val="20"/>
                <w14:textFill>
                  <w14:solidFill>
                    <w14:schemeClr w14:val="tx1"/>
                  </w14:solidFill>
                </w14:textFill>
              </w:rPr>
              <w:t>&lt;危险化学品重大危险源企业专项检查督导工作方案&gt;的通知》（应急厅〔2020〕23号）</w:t>
            </w:r>
          </w:p>
        </w:tc>
        <w:tc>
          <w:tcPr>
            <w:tcW w:w="187" w:type="pct"/>
            <w:shd w:val="clear" w:color="auto" w:fill="auto"/>
            <w:vAlign w:val="center"/>
          </w:tcPr>
          <w:p w14:paraId="108DFD9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2EAE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FCADF1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092D90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1869CEB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2A9F0D5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检维修过程中涉及特殊作业，储罐切水作业、液化烃充装作业、安全风险较大的设备检维修等危险作业的，未执行GB 30871要求，未办理作业许可证，未严格执行作业程序。</w:t>
            </w:r>
          </w:p>
        </w:tc>
        <w:tc>
          <w:tcPr>
            <w:tcW w:w="1615" w:type="pct"/>
            <w:shd w:val="clear" w:color="auto" w:fill="auto"/>
            <w:vAlign w:val="center"/>
          </w:tcPr>
          <w:p w14:paraId="4D6E2C0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《应急管理部办公厅关于印发</w:t>
            </w:r>
            <w:r>
              <w:rPr>
                <w:rFonts w:ascii="仿宋_GB2312" w:hAnsi="等线" w:eastAsia="仿宋_GB2312" w:cs="宋体"/>
                <w:color w:val="000000" w:themeColor="text1"/>
                <w:kern w:val="0"/>
                <w:sz w:val="20"/>
                <w:szCs w:val="20"/>
                <w14:textFill>
                  <w14:solidFill>
                    <w14:schemeClr w14:val="tx1"/>
                  </w14:solidFill>
                </w14:textFill>
              </w:rPr>
              <w:t>&lt;危险化学品重大危险源企业专项检查督导工作方案&gt;的通知》（应急厅〔2020〕23号）</w:t>
            </w:r>
          </w:p>
          <w:p w14:paraId="18D7A83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附录A、附录B</w:t>
            </w:r>
          </w:p>
        </w:tc>
        <w:tc>
          <w:tcPr>
            <w:tcW w:w="187" w:type="pct"/>
            <w:shd w:val="clear" w:color="auto" w:fill="auto"/>
            <w:vAlign w:val="center"/>
          </w:tcPr>
          <w:p w14:paraId="451A290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9FE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3BBDBF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36C82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0373E7D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37A2B33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特殊作业、危险作业前未进行危险有害因素辨识，未开展作业危害分析，未制定相应的安全风险管控措施；未</w:t>
            </w:r>
            <w:r>
              <w:rPr>
                <w:rFonts w:hint="eastAsia" w:ascii="仿宋_GB2312" w:hAnsi="微软雅黑" w:eastAsia="仿宋_GB2312" w:cs="微软雅黑"/>
                <w:color w:val="000000" w:themeColor="text1"/>
                <w:kern w:val="0"/>
                <w:sz w:val="20"/>
                <w:szCs w:val="20"/>
                <w14:textFill>
                  <w14:solidFill>
                    <w14:schemeClr w14:val="tx1"/>
                  </w14:solidFill>
                </w14:textFill>
              </w:rPr>
              <w:t>采取</w:t>
            </w:r>
            <w:r>
              <w:rPr>
                <w:rFonts w:hint="eastAsia" w:ascii="仿宋_GB2312" w:hAnsi="等线" w:eastAsia="仿宋_GB2312" w:cs="宋体"/>
                <w:color w:val="000000" w:themeColor="text1"/>
                <w:kern w:val="0"/>
                <w:sz w:val="20"/>
                <w:szCs w:val="20"/>
                <w14:textFill>
                  <w14:solidFill>
                    <w14:schemeClr w14:val="tx1"/>
                  </w14:solidFill>
                </w14:textFill>
              </w:rPr>
              <w:t>措施对拟作业的设备设施、管线进行处理，未能满足相应作业安全要求。</w:t>
            </w:r>
          </w:p>
        </w:tc>
        <w:tc>
          <w:tcPr>
            <w:tcW w:w="1615" w:type="pct"/>
            <w:shd w:val="clear" w:color="auto" w:fill="auto"/>
            <w:vAlign w:val="center"/>
          </w:tcPr>
          <w:p w14:paraId="435565F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4.1条、4.2条</w:t>
            </w:r>
          </w:p>
        </w:tc>
        <w:tc>
          <w:tcPr>
            <w:tcW w:w="187" w:type="pct"/>
            <w:shd w:val="clear" w:color="auto" w:fill="auto"/>
            <w:vAlign w:val="center"/>
          </w:tcPr>
          <w:p w14:paraId="380B3D9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BEF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085C825">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5BCB5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4F7CA98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4AF356E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特殊作业、危险作业前，未对参加作业的人员（含承包商人员）进行安全培训或安全措施交底。</w:t>
            </w:r>
          </w:p>
        </w:tc>
        <w:tc>
          <w:tcPr>
            <w:tcW w:w="1615" w:type="pct"/>
            <w:shd w:val="clear" w:color="auto" w:fill="auto"/>
            <w:vAlign w:val="center"/>
          </w:tcPr>
          <w:p w14:paraId="0621B84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4.4条</w:t>
            </w:r>
          </w:p>
        </w:tc>
        <w:tc>
          <w:tcPr>
            <w:tcW w:w="187" w:type="pct"/>
            <w:shd w:val="clear" w:color="auto" w:fill="auto"/>
            <w:vAlign w:val="center"/>
          </w:tcPr>
          <w:p w14:paraId="28DF06C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E3F3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B2BE56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660583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39B2F28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505BDD6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特殊作业、危险作业现场及作业涉及的设备、设施、工器具等安全生产条件不符合法规要求的</w:t>
            </w:r>
            <w:r>
              <w:rPr>
                <w:rFonts w:hint="eastAsia" w:ascii="仿宋_GB2312" w:hAnsi="微软雅黑" w:eastAsia="仿宋_GB2312" w:cs="宋体"/>
                <w:color w:val="000000" w:themeColor="text1"/>
                <w:kern w:val="0"/>
                <w:sz w:val="20"/>
                <w:szCs w:val="20"/>
                <w14:textFill>
                  <w14:solidFill>
                    <w14:schemeClr w14:val="tx1"/>
                  </w14:solidFill>
                </w14:textFill>
              </w:rPr>
              <w:t>。</w:t>
            </w:r>
          </w:p>
        </w:tc>
        <w:tc>
          <w:tcPr>
            <w:tcW w:w="1615" w:type="pct"/>
            <w:shd w:val="clear" w:color="auto" w:fill="auto"/>
            <w:vAlign w:val="center"/>
          </w:tcPr>
          <w:p w14:paraId="696D125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4.5条</w:t>
            </w:r>
          </w:p>
        </w:tc>
        <w:tc>
          <w:tcPr>
            <w:tcW w:w="187" w:type="pct"/>
            <w:shd w:val="clear" w:color="auto" w:fill="auto"/>
            <w:vAlign w:val="center"/>
          </w:tcPr>
          <w:p w14:paraId="12105B5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E52B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2C10B6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4414259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724B840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060FED5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特殊作业、危险作业审批手续、作业票证不规范不齐全、安全措施未全部落实、作业环境不符合安全要求。</w:t>
            </w:r>
          </w:p>
        </w:tc>
        <w:tc>
          <w:tcPr>
            <w:tcW w:w="1615" w:type="pct"/>
            <w:shd w:val="clear" w:color="auto" w:fill="auto"/>
            <w:vAlign w:val="center"/>
          </w:tcPr>
          <w:p w14:paraId="1B3AAF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《关于加强化工过程安全管理的指导意见》（安监总管三〔2013〕88号）第十八条</w:t>
            </w:r>
          </w:p>
          <w:p w14:paraId="1772003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4.6条</w:t>
            </w:r>
          </w:p>
        </w:tc>
        <w:tc>
          <w:tcPr>
            <w:tcW w:w="187" w:type="pct"/>
            <w:shd w:val="clear" w:color="auto" w:fill="auto"/>
            <w:vAlign w:val="center"/>
          </w:tcPr>
          <w:p w14:paraId="551E843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D006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1D8534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A1508E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5C8B571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2BA9BBC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特殊作业、危险作业审批人和监护人的职责未落实，未对操作过程等实施现场监督检查，危险化学品企业未指定专人对交叉作业统一协调管理。</w:t>
            </w:r>
          </w:p>
        </w:tc>
        <w:tc>
          <w:tcPr>
            <w:tcW w:w="1615" w:type="pct"/>
            <w:shd w:val="clear" w:color="auto" w:fill="auto"/>
            <w:vAlign w:val="center"/>
          </w:tcPr>
          <w:p w14:paraId="79D83AC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4.6条</w:t>
            </w:r>
          </w:p>
        </w:tc>
        <w:tc>
          <w:tcPr>
            <w:tcW w:w="187" w:type="pct"/>
            <w:shd w:val="clear" w:color="auto" w:fill="auto"/>
            <w:vAlign w:val="center"/>
          </w:tcPr>
          <w:p w14:paraId="1EEA1A2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CBB1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7E3666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9B8489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20534AF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5D1619C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特殊作业、危险作业完毕，未及时恢复安全设施的使用功能，未清理作业现场，恢复原状；未及时进行验收确认。</w:t>
            </w:r>
          </w:p>
        </w:tc>
        <w:tc>
          <w:tcPr>
            <w:tcW w:w="1615" w:type="pct"/>
            <w:shd w:val="clear" w:color="auto" w:fill="auto"/>
            <w:vAlign w:val="center"/>
          </w:tcPr>
          <w:p w14:paraId="170B924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4.14条、4.15条</w:t>
            </w:r>
          </w:p>
        </w:tc>
        <w:tc>
          <w:tcPr>
            <w:tcW w:w="187" w:type="pct"/>
            <w:shd w:val="clear" w:color="auto" w:fill="auto"/>
            <w:vAlign w:val="center"/>
          </w:tcPr>
          <w:p w14:paraId="51E858B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1E8A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A92B91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023C30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6AB98D1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2A38C26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特殊作业、危险作业内容变更、作业范围扩大、作业地点转移或超过安全作业票有效期限时，或者工艺条件、作业条件、作业方式或作业环境改变时，未重新进行作业危害分析，未核对风险管控措施，未重新办理安全作业票。</w:t>
            </w:r>
          </w:p>
        </w:tc>
        <w:tc>
          <w:tcPr>
            <w:tcW w:w="1615" w:type="pct"/>
            <w:shd w:val="clear" w:color="auto" w:fill="auto"/>
            <w:vAlign w:val="center"/>
          </w:tcPr>
          <w:p w14:paraId="30AF5E9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4.16条、4.17条</w:t>
            </w:r>
          </w:p>
        </w:tc>
        <w:tc>
          <w:tcPr>
            <w:tcW w:w="187" w:type="pct"/>
            <w:shd w:val="clear" w:color="auto" w:fill="auto"/>
            <w:vAlign w:val="center"/>
          </w:tcPr>
          <w:p w14:paraId="676537A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46A3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B07C57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6E49E5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71FAEB6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1AB3E24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安全设施随意拆除、挪用或弃置不用，因检维修拆除的，检维修完毕后未立即复原。</w:t>
            </w:r>
          </w:p>
        </w:tc>
        <w:tc>
          <w:tcPr>
            <w:tcW w:w="1615" w:type="pct"/>
            <w:shd w:val="clear" w:color="auto" w:fill="auto"/>
            <w:vAlign w:val="center"/>
          </w:tcPr>
          <w:p w14:paraId="1336B73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 附件 表5（二）4</w:t>
            </w:r>
          </w:p>
        </w:tc>
        <w:tc>
          <w:tcPr>
            <w:tcW w:w="187" w:type="pct"/>
            <w:shd w:val="clear" w:color="auto" w:fill="auto"/>
            <w:vAlign w:val="center"/>
          </w:tcPr>
          <w:p w14:paraId="7BB3F4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2403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CFE9EA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B9707E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49DCF10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3529947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未对大型、关键容器（如液化气球罐等）中的腐蚀性介质含量进行监控，未定期分析（如H2S含量是否超标）。</w:t>
            </w:r>
          </w:p>
        </w:tc>
        <w:tc>
          <w:tcPr>
            <w:tcW w:w="1615" w:type="pct"/>
            <w:shd w:val="clear" w:color="auto" w:fill="auto"/>
            <w:vAlign w:val="center"/>
          </w:tcPr>
          <w:p w14:paraId="0DD3E77A">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《危险化学品企业安全风险隐患排查治理导则》 附件 表5（二）6 </w:t>
            </w:r>
          </w:p>
        </w:tc>
        <w:tc>
          <w:tcPr>
            <w:tcW w:w="187" w:type="pct"/>
            <w:shd w:val="clear" w:color="auto" w:fill="auto"/>
            <w:vAlign w:val="center"/>
          </w:tcPr>
          <w:p w14:paraId="5211554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5D2E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2C36C7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097576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28375CD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6BD1B53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在涉及易燃、易爆、有毒介质设备和管线的排放口、采样口等排放部位，未通过加装盲板、丝堵、管帽、双阀等措施，减少泄漏的可能性。</w:t>
            </w:r>
          </w:p>
        </w:tc>
        <w:tc>
          <w:tcPr>
            <w:tcW w:w="1615" w:type="pct"/>
            <w:shd w:val="clear" w:color="auto" w:fill="auto"/>
            <w:vAlign w:val="center"/>
          </w:tcPr>
          <w:p w14:paraId="7B16C59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《国家安全监管总局关于加强化工企业泄漏管理的指导意见》（安监总管三〔2014〕94号） 第五条</w:t>
            </w:r>
          </w:p>
        </w:tc>
        <w:tc>
          <w:tcPr>
            <w:tcW w:w="187" w:type="pct"/>
            <w:shd w:val="clear" w:color="auto" w:fill="auto"/>
            <w:vAlign w:val="center"/>
          </w:tcPr>
          <w:p w14:paraId="080182E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525A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9D94DC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29B22E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2DAEB36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1A88D9A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定期对涉及液态烃、高温油等泄漏后果严重的部位(如管道、设备、机泵等动、静密封点)进行泄漏检测，未对泄漏部位及时维修或更换。</w:t>
            </w:r>
          </w:p>
        </w:tc>
        <w:tc>
          <w:tcPr>
            <w:tcW w:w="1615" w:type="pct"/>
            <w:shd w:val="clear" w:color="auto" w:fill="auto"/>
            <w:vAlign w:val="center"/>
          </w:tcPr>
          <w:p w14:paraId="49FA9AEE">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《国家安全监管总局关于加强化工企业泄漏管理的指导意见》（安监总管三〔2014〕94号） 第十条</w:t>
            </w:r>
          </w:p>
        </w:tc>
        <w:tc>
          <w:tcPr>
            <w:tcW w:w="187" w:type="pct"/>
            <w:shd w:val="clear" w:color="auto" w:fill="auto"/>
            <w:vAlign w:val="center"/>
          </w:tcPr>
          <w:p w14:paraId="259128B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9066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30D877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2D6A64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2D817FA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7178D8E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在开停工、检修过程中，可能有可燃液体泄漏、漫流的设备区周围未设置不低于150mm的围堰和导液设施。</w:t>
            </w:r>
          </w:p>
        </w:tc>
        <w:tc>
          <w:tcPr>
            <w:tcW w:w="1615" w:type="pct"/>
            <w:shd w:val="clear" w:color="auto" w:fill="auto"/>
            <w:vAlign w:val="center"/>
          </w:tcPr>
          <w:p w14:paraId="525EF4D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第5.2.28条</w:t>
            </w:r>
          </w:p>
        </w:tc>
        <w:tc>
          <w:tcPr>
            <w:tcW w:w="187" w:type="pct"/>
            <w:shd w:val="clear" w:color="auto" w:fill="auto"/>
            <w:vAlign w:val="center"/>
          </w:tcPr>
          <w:p w14:paraId="451950B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345F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10230E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3CF7A0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5AE36EC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22B1CE0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有可燃液体设备的多层建筑物或构筑物的楼板，未采取防止可燃液体泄漏至下层的措施。</w:t>
            </w:r>
          </w:p>
        </w:tc>
        <w:tc>
          <w:tcPr>
            <w:tcW w:w="1615" w:type="pct"/>
            <w:shd w:val="clear" w:color="auto" w:fill="auto"/>
            <w:vAlign w:val="center"/>
          </w:tcPr>
          <w:p w14:paraId="6E75D30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 第5.7.5条</w:t>
            </w:r>
          </w:p>
        </w:tc>
        <w:tc>
          <w:tcPr>
            <w:tcW w:w="187" w:type="pct"/>
            <w:shd w:val="clear" w:color="auto" w:fill="auto"/>
            <w:vAlign w:val="center"/>
          </w:tcPr>
          <w:p w14:paraId="6C7C1C7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8BEF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DC6DF3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1AD90C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19E5BC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041816A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承压部位的连接件螺栓配备未齐全、紧固不到位。</w:t>
            </w:r>
          </w:p>
        </w:tc>
        <w:tc>
          <w:tcPr>
            <w:tcW w:w="1615" w:type="pct"/>
            <w:shd w:val="clear" w:color="auto" w:fill="auto"/>
            <w:vAlign w:val="center"/>
          </w:tcPr>
          <w:p w14:paraId="7B25567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《危险化学品企业安全风险隐患排查治理导则》 附件 表5（二）11 </w:t>
            </w:r>
          </w:p>
        </w:tc>
        <w:tc>
          <w:tcPr>
            <w:tcW w:w="187" w:type="pct"/>
            <w:shd w:val="clear" w:color="auto" w:fill="auto"/>
            <w:vAlign w:val="center"/>
          </w:tcPr>
          <w:p w14:paraId="6A5DE00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5C33F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5120B4B">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71486D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66D177B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操作行为类</w:t>
            </w:r>
          </w:p>
        </w:tc>
        <w:tc>
          <w:tcPr>
            <w:tcW w:w="1859" w:type="pct"/>
            <w:shd w:val="clear" w:color="auto" w:fill="auto"/>
            <w:vAlign w:val="center"/>
          </w:tcPr>
          <w:p w14:paraId="34F325D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临时用电未经有关主管部门审查批准，未有专人负责管理，限期拆除。</w:t>
            </w:r>
          </w:p>
        </w:tc>
        <w:tc>
          <w:tcPr>
            <w:tcW w:w="1615" w:type="pct"/>
            <w:shd w:val="clear" w:color="auto" w:fill="auto"/>
            <w:vAlign w:val="center"/>
          </w:tcPr>
          <w:p w14:paraId="47015F9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w:t>
            </w:r>
          </w:p>
        </w:tc>
        <w:tc>
          <w:tcPr>
            <w:tcW w:w="187" w:type="pct"/>
            <w:shd w:val="clear" w:color="auto" w:fill="auto"/>
            <w:vAlign w:val="center"/>
          </w:tcPr>
          <w:p w14:paraId="67EEDC6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0C86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1B2F56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714DC1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5BAC2EF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个体防护用品使用类</w:t>
            </w:r>
          </w:p>
        </w:tc>
        <w:tc>
          <w:tcPr>
            <w:tcW w:w="1859" w:type="pct"/>
            <w:shd w:val="clear" w:color="auto" w:fill="auto"/>
            <w:vAlign w:val="center"/>
          </w:tcPr>
          <w:p w14:paraId="196AA3B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进入爆炸性气体环境或有毒气体环境的现场工作人员，未配备便携式可燃气体和（或）有毒气体探测器。进入的环境同时存在爆炸性气体和有毒气体时，便携式可燃气体和有毒气体探测器未采用多传感器类型。</w:t>
            </w:r>
          </w:p>
        </w:tc>
        <w:tc>
          <w:tcPr>
            <w:tcW w:w="1615" w:type="pct"/>
            <w:shd w:val="clear" w:color="auto" w:fill="auto"/>
            <w:vAlign w:val="center"/>
          </w:tcPr>
          <w:p w14:paraId="6523D8C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《石油化工可燃气体和有毒气体检测报警设计标准》（GB/T 50493-2019）第3.0.7条</w:t>
            </w:r>
          </w:p>
        </w:tc>
        <w:tc>
          <w:tcPr>
            <w:tcW w:w="187" w:type="pct"/>
            <w:shd w:val="clear" w:color="auto" w:fill="auto"/>
            <w:vAlign w:val="center"/>
          </w:tcPr>
          <w:p w14:paraId="4809080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52F8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8177FD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090943B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4ECF195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个体防护用品使用类</w:t>
            </w:r>
          </w:p>
        </w:tc>
        <w:tc>
          <w:tcPr>
            <w:tcW w:w="1859" w:type="pct"/>
            <w:shd w:val="clear" w:color="auto" w:fill="auto"/>
            <w:vAlign w:val="center"/>
          </w:tcPr>
          <w:p w14:paraId="0AEAB22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未根据本单位作业场所和工作岗位的危险有害因素，配备及使用必要的个人防护用品，并进行经常性维护、保养；并未监督、教育从业人员按照使用规则佩戴、使用。</w:t>
            </w:r>
          </w:p>
        </w:tc>
        <w:tc>
          <w:tcPr>
            <w:tcW w:w="1615" w:type="pct"/>
            <w:shd w:val="clear" w:color="auto" w:fill="auto"/>
            <w:vAlign w:val="center"/>
          </w:tcPr>
          <w:p w14:paraId="2C6D0F9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《中华人民共和国安全生产法》第四十二条；《关于加强化工过程安全管理的指导意见》（安监总管三〔2013〕88号） 第十二条 </w:t>
            </w:r>
          </w:p>
        </w:tc>
        <w:tc>
          <w:tcPr>
            <w:tcW w:w="187" w:type="pct"/>
            <w:shd w:val="clear" w:color="auto" w:fill="auto"/>
            <w:vAlign w:val="center"/>
          </w:tcPr>
          <w:p w14:paraId="2389387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0B6D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9D376C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504281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人员类</w:t>
            </w:r>
          </w:p>
        </w:tc>
        <w:tc>
          <w:tcPr>
            <w:tcW w:w="384" w:type="pct"/>
            <w:shd w:val="clear" w:color="000000" w:fill="FFFFFF"/>
            <w:vAlign w:val="center"/>
          </w:tcPr>
          <w:p w14:paraId="0A104BD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个体防护用品使用类</w:t>
            </w:r>
          </w:p>
        </w:tc>
        <w:tc>
          <w:tcPr>
            <w:tcW w:w="1859" w:type="pct"/>
            <w:shd w:val="clear" w:color="auto" w:fill="auto"/>
            <w:vAlign w:val="center"/>
          </w:tcPr>
          <w:p w14:paraId="3D102C6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进入特殊作业、危险作业现场的人员未正确佩戴便携检测仪器和使用满足GB 39800.1要求的个体防护装备。</w:t>
            </w:r>
          </w:p>
        </w:tc>
        <w:tc>
          <w:tcPr>
            <w:tcW w:w="1615" w:type="pct"/>
            <w:shd w:val="clear" w:color="auto" w:fill="auto"/>
            <w:vAlign w:val="center"/>
          </w:tcPr>
          <w:p w14:paraId="67220CB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4.3条</w:t>
            </w:r>
          </w:p>
        </w:tc>
        <w:tc>
          <w:tcPr>
            <w:tcW w:w="187" w:type="pct"/>
            <w:shd w:val="clear" w:color="auto" w:fill="auto"/>
            <w:vAlign w:val="center"/>
          </w:tcPr>
          <w:p w14:paraId="1864019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C11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5FDD5D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D30CEE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79FA768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4E9F192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有爆炸危险的生产区域、设备、储罐、仓库和装卸设施未远离生活、办公区，未布置在全年最小风频的上风向。</w:t>
            </w:r>
          </w:p>
        </w:tc>
        <w:tc>
          <w:tcPr>
            <w:tcW w:w="1615" w:type="pct"/>
            <w:shd w:val="clear" w:color="auto" w:fill="auto"/>
            <w:vAlign w:val="center"/>
          </w:tcPr>
          <w:p w14:paraId="569272A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《建筑设计防火规范（2018版）》（GB50016-2014）； 《石油化工企业设计防火标准（2018版）》（GB 50160-2008）</w:t>
            </w:r>
          </w:p>
        </w:tc>
        <w:tc>
          <w:tcPr>
            <w:tcW w:w="187" w:type="pct"/>
            <w:shd w:val="clear" w:color="auto" w:fill="auto"/>
            <w:vAlign w:val="center"/>
          </w:tcPr>
          <w:p w14:paraId="3F6901B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C717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60D7C63">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D4B80C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01ACCE9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496A15F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甲、乙类生产场所设置在地下或半地下。 </w:t>
            </w:r>
          </w:p>
        </w:tc>
        <w:tc>
          <w:tcPr>
            <w:tcW w:w="1615" w:type="pct"/>
            <w:shd w:val="clear" w:color="auto" w:fill="auto"/>
            <w:vAlign w:val="center"/>
          </w:tcPr>
          <w:p w14:paraId="4DE6F72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《建筑设计防火规范（2018版）》（GB50016-2014）；《石油化工企业设计防火标准（2018版）》（GB 50160-2008）</w:t>
            </w:r>
          </w:p>
        </w:tc>
        <w:tc>
          <w:tcPr>
            <w:tcW w:w="187" w:type="pct"/>
            <w:shd w:val="clear" w:color="auto" w:fill="auto"/>
            <w:vAlign w:val="center"/>
          </w:tcPr>
          <w:p w14:paraId="536602C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D37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DC89B2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EF1CF3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13A6443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7389C46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有爆炸危险的甲、乙类厂房的总控制室未独立设置。</w:t>
            </w:r>
          </w:p>
        </w:tc>
        <w:tc>
          <w:tcPr>
            <w:tcW w:w="1615" w:type="pct"/>
            <w:shd w:val="clear" w:color="auto" w:fill="auto"/>
            <w:vAlign w:val="center"/>
          </w:tcPr>
          <w:p w14:paraId="674F89E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《危险化学品企业特殊作业安全规范》（GB30871-2022) 4.3条</w:t>
            </w:r>
          </w:p>
        </w:tc>
        <w:tc>
          <w:tcPr>
            <w:tcW w:w="187" w:type="pct"/>
            <w:shd w:val="clear" w:color="auto" w:fill="auto"/>
            <w:vAlign w:val="center"/>
          </w:tcPr>
          <w:p w14:paraId="521F4F4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3633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E2E22D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652C350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7023C65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6AD3E90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危险化学品储存场所设置在地下或半地下建、构筑物内；危险化学品储存场所内设置员工宿舍或休息室；办公室、休息室等设置在甲、乙类仓库内，或贴邻设置。</w:t>
            </w:r>
          </w:p>
        </w:tc>
        <w:tc>
          <w:tcPr>
            <w:tcW w:w="1615" w:type="pct"/>
            <w:shd w:val="clear" w:color="auto" w:fill="auto"/>
            <w:vAlign w:val="center"/>
          </w:tcPr>
          <w:p w14:paraId="7765531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《建筑设计防火规范（2018年版）》（GB 50016-2014）；《石油化工企业设计防火标准（2018版）》（GB 50160-2008）</w:t>
            </w:r>
          </w:p>
        </w:tc>
        <w:tc>
          <w:tcPr>
            <w:tcW w:w="187" w:type="pct"/>
            <w:shd w:val="clear" w:color="auto" w:fill="auto"/>
            <w:vAlign w:val="center"/>
          </w:tcPr>
          <w:p w14:paraId="0B8C6DF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73FD5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F36899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3E75D5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0E198BD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5A8E51B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甲、乙、丙类液体储罐之间的防火间距（m）不符合国家标准的要求。</w:t>
            </w:r>
          </w:p>
        </w:tc>
        <w:tc>
          <w:tcPr>
            <w:tcW w:w="1615" w:type="pct"/>
            <w:shd w:val="clear" w:color="auto" w:fill="auto"/>
            <w:vAlign w:val="center"/>
          </w:tcPr>
          <w:p w14:paraId="5904DCE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《建筑设计防火规范（2018年版）》（GB 50016-2014）；《石油化工企业设计防火标准（2018版）》（GB 50160-2008）</w:t>
            </w:r>
          </w:p>
        </w:tc>
        <w:tc>
          <w:tcPr>
            <w:tcW w:w="187" w:type="pct"/>
            <w:shd w:val="clear" w:color="auto" w:fill="auto"/>
            <w:vAlign w:val="center"/>
          </w:tcPr>
          <w:p w14:paraId="2C439C6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BE3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86C0F2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ED4ACC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4D8484B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646C529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厂房之间及与乙、丙、丁、戊类仓库，民用建筑等的防火间距不符合国家标准的要求。</w:t>
            </w:r>
          </w:p>
        </w:tc>
        <w:tc>
          <w:tcPr>
            <w:tcW w:w="1615" w:type="pct"/>
            <w:shd w:val="clear" w:color="auto" w:fill="auto"/>
            <w:vAlign w:val="center"/>
          </w:tcPr>
          <w:p w14:paraId="5CFBE0B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《建筑设计防火规范（2018年版）》（GB 50016-2014）；《石油化工企业设计防火标准（2018版）》（GB 50160-2008）</w:t>
            </w:r>
          </w:p>
        </w:tc>
        <w:tc>
          <w:tcPr>
            <w:tcW w:w="187" w:type="pct"/>
            <w:shd w:val="clear" w:color="auto" w:fill="auto"/>
            <w:vAlign w:val="center"/>
          </w:tcPr>
          <w:p w14:paraId="67A0DB4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AE8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F1E960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572B81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24469D4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34878DC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石油化工企业与同类企业及油库的防火间距不符合规范</w:t>
            </w:r>
            <w:r>
              <w:rPr>
                <w:rFonts w:ascii="仿宋_GB2312" w:hAnsi="等线" w:eastAsia="仿宋_GB2312" w:cs="宋体"/>
                <w:color w:val="000000" w:themeColor="text1"/>
                <w:kern w:val="0"/>
                <w:sz w:val="20"/>
                <w:szCs w:val="20"/>
                <w14:textFill>
                  <w14:solidFill>
                    <w14:schemeClr w14:val="tx1"/>
                  </w14:solidFill>
                </w14:textFill>
              </w:rPr>
              <w:t>的要求。</w:t>
            </w:r>
          </w:p>
        </w:tc>
        <w:tc>
          <w:tcPr>
            <w:tcW w:w="1615" w:type="pct"/>
            <w:shd w:val="clear" w:color="auto" w:fill="auto"/>
            <w:vAlign w:val="center"/>
          </w:tcPr>
          <w:p w14:paraId="5058271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GB 50160-2008《石油化工企业设计防火标准（2018年版）》</w:t>
            </w:r>
          </w:p>
        </w:tc>
        <w:tc>
          <w:tcPr>
            <w:tcW w:w="187" w:type="pct"/>
            <w:shd w:val="clear" w:color="auto" w:fill="auto"/>
            <w:vAlign w:val="center"/>
          </w:tcPr>
          <w:p w14:paraId="719CF40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64BD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66EF96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65D8A13">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531D85F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7BF5CE4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氧气站火灾危险性为乙类的建筑物及氧气贮罐与其他各类建筑物、构筑物之间的防火间</w:t>
            </w:r>
            <w:r>
              <w:rPr>
                <w:rFonts w:hint="eastAsia" w:ascii="仿宋_GB2312" w:hAnsi="等线" w:eastAsia="仿宋_GB2312" w:cs="宋体"/>
                <w:color w:val="000000" w:themeColor="text1"/>
                <w:kern w:val="0"/>
                <w:sz w:val="20"/>
                <w:szCs w:val="20"/>
                <w14:textFill>
                  <w14:solidFill>
                    <w14:schemeClr w14:val="tx1"/>
                  </w14:solidFill>
                </w14:textFill>
              </w:rPr>
              <w:t>距不符合国家标准</w:t>
            </w:r>
            <w:r>
              <w:rPr>
                <w:rFonts w:ascii="仿宋_GB2312" w:hAnsi="等线" w:eastAsia="仿宋_GB2312" w:cs="宋体"/>
                <w:color w:val="000000" w:themeColor="text1"/>
                <w:kern w:val="0"/>
                <w:sz w:val="20"/>
                <w:szCs w:val="20"/>
                <w14:textFill>
                  <w14:solidFill>
                    <w14:schemeClr w14:val="tx1"/>
                  </w14:solidFill>
                </w14:textFill>
              </w:rPr>
              <w:t>的要求。</w:t>
            </w:r>
          </w:p>
        </w:tc>
        <w:tc>
          <w:tcPr>
            <w:tcW w:w="1615" w:type="pct"/>
            <w:shd w:val="clear" w:color="auto" w:fill="auto"/>
            <w:vAlign w:val="center"/>
          </w:tcPr>
          <w:p w14:paraId="0B7F18D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《氧气站设计规范》（</w:t>
            </w:r>
            <w:r>
              <w:rPr>
                <w:rFonts w:ascii="仿宋_GB2312" w:hAnsi="等线" w:eastAsia="仿宋_GB2312" w:cs="宋体"/>
                <w:color w:val="000000" w:themeColor="text1"/>
                <w:kern w:val="0"/>
                <w:sz w:val="20"/>
                <w:szCs w:val="20"/>
                <w14:textFill>
                  <w14:solidFill>
                    <w14:schemeClr w14:val="tx1"/>
                  </w14:solidFill>
                </w14:textFill>
              </w:rPr>
              <w:t>GB50030-2013）</w:t>
            </w:r>
          </w:p>
        </w:tc>
        <w:tc>
          <w:tcPr>
            <w:tcW w:w="187" w:type="pct"/>
            <w:shd w:val="clear" w:color="auto" w:fill="auto"/>
            <w:vAlign w:val="center"/>
          </w:tcPr>
          <w:p w14:paraId="4CB9E19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14C6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36805A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7244F83">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32C5231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01942EC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甲类仓库之间及与其他建筑、明火或散发火花地点、铁路、道路等的防火间</w:t>
            </w:r>
            <w:r>
              <w:rPr>
                <w:rFonts w:hint="eastAsia" w:ascii="仿宋_GB2312" w:hAnsi="等线" w:eastAsia="仿宋_GB2312" w:cs="宋体"/>
                <w:color w:val="000000" w:themeColor="text1"/>
                <w:kern w:val="0"/>
                <w:sz w:val="20"/>
                <w:szCs w:val="20"/>
                <w14:textFill>
                  <w14:solidFill>
                    <w14:schemeClr w14:val="tx1"/>
                  </w14:solidFill>
                </w14:textFill>
              </w:rPr>
              <w:t>距不符合国家标准的要求。</w:t>
            </w:r>
          </w:p>
        </w:tc>
        <w:tc>
          <w:tcPr>
            <w:tcW w:w="1615" w:type="pct"/>
            <w:shd w:val="clear" w:color="auto" w:fill="auto"/>
            <w:vAlign w:val="center"/>
          </w:tcPr>
          <w:p w14:paraId="4CA921A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《建筑设计防火规范（2018版）》（GB50016-2014）；《石油化工企业设计防火标准（2018版）》（GB 50160-2008）</w:t>
            </w:r>
          </w:p>
        </w:tc>
        <w:tc>
          <w:tcPr>
            <w:tcW w:w="187" w:type="pct"/>
            <w:shd w:val="clear" w:color="auto" w:fill="auto"/>
            <w:vAlign w:val="center"/>
          </w:tcPr>
          <w:p w14:paraId="1FAF8B6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EB2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2CD0AE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E0905AC">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7633813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周边环境类</w:t>
            </w:r>
          </w:p>
        </w:tc>
        <w:tc>
          <w:tcPr>
            <w:tcW w:w="1859" w:type="pct"/>
            <w:shd w:val="clear" w:color="auto" w:fill="auto"/>
            <w:vAlign w:val="center"/>
          </w:tcPr>
          <w:p w14:paraId="288D0B1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乙、丙、丁、戊类仓库之间及与民用建筑的防火间</w:t>
            </w:r>
            <w:r>
              <w:rPr>
                <w:rFonts w:hint="eastAsia" w:ascii="仿宋_GB2312" w:hAnsi="等线" w:eastAsia="仿宋_GB2312" w:cs="宋体"/>
                <w:color w:val="000000" w:themeColor="text1"/>
                <w:kern w:val="0"/>
                <w:sz w:val="20"/>
                <w:szCs w:val="20"/>
                <w14:textFill>
                  <w14:solidFill>
                    <w14:schemeClr w14:val="tx1"/>
                  </w14:solidFill>
                </w14:textFill>
              </w:rPr>
              <w:t>距不符合国家标准的要求。</w:t>
            </w:r>
          </w:p>
        </w:tc>
        <w:tc>
          <w:tcPr>
            <w:tcW w:w="1615" w:type="pct"/>
            <w:shd w:val="clear" w:color="auto" w:fill="auto"/>
            <w:vAlign w:val="center"/>
          </w:tcPr>
          <w:p w14:paraId="089375C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《建筑设计防火规范（2018版）》（GB50016-2014）；《石油化工企业设计防火标准（2018版）》（GB 50160-2008）</w:t>
            </w:r>
          </w:p>
        </w:tc>
        <w:tc>
          <w:tcPr>
            <w:tcW w:w="187" w:type="pct"/>
            <w:shd w:val="clear" w:color="auto" w:fill="auto"/>
            <w:vAlign w:val="center"/>
          </w:tcPr>
          <w:p w14:paraId="2FA7908A">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EF59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E967F3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02B2690">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33E34ED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1FBCB4A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甲、乙、丙类液体储罐（区）和乙、丙类液体桶装堆场与其他建筑的防火间</w:t>
            </w:r>
            <w:r>
              <w:rPr>
                <w:rFonts w:hint="eastAsia" w:ascii="仿宋_GB2312" w:hAnsi="等线" w:eastAsia="仿宋_GB2312" w:cs="宋体"/>
                <w:color w:val="000000" w:themeColor="text1"/>
                <w:kern w:val="0"/>
                <w:sz w:val="20"/>
                <w:szCs w:val="20"/>
                <w14:textFill>
                  <w14:solidFill>
                    <w14:schemeClr w14:val="tx1"/>
                  </w14:solidFill>
                </w14:textFill>
              </w:rPr>
              <w:t>距不符合国家标准的要求。</w:t>
            </w:r>
          </w:p>
        </w:tc>
        <w:tc>
          <w:tcPr>
            <w:tcW w:w="1615" w:type="pct"/>
            <w:shd w:val="clear" w:color="auto" w:fill="auto"/>
            <w:vAlign w:val="center"/>
          </w:tcPr>
          <w:p w14:paraId="03B4B4B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6D1B1AB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0D62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576680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A52C016">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618ECE2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15C4335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甲、乙、丙类液体储罐与其泵房、装卸鹤管的防火间距（m）不符合国家标准的要求。</w:t>
            </w:r>
          </w:p>
        </w:tc>
        <w:tc>
          <w:tcPr>
            <w:tcW w:w="1615" w:type="pct"/>
            <w:shd w:val="clear" w:color="auto" w:fill="auto"/>
            <w:vAlign w:val="center"/>
          </w:tcPr>
          <w:p w14:paraId="1007A24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2FCA03F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6AA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422433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C27F842">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1E6BA4F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6614402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甲、乙、丙类液体装卸鹤管与建筑物、厂内铁路线的防火间距（m）不符合国家标准的要求。</w:t>
            </w:r>
          </w:p>
        </w:tc>
        <w:tc>
          <w:tcPr>
            <w:tcW w:w="1615" w:type="pct"/>
            <w:shd w:val="clear" w:color="auto" w:fill="auto"/>
            <w:vAlign w:val="center"/>
          </w:tcPr>
          <w:p w14:paraId="6ADC62F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6AB01DE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0505E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20D78F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7666F6D">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027FECE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25A1EDB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甲、乙、丙类液体储罐与铁路、道路的防火间距（m）不符合国家标准的要求。</w:t>
            </w:r>
          </w:p>
        </w:tc>
        <w:tc>
          <w:tcPr>
            <w:tcW w:w="1615" w:type="pct"/>
            <w:shd w:val="clear" w:color="auto" w:fill="auto"/>
            <w:vAlign w:val="center"/>
          </w:tcPr>
          <w:p w14:paraId="75F05F2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66422AE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05FE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5EC16A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203EDCE">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1A08BC2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21E405F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湿式可燃气体储罐与建筑物、储罐、堆场等的防火间距（m）不符合国家标准的要求。</w:t>
            </w:r>
          </w:p>
        </w:tc>
        <w:tc>
          <w:tcPr>
            <w:tcW w:w="1615" w:type="pct"/>
            <w:shd w:val="clear" w:color="auto" w:fill="auto"/>
            <w:vAlign w:val="center"/>
          </w:tcPr>
          <w:p w14:paraId="0029E83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1CD0329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68266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E7C5B8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2504CFB">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4F6CB18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292CFAE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可燃气体储罐（区）之间的防火间距不符合下列规定：</w:t>
            </w:r>
          </w:p>
          <w:p w14:paraId="68DB1A2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1湿式可燃气体储罐或干式可燃气体储罐之间及湿式与干式可燃气体储罐的防火间距，不应小于相邻较大罐直径的1/2；</w:t>
            </w:r>
          </w:p>
          <w:p w14:paraId="1B6F3EA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2固定容积的可燃气体储罐之间的防火间距不应小于相邻较大罐直径的2/3；</w:t>
            </w:r>
          </w:p>
          <w:p w14:paraId="13F91E2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3固定容积的可燃气体储罐与湿式或干式可燃气体槠罐的防火间距，不应小于相邻较大罐直径的1/2；</w:t>
            </w:r>
          </w:p>
          <w:p w14:paraId="048F9A8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4数个固定容积的可燃气体储罐的总容轵大于200000m</w:t>
            </w:r>
            <w:r>
              <w:rPr>
                <w:rFonts w:ascii="仿宋_GB2312" w:hAnsi="等线" w:eastAsia="仿宋_GB2312" w:cs="宋体"/>
                <w:color w:val="000000" w:themeColor="text1"/>
                <w:kern w:val="0"/>
                <w:sz w:val="20"/>
                <w:szCs w:val="20"/>
                <w:vertAlign w:val="superscript"/>
                <w14:textFill>
                  <w14:solidFill>
                    <w14:schemeClr w14:val="tx1"/>
                  </w14:solidFill>
                </w14:textFill>
              </w:rPr>
              <w:t>3</w:t>
            </w:r>
            <w:r>
              <w:rPr>
                <w:rFonts w:ascii="仿宋_GB2312" w:hAnsi="等线" w:eastAsia="仿宋_GB2312" w:cs="宋体"/>
                <w:color w:val="000000" w:themeColor="text1"/>
                <w:kern w:val="0"/>
                <w:sz w:val="20"/>
                <w:szCs w:val="20"/>
                <w14:textFill>
                  <w14:solidFill>
                    <w14:schemeClr w14:val="tx1"/>
                  </w14:solidFill>
                </w14:textFill>
              </w:rPr>
              <w:t>时，应分组布置。卧式储罐组之间的防火间距不应小于相邻较大罐长度的一半；球形储罐组之间的防火间距不应小于相邻较大罐直径，且不应小于20m。</w:t>
            </w:r>
          </w:p>
        </w:tc>
        <w:tc>
          <w:tcPr>
            <w:tcW w:w="1615" w:type="pct"/>
            <w:shd w:val="clear" w:color="auto" w:fill="auto"/>
            <w:vAlign w:val="center"/>
          </w:tcPr>
          <w:p w14:paraId="1D8518B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5D0B22D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E855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6E8C06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5531B073">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4F3187D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14B734A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湿式氧气储罐与建筑物、储罐、堆场等的防火间距（m）不符合国家标准的要求。</w:t>
            </w:r>
          </w:p>
        </w:tc>
        <w:tc>
          <w:tcPr>
            <w:tcW w:w="1615" w:type="pct"/>
            <w:shd w:val="clear" w:color="auto" w:fill="auto"/>
            <w:vAlign w:val="center"/>
          </w:tcPr>
          <w:p w14:paraId="061FA83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3A12D78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46576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ED361E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6C6A87D">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1B011DD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0E3D1BF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可燃、助燃气体储罐与铁路、道路的防火间距（</w:t>
            </w:r>
            <w:r>
              <w:rPr>
                <w:rFonts w:ascii="仿宋_GB2312" w:hAnsi="等线" w:eastAsia="仿宋_GB2312" w:cs="宋体"/>
                <w:color w:val="000000" w:themeColor="text1"/>
                <w:kern w:val="0"/>
                <w:sz w:val="20"/>
                <w:szCs w:val="20"/>
                <w14:textFill>
                  <w14:solidFill>
                    <w14:schemeClr w14:val="tx1"/>
                  </w14:solidFill>
                </w14:textFill>
              </w:rPr>
              <w:t>m）</w:t>
            </w:r>
            <w:r>
              <w:rPr>
                <w:rFonts w:hint="eastAsia" w:ascii="仿宋_GB2312" w:hAnsi="等线" w:eastAsia="仿宋_GB2312" w:cs="宋体"/>
                <w:color w:val="000000" w:themeColor="text1"/>
                <w:kern w:val="0"/>
                <w:sz w:val="20"/>
                <w:szCs w:val="20"/>
                <w14:textFill>
                  <w14:solidFill>
                    <w14:schemeClr w14:val="tx1"/>
                  </w14:solidFill>
                </w14:textFill>
              </w:rPr>
              <w:t>不符合国家标准的要求。</w:t>
            </w:r>
          </w:p>
        </w:tc>
        <w:tc>
          <w:tcPr>
            <w:tcW w:w="1615" w:type="pct"/>
            <w:shd w:val="clear" w:color="auto" w:fill="auto"/>
            <w:vAlign w:val="center"/>
          </w:tcPr>
          <w:p w14:paraId="3EF7ECD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3F0FF96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17ACC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DEF811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38C76B58">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2866F23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0632C25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污水处理场内的设备、建</w:t>
            </w:r>
            <w:r>
              <w:rPr>
                <w:rFonts w:ascii="仿宋_GB2312" w:hAnsi="等线" w:eastAsia="仿宋_GB2312" w:cs="宋体"/>
                <w:color w:val="000000" w:themeColor="text1"/>
                <w:kern w:val="0"/>
                <w:sz w:val="20"/>
                <w:szCs w:val="20"/>
                <w14:textFill>
                  <w14:solidFill>
                    <w14:schemeClr w14:val="tx1"/>
                  </w14:solidFill>
                </w14:textFill>
              </w:rPr>
              <w:t>(构)筑物平面布置防火间距不应小于《石油化工企业设计防火标准（2018年版）》（GB 50160-2008）表5.4.3的规定。</w:t>
            </w:r>
          </w:p>
        </w:tc>
        <w:tc>
          <w:tcPr>
            <w:tcW w:w="1615" w:type="pct"/>
            <w:shd w:val="clear" w:color="auto" w:fill="auto"/>
            <w:vAlign w:val="center"/>
          </w:tcPr>
          <w:p w14:paraId="42CBDEE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 50160-2008）第5.4.3条</w:t>
            </w:r>
          </w:p>
        </w:tc>
        <w:tc>
          <w:tcPr>
            <w:tcW w:w="187" w:type="pct"/>
            <w:shd w:val="clear" w:color="auto" w:fill="auto"/>
            <w:vAlign w:val="center"/>
          </w:tcPr>
          <w:p w14:paraId="5ADF408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889C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9CCEAE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0E3AE3CF">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5BB07A8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50429EB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危险化学品生产企业的个人、社会可接受风险和外部安全防护距离不满足《危险化学品生产装置和储存设施风险基准》（</w:t>
            </w:r>
            <w:r>
              <w:rPr>
                <w:rFonts w:ascii="仿宋_GB2312" w:hAnsi="等线" w:eastAsia="仿宋_GB2312" w:cs="宋体"/>
                <w:color w:val="000000" w:themeColor="text1"/>
                <w:kern w:val="0"/>
                <w:sz w:val="20"/>
                <w:szCs w:val="20"/>
                <w14:textFill>
                  <w14:solidFill>
                    <w14:schemeClr w14:val="tx1"/>
                  </w14:solidFill>
                </w14:textFill>
              </w:rPr>
              <w:t>GB36894-2018）、《危险化学品生产装置和储存设施外部安全防护距离确定方法》（GB/T37243-2019）等</w:t>
            </w:r>
            <w:r>
              <w:rPr>
                <w:rFonts w:hint="eastAsia" w:ascii="仿宋_GB2312" w:hAnsi="等线" w:eastAsia="仿宋_GB2312" w:cs="宋体"/>
                <w:color w:val="000000" w:themeColor="text1"/>
                <w:kern w:val="0"/>
                <w:sz w:val="20"/>
                <w:szCs w:val="20"/>
                <w14:textFill>
                  <w14:solidFill>
                    <w14:schemeClr w14:val="tx1"/>
                  </w14:solidFill>
                </w14:textFill>
              </w:rPr>
              <w:t>国家标准</w:t>
            </w:r>
            <w:r>
              <w:rPr>
                <w:rFonts w:ascii="仿宋_GB2312" w:hAnsi="等线" w:eastAsia="仿宋_GB2312" w:cs="宋体"/>
                <w:color w:val="000000" w:themeColor="text1"/>
                <w:kern w:val="0"/>
                <w:sz w:val="20"/>
                <w:szCs w:val="20"/>
                <w14:textFill>
                  <w14:solidFill>
                    <w14:schemeClr w14:val="tx1"/>
                  </w14:solidFill>
                </w14:textFill>
              </w:rPr>
              <w:t>的要求</w:t>
            </w:r>
            <w:r>
              <w:rPr>
                <w:rFonts w:hint="eastAsia" w:ascii="仿宋_GB2312" w:hAnsi="等线" w:eastAsia="仿宋_GB2312" w:cs="宋体"/>
                <w:color w:val="000000" w:themeColor="text1"/>
                <w:kern w:val="0"/>
                <w:sz w:val="20"/>
                <w:szCs w:val="20"/>
                <w14:textFill>
                  <w14:solidFill>
                    <w14:schemeClr w14:val="tx1"/>
                  </w14:solidFill>
                </w14:textFill>
              </w:rPr>
              <w:t>。</w:t>
            </w:r>
          </w:p>
        </w:tc>
        <w:tc>
          <w:tcPr>
            <w:tcW w:w="1615" w:type="pct"/>
            <w:shd w:val="clear" w:color="auto" w:fill="auto"/>
            <w:vAlign w:val="center"/>
          </w:tcPr>
          <w:p w14:paraId="3232BC3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1BD80F1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9F2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EF6FA37">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2609943F">
            <w:pPr>
              <w:jc w:val="center"/>
              <w:rPr>
                <w:color w:val="000000" w:themeColor="text1"/>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12EA4C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17A5080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液化烃罐组或可燃液体罐组毗邻布置在高于工艺装置、全厂性重要设施或人员集中场所的阶梯上。但受条件限制或有工艺要求时，可燃液体原料储罐毗邻布置在高于工艺装置的阶梯上，但未采取防止泄漏的可燃液体流入工艺装置、全厂性重要设施或人员集中场所的措施。</w:t>
            </w:r>
          </w:p>
        </w:tc>
        <w:tc>
          <w:tcPr>
            <w:tcW w:w="1615" w:type="pct"/>
            <w:shd w:val="clear" w:color="auto" w:fill="auto"/>
            <w:vAlign w:val="center"/>
          </w:tcPr>
          <w:p w14:paraId="6BAD3D3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 50160-2008）第4.2.3条</w:t>
            </w:r>
          </w:p>
        </w:tc>
        <w:tc>
          <w:tcPr>
            <w:tcW w:w="187" w:type="pct"/>
            <w:shd w:val="clear" w:color="auto" w:fill="auto"/>
            <w:vAlign w:val="center"/>
          </w:tcPr>
          <w:p w14:paraId="26180BD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5461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BDDE629">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5B9E21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6D4D9ED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7E0CD48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易燃、可燃液体及可燃气体罐区罐组总容、罐组布置、罐组内储罐数量及布置，防火堤及隔堤未符合GB50183、GB 50160及GB50074等国家标准要求。</w:t>
            </w:r>
          </w:p>
        </w:tc>
        <w:tc>
          <w:tcPr>
            <w:tcW w:w="1615" w:type="pct"/>
            <w:shd w:val="clear" w:color="auto" w:fill="auto"/>
            <w:vAlign w:val="center"/>
          </w:tcPr>
          <w:p w14:paraId="1ED3A26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《石油化工企业设计防火标准（2018版）》（GB 50160-2008） 第4.1条</w:t>
            </w:r>
          </w:p>
          <w:p w14:paraId="20761CF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《石油库设计规范》（GB 50074-2014）  第5.1条</w:t>
            </w:r>
          </w:p>
          <w:p w14:paraId="4E439ED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《石油天然气工程设计防火规范》（GB 50183-2004） 第4条</w:t>
            </w:r>
          </w:p>
        </w:tc>
        <w:tc>
          <w:tcPr>
            <w:tcW w:w="187" w:type="pct"/>
            <w:shd w:val="clear" w:color="auto" w:fill="auto"/>
            <w:vAlign w:val="center"/>
          </w:tcPr>
          <w:p w14:paraId="009C483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3E1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0022E5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7A9C194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7F12B71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74761A9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可燃、易燃液体罐区的专用泵未设在防火堤外，泵与储罐距离未符合GB 50160要求。</w:t>
            </w:r>
          </w:p>
        </w:tc>
        <w:tc>
          <w:tcPr>
            <w:tcW w:w="1615" w:type="pct"/>
            <w:shd w:val="clear" w:color="auto" w:fill="auto"/>
            <w:vAlign w:val="center"/>
          </w:tcPr>
          <w:p w14:paraId="1F1D0BAD">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第5.3.5条</w:t>
            </w:r>
          </w:p>
        </w:tc>
        <w:tc>
          <w:tcPr>
            <w:tcW w:w="187" w:type="pct"/>
            <w:shd w:val="clear" w:color="auto" w:fill="auto"/>
            <w:vAlign w:val="center"/>
          </w:tcPr>
          <w:p w14:paraId="5BD4320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D9F4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2818DF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000000" w:fill="FFFFFF"/>
            <w:vAlign w:val="center"/>
          </w:tcPr>
          <w:p w14:paraId="172C01C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7B4BCE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平面布置类</w:t>
            </w:r>
          </w:p>
        </w:tc>
        <w:tc>
          <w:tcPr>
            <w:tcW w:w="1859" w:type="pct"/>
            <w:shd w:val="clear" w:color="auto" w:fill="auto"/>
            <w:vAlign w:val="center"/>
          </w:tcPr>
          <w:p w14:paraId="0703B0C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爆炸危险性化学品的生产装置控制室、交接班室布置在装置区内，且未完成搬迁的；涉及甲乙类火灾危险性的生产装置控制室、交接班室布置在装置区内，但未按照《石油化工建筑物抗爆设计标准》（GB/T50779-2022）完成抗爆设计、建设和加固的。</w:t>
            </w:r>
          </w:p>
        </w:tc>
        <w:tc>
          <w:tcPr>
            <w:tcW w:w="1615" w:type="pct"/>
            <w:shd w:val="clear" w:color="auto" w:fill="auto"/>
            <w:vAlign w:val="center"/>
          </w:tcPr>
          <w:p w14:paraId="2F2D767F">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三十八条；《危险化学品生产企业安全生产许可证实施办法》第八条第三款，第九条第四、五款；《危险化学品企业安全风险隐患排查治理导则》附件《安全风险隐患排查表》“2设计与总图安全风险隐患排查表（二）总图布局”第七项。</w:t>
            </w:r>
          </w:p>
        </w:tc>
        <w:tc>
          <w:tcPr>
            <w:tcW w:w="187" w:type="pct"/>
            <w:shd w:val="clear" w:color="auto" w:fill="auto"/>
            <w:vAlign w:val="center"/>
          </w:tcPr>
          <w:p w14:paraId="47B8EAF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519B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084D93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16E45B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269D3A5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573E712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装置的控制室、机柜间、变配电所、化验室、办公室等与设有甲、乙A类设备的房间布置在同一建筑物内。</w:t>
            </w:r>
          </w:p>
        </w:tc>
        <w:tc>
          <w:tcPr>
            <w:tcW w:w="1615" w:type="pct"/>
            <w:shd w:val="clear" w:color="auto" w:fill="auto"/>
            <w:vAlign w:val="center"/>
          </w:tcPr>
          <w:p w14:paraId="15C1042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《危险化学品生产企业安全生产许可证实施办法》第八条第一款第三项；《石油化工企业设计防火标准》（GB 50160-2008）（2018年版）5.2.16。</w:t>
            </w:r>
          </w:p>
        </w:tc>
        <w:tc>
          <w:tcPr>
            <w:tcW w:w="187" w:type="pct"/>
            <w:shd w:val="clear" w:color="auto" w:fill="auto"/>
            <w:vAlign w:val="center"/>
          </w:tcPr>
          <w:p w14:paraId="382E99D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7EC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65BD8D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C5E4FC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7C0C9E2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7061493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办公室、休息室等贴邻甲、乙类厂房时,其耐火等级低于二级；或者未采用耐火极限不低于 3.00h 的防爆墙与厂房分隔；或者未设置独立的安全出口。</w:t>
            </w:r>
          </w:p>
        </w:tc>
        <w:tc>
          <w:tcPr>
            <w:tcW w:w="1615" w:type="pct"/>
            <w:shd w:val="clear" w:color="auto" w:fill="auto"/>
            <w:vAlign w:val="center"/>
          </w:tcPr>
          <w:p w14:paraId="2CBF27A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《建筑设计防火规范（2018版）》（GB50016-2014）；《石油化工企业设计防火标准（2018版）》（GB 50160-2008）</w:t>
            </w:r>
          </w:p>
        </w:tc>
        <w:tc>
          <w:tcPr>
            <w:tcW w:w="187" w:type="pct"/>
            <w:shd w:val="clear" w:color="auto" w:fill="auto"/>
            <w:vAlign w:val="center"/>
          </w:tcPr>
          <w:p w14:paraId="2F07D05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4B2E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6BDA08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283E1D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40EC960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7AD4302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甲类物品仓库未单独设置；当其储量小于5t时，与乙、丙类物品仓库共用一栋建筑物，但未设独立的防火分区。</w:t>
            </w:r>
          </w:p>
        </w:tc>
        <w:tc>
          <w:tcPr>
            <w:tcW w:w="1615" w:type="pct"/>
            <w:shd w:val="clear" w:color="auto" w:fill="auto"/>
            <w:vAlign w:val="center"/>
          </w:tcPr>
          <w:p w14:paraId="420B5DF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 第6.6.1条</w:t>
            </w:r>
          </w:p>
        </w:tc>
        <w:tc>
          <w:tcPr>
            <w:tcW w:w="187" w:type="pct"/>
            <w:shd w:val="clear" w:color="auto" w:fill="auto"/>
            <w:vAlign w:val="center"/>
          </w:tcPr>
          <w:p w14:paraId="2DC4F65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416F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420081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8966A8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2DB9127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6C32101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危险化学品专用仓库不是单层且独立设置的建筑。 </w:t>
            </w:r>
          </w:p>
        </w:tc>
        <w:tc>
          <w:tcPr>
            <w:tcW w:w="1615" w:type="pct"/>
            <w:shd w:val="clear" w:color="auto" w:fill="auto"/>
            <w:vAlign w:val="center"/>
          </w:tcPr>
          <w:p w14:paraId="41BB3F8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w:t>
            </w:r>
            <w:r>
              <w:rPr>
                <w:rFonts w:ascii="仿宋_GB2312" w:hAnsi="等线" w:eastAsia="仿宋_GB2312" w:cs="宋体"/>
                <w:color w:val="000000" w:themeColor="text1"/>
                <w:kern w:val="0"/>
                <w:sz w:val="20"/>
                <w:szCs w:val="20"/>
                <w14:textFill>
                  <w14:solidFill>
                    <w14:schemeClr w14:val="tx1"/>
                  </w14:solidFill>
                </w14:textFill>
              </w:rPr>
              <w:t xml:space="preserve"> </w:t>
            </w:r>
            <w:r>
              <w:rPr>
                <w:rFonts w:hint="eastAsia" w:ascii="仿宋_GB2312" w:hAnsi="等线" w:eastAsia="仿宋_GB2312" w:cs="宋体"/>
                <w:color w:val="000000" w:themeColor="text1"/>
                <w:kern w:val="0"/>
                <w:sz w:val="20"/>
                <w:szCs w:val="20"/>
                <w14:textFill>
                  <w14:solidFill>
                    <w14:schemeClr w14:val="tx1"/>
                  </w14:solidFill>
                </w14:textFill>
              </w:rPr>
              <w:t>50016-2014）；《石油化工企业设计防火标准（2018版）》（GB 50160-2008）</w:t>
            </w:r>
          </w:p>
        </w:tc>
        <w:tc>
          <w:tcPr>
            <w:tcW w:w="187" w:type="pct"/>
            <w:shd w:val="clear" w:color="auto" w:fill="auto"/>
            <w:vAlign w:val="center"/>
          </w:tcPr>
          <w:p w14:paraId="3941A18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668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9ECFC2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8F01FF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6093474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28E9073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危险化学品专用仓库的墙体未采用不燃烧材料的实体墙。危险化学品专用仓库的建筑物构架未根据危险化学品的类别和危险等级采用木结构、钢结构或装配式钢筋混凝土结构。</w:t>
            </w:r>
          </w:p>
        </w:tc>
        <w:tc>
          <w:tcPr>
            <w:tcW w:w="1615" w:type="pct"/>
            <w:shd w:val="clear" w:color="auto" w:fill="auto"/>
            <w:vAlign w:val="center"/>
          </w:tcPr>
          <w:p w14:paraId="2A661978">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《石油化工企业设计防火标准（2018年版）》（GB 50160-2008）</w:t>
            </w:r>
          </w:p>
        </w:tc>
        <w:tc>
          <w:tcPr>
            <w:tcW w:w="187" w:type="pct"/>
            <w:shd w:val="clear" w:color="auto" w:fill="auto"/>
            <w:vAlign w:val="center"/>
          </w:tcPr>
          <w:p w14:paraId="2C6A1DF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171B4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A63392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E71D73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23AF905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7FBD91F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危险化学品未储存在专用仓库、专用储存室、气瓶间或专柜等专门的储存场所内，或露天存放。</w:t>
            </w:r>
          </w:p>
        </w:tc>
        <w:tc>
          <w:tcPr>
            <w:tcW w:w="1615" w:type="pct"/>
            <w:shd w:val="clear" w:color="auto" w:fill="auto"/>
            <w:vAlign w:val="center"/>
          </w:tcPr>
          <w:p w14:paraId="22F6E357">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《安全生产等级评定技术规范</w:t>
            </w:r>
            <w:r>
              <w:rPr>
                <w:rFonts w:ascii="仿宋_GB2312" w:hAnsi="等线" w:eastAsia="仿宋_GB2312" w:cs="宋体"/>
                <w:color w:val="000000" w:themeColor="text1"/>
                <w:kern w:val="0"/>
                <w:sz w:val="20"/>
                <w:szCs w:val="20"/>
                <w14:textFill>
                  <w14:solidFill>
                    <w14:schemeClr w14:val="tx1"/>
                  </w14:solidFill>
                </w14:textFill>
              </w:rPr>
              <w:t xml:space="preserve"> 第2部分》（DB11/T 1322.2-2017）</w:t>
            </w:r>
          </w:p>
        </w:tc>
        <w:tc>
          <w:tcPr>
            <w:tcW w:w="187" w:type="pct"/>
            <w:shd w:val="clear" w:color="auto" w:fill="auto"/>
            <w:vAlign w:val="center"/>
          </w:tcPr>
          <w:p w14:paraId="2538E6E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C392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44F07C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183C9D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2D3BDC2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0400E2C6">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仓库内设置员工宿舍；具有甲乙类火灾危</w:t>
            </w:r>
            <w:r>
              <w:rPr>
                <w:rFonts w:ascii="仿宋_GB2312" w:hAnsi="等线" w:eastAsia="仿宋_GB2312" w:cs="宋体"/>
                <w:color w:val="000000" w:themeColor="text1"/>
                <w:kern w:val="0"/>
                <w:sz w:val="20"/>
                <w:szCs w:val="20"/>
                <w14:textFill>
                  <w14:solidFill>
                    <w14:schemeClr w14:val="tx1"/>
                  </w14:solidFill>
                </w14:textFill>
              </w:rPr>
              <w:t xml:space="preserve"> 险性、粉尘爆炸危 险性、中毒危险性 的厂房(含装置或 车间)和仓库内设</w:t>
            </w:r>
            <w:r>
              <w:rPr>
                <w:rFonts w:hint="eastAsia" w:ascii="仿宋_GB2312" w:hAnsi="等线" w:eastAsia="仿宋_GB2312" w:cs="宋体"/>
                <w:color w:val="000000" w:themeColor="text1"/>
                <w:kern w:val="0"/>
                <w:sz w:val="20"/>
                <w:szCs w:val="20"/>
                <w14:textFill>
                  <w14:solidFill>
                    <w14:schemeClr w14:val="tx1"/>
                  </w14:solidFill>
                </w14:textFill>
              </w:rPr>
              <w:t xml:space="preserve">置办公室、休息室、外操室、巡检室，或贴邻建造。 </w:t>
            </w:r>
          </w:p>
        </w:tc>
        <w:tc>
          <w:tcPr>
            <w:tcW w:w="1615" w:type="pct"/>
            <w:shd w:val="clear" w:color="auto" w:fill="auto"/>
            <w:vAlign w:val="center"/>
          </w:tcPr>
          <w:p w14:paraId="2E7C0BCB">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《建筑设计防火规范（2018版）》（GB50016-2014） 第3.3.9条</w:t>
            </w:r>
          </w:p>
          <w:p w14:paraId="34E380D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w:t>
            </w:r>
            <w:r>
              <w:rPr>
                <w:rFonts w:ascii="仿宋_GB2312" w:hAnsi="等线" w:eastAsia="仿宋_GB2312" w:cs="宋体"/>
                <w:color w:val="000000" w:themeColor="text1"/>
                <w:kern w:val="0"/>
                <w:sz w:val="20"/>
                <w:szCs w:val="20"/>
                <w14:textFill>
                  <w14:solidFill>
                    <w14:schemeClr w14:val="tx1"/>
                  </w14:solidFill>
                </w14:textFill>
              </w:rPr>
              <w:t xml:space="preserve">标准(2018年版)》(GB 50160) </w:t>
            </w:r>
            <w:r>
              <w:rPr>
                <w:rFonts w:hint="eastAsia" w:ascii="仿宋_GB2312" w:hAnsi="等线" w:eastAsia="仿宋_GB2312" w:cs="宋体"/>
                <w:color w:val="000000" w:themeColor="text1"/>
                <w:kern w:val="0"/>
                <w:sz w:val="20"/>
                <w:szCs w:val="20"/>
                <w14:textFill>
                  <w14:solidFill>
                    <w14:schemeClr w14:val="tx1"/>
                  </w14:solidFill>
                </w14:textFill>
              </w:rPr>
              <w:t>第</w:t>
            </w:r>
            <w:r>
              <w:rPr>
                <w:rFonts w:ascii="仿宋_GB2312" w:hAnsi="等线" w:eastAsia="仿宋_GB2312" w:cs="宋体"/>
                <w:color w:val="000000" w:themeColor="text1"/>
                <w:kern w:val="0"/>
                <w:sz w:val="20"/>
                <w:szCs w:val="20"/>
                <w14:textFill>
                  <w14:solidFill>
                    <w14:schemeClr w14:val="tx1"/>
                  </w14:solidFill>
                </w14:textFill>
              </w:rPr>
              <w:t>5.2.16</w:t>
            </w:r>
            <w:r>
              <w:rPr>
                <w:rFonts w:hint="eastAsia" w:ascii="仿宋_GB2312" w:hAnsi="等线" w:eastAsia="仿宋_GB2312" w:cs="宋体"/>
                <w:color w:val="000000" w:themeColor="text1"/>
                <w:kern w:val="0"/>
                <w:sz w:val="20"/>
                <w:szCs w:val="20"/>
                <w14:textFill>
                  <w14:solidFill>
                    <w14:schemeClr w14:val="tx1"/>
                  </w14:solidFill>
                </w14:textFill>
              </w:rPr>
              <w:t>条</w:t>
            </w:r>
          </w:p>
          <w:p w14:paraId="3D8D6F56">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《粉尘防爆安全规程》</w:t>
            </w:r>
            <w:r>
              <w:rPr>
                <w:rFonts w:ascii="仿宋_GB2312" w:hAnsi="等线" w:eastAsia="仿宋_GB2312" w:cs="宋体"/>
                <w:color w:val="000000" w:themeColor="text1"/>
                <w:kern w:val="0"/>
                <w:sz w:val="20"/>
                <w:szCs w:val="20"/>
                <w14:textFill>
                  <w14:solidFill>
                    <w14:schemeClr w14:val="tx1"/>
                  </w14:solidFill>
                </w14:textFill>
              </w:rPr>
              <w:t>(GB 15577-2018)</w:t>
            </w:r>
            <w:r>
              <w:rPr>
                <w:rFonts w:hint="eastAsia" w:ascii="仿宋_GB2312" w:hAnsi="等线" w:eastAsia="仿宋_GB2312" w:cs="宋体"/>
                <w:color w:val="000000" w:themeColor="text1"/>
                <w:kern w:val="0"/>
                <w:sz w:val="20"/>
                <w:szCs w:val="20"/>
                <w14:textFill>
                  <w14:solidFill>
                    <w14:schemeClr w14:val="tx1"/>
                  </w14:solidFill>
                </w14:textFill>
              </w:rPr>
              <w:t xml:space="preserve"> 第</w:t>
            </w:r>
            <w:r>
              <w:rPr>
                <w:rFonts w:ascii="仿宋_GB2312" w:hAnsi="等线" w:eastAsia="仿宋_GB2312" w:cs="宋体"/>
                <w:color w:val="000000" w:themeColor="text1"/>
                <w:kern w:val="0"/>
                <w:sz w:val="20"/>
                <w:szCs w:val="20"/>
                <w14:textFill>
                  <w14:solidFill>
                    <w14:schemeClr w14:val="tx1"/>
                  </w14:solidFill>
                </w14:textFill>
              </w:rPr>
              <w:t>5.7</w:t>
            </w:r>
            <w:r>
              <w:rPr>
                <w:rFonts w:hint="eastAsia" w:ascii="仿宋_GB2312" w:hAnsi="等线" w:eastAsia="仿宋_GB2312" w:cs="宋体"/>
                <w:color w:val="000000" w:themeColor="text1"/>
                <w:kern w:val="0"/>
                <w:sz w:val="20"/>
                <w:szCs w:val="20"/>
                <w14:textFill>
                  <w14:solidFill>
                    <w14:schemeClr w14:val="tx1"/>
                  </w14:solidFill>
                </w14:textFill>
              </w:rPr>
              <w:t>条</w:t>
            </w:r>
          </w:p>
        </w:tc>
        <w:tc>
          <w:tcPr>
            <w:tcW w:w="187" w:type="pct"/>
            <w:shd w:val="clear" w:color="auto" w:fill="auto"/>
            <w:vAlign w:val="center"/>
          </w:tcPr>
          <w:p w14:paraId="1F9DA6C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B657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00C99A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AFF0F1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2487AD9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76BC5F1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甲、乙、丙类液体仓库未设置防止液体流散的设施；遇湿会发生燃烧爆炸的物品仓库未设置防止水浸渍的措施。</w:t>
            </w:r>
          </w:p>
        </w:tc>
        <w:tc>
          <w:tcPr>
            <w:tcW w:w="1615" w:type="pct"/>
            <w:shd w:val="clear" w:color="auto" w:fill="auto"/>
            <w:vAlign w:val="center"/>
          </w:tcPr>
          <w:p w14:paraId="7615E32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《建筑设计防火规范（2018版）》（GB50016-2014） 第3.6.12条</w:t>
            </w:r>
          </w:p>
        </w:tc>
        <w:tc>
          <w:tcPr>
            <w:tcW w:w="187" w:type="pct"/>
            <w:shd w:val="clear" w:color="auto" w:fill="auto"/>
            <w:vAlign w:val="center"/>
          </w:tcPr>
          <w:p w14:paraId="5DEB1BF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35FC1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1616720">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06FD71F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7C9CA50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1165A46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xml:space="preserve">危险化学品仓储存在下列情况：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1.爆炸物未按不同品种单独存放，当受条件限制，不同品种爆炸物需同库存放时，未确保爆炸物之间不是禁忌物或包装完整无损；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2.有机过氧化物未储存在危险化学品库房特定区域内，避免阳光直射，并满足不同品种的存储温度、湿度要求；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 xml:space="preserve">3.遇水放出易燃气体的物质和混合物未密闭储存在设有防水、防雨、防潮措施的危险化学品库房中的干燥区域内； </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4.自燃物和混合物的储存温度未满足不同品种的存储温度、湿度要求，并避免阳光直射；</w:t>
            </w:r>
            <w:r>
              <w:rPr>
                <w:rFonts w:hint="eastAsia" w:ascii="仿宋_GB2312" w:hAnsi="等线" w:eastAsia="仿宋_GB2312" w:cs="宋体"/>
                <w:color w:val="000000" w:themeColor="text1"/>
                <w:kern w:val="0"/>
                <w:sz w:val="20"/>
                <w:szCs w:val="20"/>
                <w14:textFill>
                  <w14:solidFill>
                    <w14:schemeClr w14:val="tx1"/>
                  </w14:solidFill>
                </w14:textFill>
              </w:rPr>
              <w:br w:type="textWrapping"/>
            </w:r>
            <w:r>
              <w:rPr>
                <w:rFonts w:hint="eastAsia" w:ascii="仿宋_GB2312" w:hAnsi="等线" w:eastAsia="仿宋_GB2312" w:cs="宋体"/>
                <w:color w:val="000000" w:themeColor="text1"/>
                <w:kern w:val="0"/>
                <w:sz w:val="20"/>
                <w:szCs w:val="20"/>
                <w14:textFill>
                  <w14:solidFill>
                    <w14:schemeClr w14:val="tx1"/>
                  </w14:solidFill>
                </w14:textFill>
              </w:rPr>
              <w:t>5.自反应物质和混合物未储存在危险化学品库房特定区域内，避免阳光直射并保持良好通风，或满足不同品种的存储温度、湿度要求，自反应物质及其混合物只能在原装容器中存放。</w:t>
            </w:r>
          </w:p>
        </w:tc>
        <w:tc>
          <w:tcPr>
            <w:tcW w:w="1615" w:type="pct"/>
            <w:shd w:val="clear" w:color="auto" w:fill="auto"/>
            <w:vAlign w:val="center"/>
          </w:tcPr>
          <w:p w14:paraId="2509590F">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《危险化学品经营企业安全技术基本要求》（GB18265-2019） 第4.2.7条、第4.2.8条、第4.2.9条、第4.2.10条、第4.2.11条</w:t>
            </w:r>
          </w:p>
        </w:tc>
        <w:tc>
          <w:tcPr>
            <w:tcW w:w="187" w:type="pct"/>
            <w:shd w:val="clear" w:color="auto" w:fill="auto"/>
            <w:vAlign w:val="center"/>
          </w:tcPr>
          <w:p w14:paraId="154BB8A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0B4D3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028357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74C181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26B0F6A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26D505F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易燃易爆性商品存储库房温湿度未满足GB 17914要求。</w:t>
            </w:r>
          </w:p>
        </w:tc>
        <w:tc>
          <w:tcPr>
            <w:tcW w:w="1615" w:type="pct"/>
            <w:shd w:val="clear" w:color="auto" w:fill="auto"/>
            <w:vAlign w:val="center"/>
          </w:tcPr>
          <w:p w14:paraId="2735FC82">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《易燃易爆性商品储存养护技术条件》（GB17914-2013）第4.5条</w:t>
            </w:r>
          </w:p>
        </w:tc>
        <w:tc>
          <w:tcPr>
            <w:tcW w:w="187" w:type="pct"/>
            <w:shd w:val="clear" w:color="auto" w:fill="auto"/>
            <w:vAlign w:val="center"/>
          </w:tcPr>
          <w:p w14:paraId="36F5E11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29AD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2BA45B5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3ED2C12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196C10A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建（构）筑物类</w:t>
            </w:r>
          </w:p>
        </w:tc>
        <w:tc>
          <w:tcPr>
            <w:tcW w:w="1859" w:type="pct"/>
            <w:shd w:val="clear" w:color="auto" w:fill="auto"/>
            <w:vAlign w:val="center"/>
          </w:tcPr>
          <w:p w14:paraId="5E96B5C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控制室电缆穿墙入口的电缆穿墙密封未满足抗爆、防火、防水、防尘要求。</w:t>
            </w:r>
          </w:p>
        </w:tc>
        <w:tc>
          <w:tcPr>
            <w:tcW w:w="1615" w:type="pct"/>
            <w:shd w:val="clear" w:color="auto" w:fill="auto"/>
            <w:vAlign w:val="center"/>
          </w:tcPr>
          <w:p w14:paraId="0F9A9101">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《控制室设计规范》（</w:t>
            </w:r>
            <w:r>
              <w:rPr>
                <w:rFonts w:ascii="仿宋_GB2312" w:hAnsi="等线" w:eastAsia="仿宋_GB2312" w:cs="宋体"/>
                <w:color w:val="000000" w:themeColor="text1"/>
                <w:kern w:val="0"/>
                <w:sz w:val="20"/>
                <w:szCs w:val="20"/>
                <w14:textFill>
                  <w14:solidFill>
                    <w14:schemeClr w14:val="tx1"/>
                  </w14:solidFill>
                </w14:textFill>
              </w:rPr>
              <w:t>HG/T 20508-2014）第3.7.1条</w:t>
            </w:r>
          </w:p>
        </w:tc>
        <w:tc>
          <w:tcPr>
            <w:tcW w:w="187" w:type="pct"/>
            <w:shd w:val="clear" w:color="auto" w:fill="auto"/>
            <w:vAlign w:val="center"/>
          </w:tcPr>
          <w:p w14:paraId="5135B63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2255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BE42E9E">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1B6850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361A0A1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安全出口及疏散通道类</w:t>
            </w:r>
          </w:p>
        </w:tc>
        <w:tc>
          <w:tcPr>
            <w:tcW w:w="1859" w:type="pct"/>
            <w:shd w:val="clear" w:color="auto" w:fill="auto"/>
            <w:vAlign w:val="center"/>
          </w:tcPr>
          <w:p w14:paraId="177A41F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建筑物的安全疏散门未向外开启。</w:t>
            </w:r>
            <w:r>
              <w:rPr>
                <w:rFonts w:ascii="仿宋_GB2312" w:hAnsi="等线" w:eastAsia="仿宋_GB2312" w:cs="宋体"/>
                <w:color w:val="000000" w:themeColor="text1"/>
                <w:kern w:val="0"/>
                <w:sz w:val="20"/>
                <w:szCs w:val="20"/>
                <w14:textFill>
                  <w14:solidFill>
                    <w14:schemeClr w14:val="tx1"/>
                  </w14:solidFill>
                </w14:textFill>
              </w:rPr>
              <w:t xml:space="preserve"> 甲、乙、丙类房间的安全疏散门，少于2个</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面积小于等于l00m</w:t>
            </w:r>
            <w:r>
              <w:rPr>
                <w:rFonts w:ascii="仿宋_GB2312" w:hAnsi="等线" w:eastAsia="仿宋_GB2312" w:cs="宋体"/>
                <w:color w:val="000000" w:themeColor="text1"/>
                <w:kern w:val="0"/>
                <w:sz w:val="20"/>
                <w:szCs w:val="20"/>
                <w:vertAlign w:val="superscript"/>
                <w14:textFill>
                  <w14:solidFill>
                    <w14:schemeClr w14:val="tx1"/>
                  </w14:solidFill>
                </w14:textFill>
              </w:rPr>
              <w:t>2</w:t>
            </w:r>
            <w:r>
              <w:rPr>
                <w:rFonts w:ascii="仿宋_GB2312" w:hAnsi="等线" w:eastAsia="仿宋_GB2312" w:cs="宋体"/>
                <w:color w:val="000000" w:themeColor="text1"/>
                <w:kern w:val="0"/>
                <w:sz w:val="20"/>
                <w:szCs w:val="20"/>
                <w14:textFill>
                  <w14:solidFill>
                    <w14:schemeClr w14:val="tx1"/>
                  </w14:solidFill>
                </w14:textFill>
              </w:rPr>
              <w:t xml:space="preserve"> 的房间可只设1个</w:t>
            </w:r>
            <w:r>
              <w:rPr>
                <w:rFonts w:hint="eastAsia" w:ascii="仿宋_GB2312" w:hAnsi="等线" w:eastAsia="仿宋_GB2312" w:cs="宋体"/>
                <w:color w:val="000000" w:themeColor="text1"/>
                <w:kern w:val="0"/>
                <w:sz w:val="20"/>
                <w:szCs w:val="20"/>
                <w14:textFill>
                  <w14:solidFill>
                    <w14:schemeClr w14:val="tx1"/>
                  </w14:solidFill>
                </w14:textFill>
              </w:rPr>
              <w:t>）</w:t>
            </w:r>
            <w:r>
              <w:rPr>
                <w:rFonts w:ascii="仿宋_GB2312" w:hAnsi="等线" w:eastAsia="仿宋_GB2312" w:cs="宋体"/>
                <w:color w:val="000000" w:themeColor="text1"/>
                <w:kern w:val="0"/>
                <w:sz w:val="20"/>
                <w:szCs w:val="20"/>
                <w14:textFill>
                  <w14:solidFill>
                    <w14:schemeClr w14:val="tx1"/>
                  </w14:solidFill>
                </w14:textFill>
              </w:rPr>
              <w:t>。</w:t>
            </w:r>
          </w:p>
        </w:tc>
        <w:tc>
          <w:tcPr>
            <w:tcW w:w="1615" w:type="pct"/>
            <w:shd w:val="clear" w:color="auto" w:fill="auto"/>
            <w:vAlign w:val="center"/>
          </w:tcPr>
          <w:p w14:paraId="61238FD9">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 50160-2008）第5.2.25条</w:t>
            </w:r>
          </w:p>
        </w:tc>
        <w:tc>
          <w:tcPr>
            <w:tcW w:w="187" w:type="pct"/>
            <w:shd w:val="clear" w:color="auto" w:fill="auto"/>
            <w:vAlign w:val="center"/>
          </w:tcPr>
          <w:p w14:paraId="5AC7825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B606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B2DBDA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975E79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000000" w:fill="FFFFFF"/>
            <w:vAlign w:val="center"/>
          </w:tcPr>
          <w:p w14:paraId="1A3828E9">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安全出口及疏散通道类</w:t>
            </w:r>
          </w:p>
        </w:tc>
        <w:tc>
          <w:tcPr>
            <w:tcW w:w="1859" w:type="pct"/>
            <w:shd w:val="clear" w:color="auto" w:fill="auto"/>
            <w:vAlign w:val="center"/>
          </w:tcPr>
          <w:p w14:paraId="34F8D55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设备的构架或平台的安全疏散通道不符合《石油化工企业设计防火标准》（</w:t>
            </w:r>
            <w:r>
              <w:rPr>
                <w:rFonts w:ascii="仿宋_GB2312" w:hAnsi="等线" w:eastAsia="仿宋_GB2312" w:cs="宋体"/>
                <w:color w:val="000000" w:themeColor="text1"/>
                <w:kern w:val="0"/>
                <w:sz w:val="20"/>
                <w:szCs w:val="20"/>
                <w14:textFill>
                  <w14:solidFill>
                    <w14:schemeClr w14:val="tx1"/>
                  </w14:solidFill>
                </w14:textFill>
              </w:rPr>
              <w:t>GB 50160-2008 2018版）第5.2.26条的规定。</w:t>
            </w:r>
          </w:p>
        </w:tc>
        <w:tc>
          <w:tcPr>
            <w:tcW w:w="1615" w:type="pct"/>
            <w:shd w:val="clear" w:color="auto" w:fill="auto"/>
            <w:vAlign w:val="center"/>
          </w:tcPr>
          <w:p w14:paraId="4BA5C623">
            <w:pPr>
              <w:widowControl/>
              <w:adjustRightInd w:val="0"/>
              <w:snapToGrid w:val="0"/>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GB 50160-2008 2018版）第5.2.26条</w:t>
            </w:r>
          </w:p>
        </w:tc>
        <w:tc>
          <w:tcPr>
            <w:tcW w:w="187" w:type="pct"/>
            <w:shd w:val="clear" w:color="auto" w:fill="auto"/>
            <w:vAlign w:val="center"/>
          </w:tcPr>
          <w:p w14:paraId="6CB0AFA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7E2E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EA76CA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05BF5CD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5090D88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安全出口及疏散通道类</w:t>
            </w:r>
          </w:p>
        </w:tc>
        <w:tc>
          <w:tcPr>
            <w:tcW w:w="1859" w:type="pct"/>
            <w:shd w:val="clear" w:color="auto" w:fill="auto"/>
            <w:vAlign w:val="center"/>
          </w:tcPr>
          <w:p w14:paraId="7032EA4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生产经营场所和员工宿舍未设置符合紧急疏散要求、标志明显、保持畅通的出口、疏散通道。或者占用、锁闭、封堵生产经营场所或者员工宿舍的出口、疏散通道。</w:t>
            </w:r>
          </w:p>
        </w:tc>
        <w:tc>
          <w:tcPr>
            <w:tcW w:w="1615" w:type="pct"/>
            <w:shd w:val="clear" w:color="auto" w:fill="auto"/>
            <w:vAlign w:val="center"/>
          </w:tcPr>
          <w:p w14:paraId="5431D19D">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《中华人民共和国安全生产法》第四十二条；《中华人民共和国消防法》第十六条、第二十八条；</w:t>
            </w:r>
          </w:p>
        </w:tc>
        <w:tc>
          <w:tcPr>
            <w:tcW w:w="187" w:type="pct"/>
            <w:shd w:val="clear" w:color="auto" w:fill="auto"/>
            <w:noWrap/>
            <w:vAlign w:val="center"/>
          </w:tcPr>
          <w:p w14:paraId="36061FF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6A74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3B0190E8">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469E204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02ED4E0B">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安全出口及疏散通道类</w:t>
            </w:r>
          </w:p>
        </w:tc>
        <w:tc>
          <w:tcPr>
            <w:tcW w:w="1859" w:type="pct"/>
            <w:shd w:val="clear" w:color="auto" w:fill="auto"/>
            <w:vAlign w:val="center"/>
          </w:tcPr>
          <w:p w14:paraId="1D2FAC9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坑道等狭窄作业区，产品、设备和工具的布置，未留出安全通道</w:t>
            </w:r>
          </w:p>
        </w:tc>
        <w:tc>
          <w:tcPr>
            <w:tcW w:w="1615" w:type="pct"/>
            <w:shd w:val="clear" w:color="auto" w:fill="auto"/>
            <w:vAlign w:val="center"/>
          </w:tcPr>
          <w:p w14:paraId="4F33F65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《生产过程安全卫生要求总则》第</w:t>
            </w:r>
            <w:r>
              <w:rPr>
                <w:rFonts w:ascii="仿宋_GB2312" w:hAnsi="等线" w:eastAsia="仿宋_GB2312" w:cs="宋体"/>
                <w:color w:val="000000" w:themeColor="text1"/>
                <w:kern w:val="0"/>
                <w:sz w:val="20"/>
                <w:szCs w:val="20"/>
                <w14:textFill>
                  <w14:solidFill>
                    <w14:schemeClr w14:val="tx1"/>
                  </w14:solidFill>
                </w14:textFill>
              </w:rPr>
              <w:t>5.7.5条</w:t>
            </w:r>
          </w:p>
        </w:tc>
        <w:tc>
          <w:tcPr>
            <w:tcW w:w="187" w:type="pct"/>
            <w:shd w:val="clear" w:color="auto" w:fill="auto"/>
            <w:noWrap/>
            <w:vAlign w:val="center"/>
          </w:tcPr>
          <w:p w14:paraId="46125C2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p>
        </w:tc>
      </w:tr>
      <w:tr w14:paraId="68918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79E9474">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5F6C05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02FA433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标志及标识类</w:t>
            </w:r>
          </w:p>
        </w:tc>
        <w:tc>
          <w:tcPr>
            <w:tcW w:w="1859" w:type="pct"/>
            <w:shd w:val="clear" w:color="auto" w:fill="auto"/>
            <w:vAlign w:val="center"/>
          </w:tcPr>
          <w:p w14:paraId="29ECB8F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储存易燃、易爆、有毒危险化学品的罐区和有刺激性、窒息性气体的罐区未在显著位置设置风向标。</w:t>
            </w:r>
          </w:p>
        </w:tc>
        <w:tc>
          <w:tcPr>
            <w:tcW w:w="1615" w:type="pct"/>
            <w:shd w:val="clear" w:color="auto" w:fill="auto"/>
            <w:vAlign w:val="center"/>
          </w:tcPr>
          <w:p w14:paraId="36616DC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《北京市安全生产监督管理局关于深入开展危险化学品罐区安全管理工作的通知》（京安监发〔</w:t>
            </w:r>
            <w:r>
              <w:rPr>
                <w:rFonts w:ascii="仿宋_GB2312" w:hAnsi="等线" w:eastAsia="仿宋_GB2312" w:cs="宋体"/>
                <w:color w:val="000000" w:themeColor="text1"/>
                <w:kern w:val="0"/>
                <w:sz w:val="20"/>
                <w:szCs w:val="20"/>
                <w14:textFill>
                  <w14:solidFill>
                    <w14:schemeClr w14:val="tx1"/>
                  </w14:solidFill>
                </w14:textFill>
              </w:rPr>
              <w:t>2015〕22号）</w:t>
            </w:r>
          </w:p>
        </w:tc>
        <w:tc>
          <w:tcPr>
            <w:tcW w:w="187" w:type="pct"/>
            <w:shd w:val="clear" w:color="auto" w:fill="auto"/>
            <w:noWrap/>
            <w:vAlign w:val="center"/>
          </w:tcPr>
          <w:p w14:paraId="48A11E2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p>
        </w:tc>
      </w:tr>
      <w:tr w14:paraId="6C46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32937C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31302B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4D3B0BA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标志及标识类</w:t>
            </w:r>
          </w:p>
        </w:tc>
        <w:tc>
          <w:tcPr>
            <w:tcW w:w="1859" w:type="pct"/>
            <w:shd w:val="clear" w:color="auto" w:fill="auto"/>
            <w:vAlign w:val="center"/>
          </w:tcPr>
          <w:p w14:paraId="38AEFBB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未在重大危险源所在场所设置明显的安全警示标志，安全警示牌、危险物质安全告知牌，并将重大危险源可能发生事故的危险后果、应急措施等信息告知周边单位和有关人员。未在重大危险源安全警示标志位置设立公示牌，写明重大危险源的主要负责人、技术负责人、操作负责人姓名、对应的安全包保职责及联系方式，接受员工监督。</w:t>
            </w:r>
          </w:p>
        </w:tc>
        <w:tc>
          <w:tcPr>
            <w:tcW w:w="1615" w:type="pct"/>
            <w:shd w:val="clear" w:color="auto" w:fill="auto"/>
            <w:vAlign w:val="center"/>
          </w:tcPr>
          <w:p w14:paraId="5EBD203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《危险化学品重大危险源监督管理暂行规定》（国家安全生产监督管理总局令第40号）第十八条；《危险化学品企业重大危险源安全包保责任制办法（试行）》（应急厅〔2021〕12号）第七条</w:t>
            </w:r>
          </w:p>
        </w:tc>
        <w:tc>
          <w:tcPr>
            <w:tcW w:w="187" w:type="pct"/>
            <w:shd w:val="clear" w:color="auto" w:fill="auto"/>
            <w:noWrap/>
            <w:vAlign w:val="center"/>
          </w:tcPr>
          <w:p w14:paraId="1BE9ADF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2DB2F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55A65E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3DB59A3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617DAF0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标志及标识类</w:t>
            </w:r>
          </w:p>
        </w:tc>
        <w:tc>
          <w:tcPr>
            <w:tcW w:w="1859" w:type="pct"/>
            <w:shd w:val="clear" w:color="auto" w:fill="auto"/>
            <w:vAlign w:val="center"/>
          </w:tcPr>
          <w:p w14:paraId="0DC948C8">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危险化学品管道未按照GB 7231要求刷标识色。</w:t>
            </w:r>
          </w:p>
        </w:tc>
        <w:tc>
          <w:tcPr>
            <w:tcW w:w="1615" w:type="pct"/>
            <w:shd w:val="clear" w:color="auto" w:fill="auto"/>
            <w:vAlign w:val="center"/>
          </w:tcPr>
          <w:p w14:paraId="6E7A401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《工业管道的基本识别色、识别符号和安全标识》（GB 7231-2003）</w:t>
            </w:r>
          </w:p>
        </w:tc>
        <w:tc>
          <w:tcPr>
            <w:tcW w:w="187" w:type="pct"/>
            <w:shd w:val="clear" w:color="auto" w:fill="auto"/>
            <w:noWrap/>
            <w:vAlign w:val="center"/>
          </w:tcPr>
          <w:p w14:paraId="4007F79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F9DF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A4935AF">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07FD020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34D5008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标志及标识类</w:t>
            </w:r>
          </w:p>
        </w:tc>
        <w:tc>
          <w:tcPr>
            <w:tcW w:w="1859" w:type="pct"/>
            <w:shd w:val="clear" w:color="auto" w:fill="auto"/>
            <w:vAlign w:val="center"/>
          </w:tcPr>
          <w:p w14:paraId="27972FF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企业未在其危险化学品生产和储存作业场所和安全设施、设备上设置明显的安全警示标志。</w:t>
            </w:r>
            <w:r>
              <w:rPr>
                <w:rFonts w:ascii="仿宋_GB2312" w:hAnsi="等线" w:eastAsia="仿宋_GB2312" w:cs="宋体"/>
                <w:color w:val="000000" w:themeColor="text1"/>
                <w:kern w:val="0"/>
                <w:sz w:val="20"/>
                <w:szCs w:val="20"/>
                <w14:textFill>
                  <w14:solidFill>
                    <w14:schemeClr w14:val="tx1"/>
                  </w14:solidFill>
                </w14:textFill>
              </w:rPr>
              <w:t xml:space="preserve">                 </w:t>
            </w:r>
          </w:p>
        </w:tc>
        <w:tc>
          <w:tcPr>
            <w:tcW w:w="1615" w:type="pct"/>
            <w:shd w:val="clear" w:color="auto" w:fill="auto"/>
            <w:vAlign w:val="center"/>
          </w:tcPr>
          <w:p w14:paraId="6C49FDE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w:t>
            </w:r>
            <w:r>
              <w:rPr>
                <w:rFonts w:ascii="仿宋_GB2312" w:hAnsi="等线" w:eastAsia="仿宋_GB2312" w:cs="宋体"/>
                <w:color w:val="000000" w:themeColor="text1"/>
                <w:kern w:val="0"/>
                <w:sz w:val="20"/>
                <w:szCs w:val="20"/>
                <w14:textFill>
                  <w14:solidFill>
                    <w14:schemeClr w14:val="tx1"/>
                  </w14:solidFill>
                </w14:textFill>
              </w:rPr>
              <w:t>591号，国务院令第645号修正）第二十条</w:t>
            </w:r>
          </w:p>
        </w:tc>
        <w:tc>
          <w:tcPr>
            <w:tcW w:w="187" w:type="pct"/>
            <w:shd w:val="clear" w:color="auto" w:fill="auto"/>
            <w:noWrap/>
            <w:vAlign w:val="center"/>
          </w:tcPr>
          <w:p w14:paraId="51328E2A">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p>
        </w:tc>
      </w:tr>
      <w:tr w14:paraId="07774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CEFA8C1">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15435FC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48BF6552">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标志及标识类</w:t>
            </w:r>
          </w:p>
        </w:tc>
        <w:tc>
          <w:tcPr>
            <w:tcW w:w="1859" w:type="pct"/>
            <w:shd w:val="clear" w:color="auto" w:fill="auto"/>
            <w:vAlign w:val="center"/>
          </w:tcPr>
          <w:p w14:paraId="30ACB57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危险废物贮存设施</w:t>
            </w:r>
            <w:r>
              <w:rPr>
                <w:rFonts w:hint="eastAsia" w:ascii="仿宋_GB2312" w:hAnsi="等线" w:eastAsia="仿宋_GB2312" w:cs="宋体"/>
                <w:color w:val="000000" w:themeColor="text1"/>
                <w:kern w:val="0"/>
                <w:sz w:val="20"/>
                <w:szCs w:val="20"/>
                <w14:textFill>
                  <w14:solidFill>
                    <w14:schemeClr w14:val="tx1"/>
                  </w14:solidFill>
                </w14:textFill>
              </w:rPr>
              <w:t>未</w:t>
            </w:r>
            <w:r>
              <w:rPr>
                <w:rFonts w:ascii="仿宋_GB2312" w:hAnsi="等线" w:eastAsia="仿宋_GB2312" w:cs="宋体"/>
                <w:color w:val="000000" w:themeColor="text1"/>
                <w:kern w:val="0"/>
                <w:sz w:val="20"/>
                <w:szCs w:val="20"/>
                <w14:textFill>
                  <w14:solidFill>
                    <w14:schemeClr w14:val="tx1"/>
                  </w14:solidFill>
                </w14:textFill>
              </w:rPr>
              <w:t>设置相应的安全警示标示、安全</w:t>
            </w:r>
            <w:r>
              <w:rPr>
                <w:rFonts w:hint="eastAsia" w:ascii="仿宋_GB2312" w:hAnsi="等线" w:eastAsia="仿宋_GB2312" w:cs="宋体"/>
                <w:color w:val="000000" w:themeColor="text1"/>
                <w:kern w:val="0"/>
                <w:sz w:val="20"/>
                <w:szCs w:val="20"/>
                <w14:textFill>
                  <w14:solidFill>
                    <w14:schemeClr w14:val="tx1"/>
                  </w14:solidFill>
                </w14:textFill>
              </w:rPr>
              <w:t>照明设施、观察窗口和应急救援处置器材等</w:t>
            </w:r>
          </w:p>
        </w:tc>
        <w:tc>
          <w:tcPr>
            <w:tcW w:w="1615" w:type="pct"/>
            <w:shd w:val="clear" w:color="auto" w:fill="auto"/>
            <w:vAlign w:val="center"/>
          </w:tcPr>
          <w:p w14:paraId="5F6A287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《危险化学品安全管理条例》（国务院令第</w:t>
            </w:r>
            <w:r>
              <w:rPr>
                <w:rFonts w:ascii="仿宋_GB2312" w:hAnsi="等线" w:eastAsia="仿宋_GB2312" w:cs="宋体"/>
                <w:color w:val="000000" w:themeColor="text1"/>
                <w:kern w:val="0"/>
                <w:sz w:val="20"/>
                <w:szCs w:val="20"/>
                <w14:textFill>
                  <w14:solidFill>
                    <w14:schemeClr w14:val="tx1"/>
                  </w14:solidFill>
                </w14:textFill>
              </w:rPr>
              <w:t>591号，国务院令第645号修正）第二十条</w:t>
            </w:r>
          </w:p>
        </w:tc>
        <w:tc>
          <w:tcPr>
            <w:tcW w:w="187" w:type="pct"/>
            <w:shd w:val="clear" w:color="auto" w:fill="auto"/>
            <w:noWrap/>
            <w:vAlign w:val="center"/>
          </w:tcPr>
          <w:p w14:paraId="11057B2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p>
        </w:tc>
      </w:tr>
      <w:tr w14:paraId="552ED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4F33BC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817FFE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29041C4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标志及标识类</w:t>
            </w:r>
          </w:p>
        </w:tc>
        <w:tc>
          <w:tcPr>
            <w:tcW w:w="1859" w:type="pct"/>
            <w:shd w:val="clear" w:color="auto" w:fill="auto"/>
            <w:vAlign w:val="center"/>
          </w:tcPr>
          <w:p w14:paraId="5144B57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生产场所、作业点的紧急通道和出入口，未设置醒目的标志。</w:t>
            </w:r>
          </w:p>
        </w:tc>
        <w:tc>
          <w:tcPr>
            <w:tcW w:w="1615" w:type="pct"/>
            <w:shd w:val="clear" w:color="auto" w:fill="auto"/>
            <w:vAlign w:val="center"/>
          </w:tcPr>
          <w:p w14:paraId="204B8E9A">
            <w:pPr>
              <w:widowControl/>
              <w:adjustRightInd w:val="0"/>
              <w:snapToGrid w:val="0"/>
              <w:jc w:val="left"/>
              <w:rPr>
                <w:rFonts w:ascii="仿宋_GB2312" w:eastAsia="仿宋_GB2312"/>
                <w:color w:val="000000" w:themeColor="text1"/>
                <w:sz w:val="22"/>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《生产过程安全卫生要求总则》（GB/T 12801-2008 ）第6.8.3条</w:t>
            </w:r>
          </w:p>
        </w:tc>
        <w:tc>
          <w:tcPr>
            <w:tcW w:w="187" w:type="pct"/>
            <w:shd w:val="clear" w:color="auto" w:fill="auto"/>
            <w:noWrap/>
            <w:vAlign w:val="center"/>
          </w:tcPr>
          <w:p w14:paraId="60E99A47">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p>
        </w:tc>
      </w:tr>
      <w:tr w14:paraId="5C00E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6ABDDF6A">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244A5D8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353BE795">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标志及标识类</w:t>
            </w:r>
          </w:p>
        </w:tc>
        <w:tc>
          <w:tcPr>
            <w:tcW w:w="1859" w:type="pct"/>
            <w:shd w:val="clear" w:color="auto" w:fill="auto"/>
            <w:vAlign w:val="center"/>
          </w:tcPr>
          <w:p w14:paraId="5CA79791">
            <w:pPr>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变配电室、电缆间未设置应急照明灯具和疏散指示标志、安全出口标志，未保障通道畅通，有其他杂物。</w:t>
            </w:r>
          </w:p>
        </w:tc>
        <w:tc>
          <w:tcPr>
            <w:tcW w:w="1615" w:type="pct"/>
            <w:shd w:val="clear" w:color="auto" w:fill="auto"/>
            <w:vAlign w:val="center"/>
          </w:tcPr>
          <w:p w14:paraId="227661EE">
            <w:pPr>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《危险化学品企业安全风险隐患排查治理导则》（应急[2019]78）附件</w:t>
            </w:r>
          </w:p>
        </w:tc>
        <w:tc>
          <w:tcPr>
            <w:tcW w:w="187" w:type="pct"/>
            <w:shd w:val="clear" w:color="auto" w:fill="auto"/>
            <w:noWrap/>
            <w:vAlign w:val="center"/>
          </w:tcPr>
          <w:p w14:paraId="35926DF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p>
        </w:tc>
      </w:tr>
      <w:tr w14:paraId="5A065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1923DD6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61480A3">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0AB2C31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周边环境类</w:t>
            </w:r>
          </w:p>
        </w:tc>
        <w:tc>
          <w:tcPr>
            <w:tcW w:w="1859" w:type="pct"/>
            <w:shd w:val="clear" w:color="auto" w:fill="auto"/>
            <w:vAlign w:val="center"/>
          </w:tcPr>
          <w:p w14:paraId="44D5C423">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石油化工企业与相邻工厂或设施的防火间距不符合国家标准</w:t>
            </w:r>
            <w:r>
              <w:rPr>
                <w:rFonts w:ascii="仿宋_GB2312" w:hAnsi="等线" w:eastAsia="仿宋_GB2312" w:cs="宋体"/>
                <w:color w:val="000000" w:themeColor="text1"/>
                <w:kern w:val="0"/>
                <w:sz w:val="20"/>
                <w:szCs w:val="20"/>
                <w14:textFill>
                  <w14:solidFill>
                    <w14:schemeClr w14:val="tx1"/>
                  </w14:solidFill>
                </w14:textFill>
              </w:rPr>
              <w:t>的要求。</w:t>
            </w:r>
          </w:p>
        </w:tc>
        <w:tc>
          <w:tcPr>
            <w:tcW w:w="1615" w:type="pct"/>
            <w:shd w:val="clear" w:color="auto" w:fill="auto"/>
            <w:vAlign w:val="center"/>
          </w:tcPr>
          <w:p w14:paraId="459FE88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ascii="仿宋_GB2312" w:hAnsi="等线" w:eastAsia="仿宋_GB2312" w:cs="宋体"/>
                <w:color w:val="000000" w:themeColor="text1"/>
                <w:kern w:val="0"/>
                <w:sz w:val="20"/>
                <w:szCs w:val="20"/>
                <w14:textFill>
                  <w14:solidFill>
                    <w14:schemeClr w14:val="tx1"/>
                  </w14:solidFill>
                </w14:textFill>
              </w:rPr>
              <w:t>GB 50160-2008《石油化工企业设计防火标准（2018年版）》</w:t>
            </w:r>
          </w:p>
        </w:tc>
        <w:tc>
          <w:tcPr>
            <w:tcW w:w="187" w:type="pct"/>
            <w:shd w:val="clear" w:color="auto" w:fill="auto"/>
            <w:noWrap/>
            <w:vAlign w:val="center"/>
          </w:tcPr>
          <w:p w14:paraId="19A391D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E749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7B2751B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30B8B9D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68C6ECA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周边环境类</w:t>
            </w:r>
          </w:p>
        </w:tc>
        <w:tc>
          <w:tcPr>
            <w:tcW w:w="1859" w:type="pct"/>
            <w:shd w:val="clear" w:color="auto" w:fill="auto"/>
            <w:vAlign w:val="center"/>
          </w:tcPr>
          <w:p w14:paraId="2B0F843C">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装置、设备设施内部安全防护（防火）距离不符合现行GB 50016、GB 50160、GB/T 37243等国家标准要求。</w:t>
            </w:r>
          </w:p>
        </w:tc>
        <w:tc>
          <w:tcPr>
            <w:tcW w:w="1615" w:type="pct"/>
            <w:shd w:val="clear" w:color="auto" w:fill="auto"/>
            <w:vAlign w:val="center"/>
          </w:tcPr>
          <w:p w14:paraId="6DF58C0E">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《建筑设计防火规范（2018版）》（GB</w:t>
            </w:r>
            <w:r>
              <w:rPr>
                <w:rFonts w:ascii="仿宋_GB2312" w:hAnsi="等线" w:eastAsia="仿宋_GB2312" w:cs="宋体"/>
                <w:color w:val="000000" w:themeColor="text1"/>
                <w:kern w:val="0"/>
                <w:sz w:val="20"/>
                <w:szCs w:val="20"/>
                <w14:textFill>
                  <w14:solidFill>
                    <w14:schemeClr w14:val="tx1"/>
                  </w14:solidFill>
                </w14:textFill>
              </w:rPr>
              <w:t xml:space="preserve"> </w:t>
            </w:r>
            <w:r>
              <w:rPr>
                <w:rFonts w:hint="eastAsia" w:ascii="仿宋_GB2312" w:hAnsi="等线" w:eastAsia="仿宋_GB2312" w:cs="宋体"/>
                <w:color w:val="000000" w:themeColor="text1"/>
                <w:kern w:val="0"/>
                <w:sz w:val="20"/>
                <w:szCs w:val="20"/>
                <w14:textFill>
                  <w14:solidFill>
                    <w14:schemeClr w14:val="tx1"/>
                  </w14:solidFill>
                </w14:textFill>
              </w:rPr>
              <w:t>50016-2014）；《石油化工企业设计防火标准（2018版）》（GB 50160-2008）；《危险化学品生产装置和储存设施外部安全防护距离》（GB/T 37243-2019） 第4条；</w:t>
            </w:r>
          </w:p>
        </w:tc>
        <w:tc>
          <w:tcPr>
            <w:tcW w:w="187" w:type="pct"/>
            <w:shd w:val="clear" w:color="auto" w:fill="auto"/>
            <w:noWrap/>
            <w:vAlign w:val="center"/>
          </w:tcPr>
          <w:p w14:paraId="1CEA7557">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　</w:t>
            </w:r>
          </w:p>
        </w:tc>
      </w:tr>
      <w:tr w14:paraId="48B49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835A252">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2DBADB0">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303BC13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周边环境类</w:t>
            </w:r>
          </w:p>
        </w:tc>
        <w:tc>
          <w:tcPr>
            <w:tcW w:w="1859" w:type="pct"/>
            <w:shd w:val="clear" w:color="auto" w:fill="auto"/>
            <w:vAlign w:val="center"/>
          </w:tcPr>
          <w:p w14:paraId="39373A1B">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涉及“两重点一重大”的生产装置、储存设施外部安全防护距离不符合国家标准要求。</w:t>
            </w:r>
          </w:p>
        </w:tc>
        <w:tc>
          <w:tcPr>
            <w:tcW w:w="1615" w:type="pct"/>
            <w:shd w:val="clear" w:color="auto" w:fill="auto"/>
            <w:vAlign w:val="center"/>
          </w:tcPr>
          <w:p w14:paraId="0BEAC06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《化工和危险化学品生产经营单位重大生产安全事故隐患判定标准（试行）》（安监总管三〔2017〕121号） 第三条</w:t>
            </w:r>
          </w:p>
        </w:tc>
        <w:tc>
          <w:tcPr>
            <w:tcW w:w="187" w:type="pct"/>
            <w:shd w:val="clear" w:color="auto" w:fill="auto"/>
            <w:noWrap/>
            <w:vAlign w:val="center"/>
          </w:tcPr>
          <w:p w14:paraId="379FAA74">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760EB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53751C6D">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62156AE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39AFD5C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周边环境类</w:t>
            </w:r>
          </w:p>
        </w:tc>
        <w:tc>
          <w:tcPr>
            <w:tcW w:w="1859" w:type="pct"/>
            <w:shd w:val="clear" w:color="auto" w:fill="auto"/>
            <w:vAlign w:val="center"/>
          </w:tcPr>
          <w:p w14:paraId="4E904DF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光气、氯气等剧毒气体及硫化氢气体管道穿越除厂区(包括化工园区、工业园区）外的公共区域。</w:t>
            </w:r>
          </w:p>
        </w:tc>
        <w:tc>
          <w:tcPr>
            <w:tcW w:w="1615" w:type="pct"/>
            <w:shd w:val="clear" w:color="auto" w:fill="auto"/>
            <w:vAlign w:val="center"/>
          </w:tcPr>
          <w:p w14:paraId="01179195">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 第八条</w:t>
            </w:r>
          </w:p>
        </w:tc>
        <w:tc>
          <w:tcPr>
            <w:tcW w:w="187" w:type="pct"/>
            <w:shd w:val="clear" w:color="auto" w:fill="auto"/>
            <w:noWrap/>
            <w:vAlign w:val="center"/>
          </w:tcPr>
          <w:p w14:paraId="4CCFC7CC">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4D8F3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4F7F2C0C">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7F069791">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74BFB986">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周边环境类</w:t>
            </w:r>
          </w:p>
        </w:tc>
        <w:tc>
          <w:tcPr>
            <w:tcW w:w="1859" w:type="pct"/>
            <w:shd w:val="clear" w:color="auto" w:fill="auto"/>
            <w:vAlign w:val="center"/>
          </w:tcPr>
          <w:p w14:paraId="36F826E9">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地区架空电力线路穿越生产区且不符合国家标准要求。</w:t>
            </w:r>
          </w:p>
        </w:tc>
        <w:tc>
          <w:tcPr>
            <w:tcW w:w="1615" w:type="pct"/>
            <w:shd w:val="clear" w:color="auto" w:fill="auto"/>
            <w:vAlign w:val="center"/>
          </w:tcPr>
          <w:p w14:paraId="537D3AF4">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《化工和危险化学品生产经营单位重大生产安全事故隐患判定标准（试行）》第九条。</w:t>
            </w:r>
          </w:p>
        </w:tc>
        <w:tc>
          <w:tcPr>
            <w:tcW w:w="187" w:type="pct"/>
            <w:shd w:val="clear" w:color="auto" w:fill="auto"/>
            <w:noWrap/>
            <w:vAlign w:val="center"/>
          </w:tcPr>
          <w:p w14:paraId="4928BAE8">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w:t>
            </w:r>
          </w:p>
        </w:tc>
      </w:tr>
      <w:tr w14:paraId="2FF4F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20" w:type="pct"/>
            <w:shd w:val="clear" w:color="000000" w:fill="FFFFFF"/>
            <w:vAlign w:val="center"/>
          </w:tcPr>
          <w:p w14:paraId="030856E6">
            <w:pPr>
              <w:pStyle w:val="44"/>
              <w:widowControl/>
              <w:numPr>
                <w:ilvl w:val="0"/>
                <w:numId w:val="1"/>
              </w:numPr>
              <w:adjustRightInd w:val="0"/>
              <w:snapToGrid w:val="0"/>
              <w:ind w:left="0" w:firstLine="0" w:firstLineChars="0"/>
              <w:jc w:val="right"/>
              <w:rPr>
                <w:rFonts w:ascii="仿宋_GB2312" w:hAnsi="等线" w:eastAsia="仿宋_GB2312" w:cs="宋体"/>
                <w:color w:val="000000" w:themeColor="text1"/>
                <w:kern w:val="0"/>
                <w:sz w:val="20"/>
                <w:szCs w:val="20"/>
                <w14:textFill>
                  <w14:solidFill>
                    <w14:schemeClr w14:val="tx1"/>
                  </w14:solidFill>
                </w14:textFill>
              </w:rPr>
            </w:pPr>
          </w:p>
        </w:tc>
        <w:tc>
          <w:tcPr>
            <w:tcW w:w="335" w:type="pct"/>
            <w:shd w:val="clear" w:color="auto" w:fill="auto"/>
            <w:vAlign w:val="center"/>
          </w:tcPr>
          <w:p w14:paraId="5B18D34E">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场所环境类</w:t>
            </w:r>
          </w:p>
        </w:tc>
        <w:tc>
          <w:tcPr>
            <w:tcW w:w="384" w:type="pct"/>
            <w:shd w:val="clear" w:color="auto" w:fill="auto"/>
            <w:vAlign w:val="center"/>
          </w:tcPr>
          <w:p w14:paraId="17BAED5F">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周边环境类</w:t>
            </w:r>
          </w:p>
        </w:tc>
        <w:tc>
          <w:tcPr>
            <w:tcW w:w="1859" w:type="pct"/>
            <w:shd w:val="clear" w:color="auto" w:fill="auto"/>
            <w:vAlign w:val="center"/>
          </w:tcPr>
          <w:p w14:paraId="6B580A22">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地区输油（输气）管道穿越厂区。</w:t>
            </w:r>
          </w:p>
        </w:tc>
        <w:tc>
          <w:tcPr>
            <w:tcW w:w="1615" w:type="pct"/>
            <w:shd w:val="clear" w:color="auto" w:fill="auto"/>
            <w:vAlign w:val="center"/>
          </w:tcPr>
          <w:p w14:paraId="299E19F1">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《石油化工企业设计防火标准（</w:t>
            </w:r>
            <w:r>
              <w:rPr>
                <w:rFonts w:ascii="仿宋_GB2312" w:hAnsi="等线" w:eastAsia="仿宋_GB2312" w:cs="宋体"/>
                <w:color w:val="000000" w:themeColor="text1"/>
                <w:kern w:val="0"/>
                <w:sz w:val="20"/>
                <w:szCs w:val="20"/>
                <w14:textFill>
                  <w14:solidFill>
                    <w14:schemeClr w14:val="tx1"/>
                  </w14:solidFill>
                </w14:textFill>
              </w:rPr>
              <w:t>2018年版）》（GB 50160-2008）第4.1.8条</w:t>
            </w:r>
          </w:p>
        </w:tc>
        <w:tc>
          <w:tcPr>
            <w:tcW w:w="187" w:type="pct"/>
            <w:shd w:val="clear" w:color="auto" w:fill="auto"/>
            <w:noWrap/>
            <w:vAlign w:val="center"/>
          </w:tcPr>
          <w:p w14:paraId="3EBA60BD">
            <w:pPr>
              <w:widowControl/>
              <w:adjustRightInd w:val="0"/>
              <w:snapToGrid w:val="0"/>
              <w:jc w:val="center"/>
              <w:rPr>
                <w:rFonts w:ascii="仿宋_GB2312" w:hAnsi="等线" w:eastAsia="仿宋_GB2312" w:cs="宋体"/>
                <w:color w:val="000000" w:themeColor="text1"/>
                <w:kern w:val="0"/>
                <w:sz w:val="20"/>
                <w:szCs w:val="20"/>
                <w14:textFill>
                  <w14:solidFill>
                    <w14:schemeClr w14:val="tx1"/>
                  </w14:solidFill>
                </w14:textFill>
              </w:rPr>
            </w:pPr>
          </w:p>
        </w:tc>
      </w:tr>
      <w:tr w14:paraId="343D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000" w:type="pct"/>
            <w:gridSpan w:val="6"/>
            <w:shd w:val="clear" w:color="auto" w:fill="auto"/>
            <w:vAlign w:val="center"/>
          </w:tcPr>
          <w:p w14:paraId="404089A0">
            <w:pPr>
              <w:widowControl/>
              <w:adjustRightInd w:val="0"/>
              <w:snapToGrid w:val="0"/>
              <w:jc w:val="left"/>
              <w:rPr>
                <w:rFonts w:ascii="仿宋_GB2312" w:hAnsi="等线" w:eastAsia="仿宋_GB2312" w:cs="宋体"/>
                <w:color w:val="000000" w:themeColor="text1"/>
                <w:kern w:val="0"/>
                <w:sz w:val="20"/>
                <w:szCs w:val="20"/>
                <w14:textFill>
                  <w14:solidFill>
                    <w14:schemeClr w14:val="tx1"/>
                  </w14:solidFill>
                </w14:textFill>
              </w:rPr>
            </w:pPr>
            <w:r>
              <w:rPr>
                <w:rFonts w:hint="eastAsia" w:ascii="仿宋_GB2312" w:hAnsi="等线" w:eastAsia="仿宋_GB2312" w:cs="宋体"/>
                <w:color w:val="000000" w:themeColor="text1"/>
                <w:kern w:val="0"/>
                <w:sz w:val="20"/>
                <w:szCs w:val="20"/>
                <w14:textFill>
                  <w14:solidFill>
                    <w14:schemeClr w14:val="tx1"/>
                  </w14:solidFill>
                </w14:textFill>
              </w:rPr>
              <w:t>注：加★为化工和危险化学品生产经营单位重大生产安全事故隐患。</w:t>
            </w:r>
          </w:p>
        </w:tc>
      </w:tr>
    </w:tbl>
    <w:p w14:paraId="536E5730">
      <w:pPr>
        <w:adjustRightInd w:val="0"/>
        <w:snapToGrid w:val="0"/>
        <w:rPr>
          <w:rFonts w:ascii="仿宋_GB2312" w:eastAsia="仿宋_GB2312"/>
          <w:sz w:val="20"/>
          <w:szCs w:val="20"/>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507401"/>
      <w:docPartObj>
        <w:docPartGallery w:val="autotext"/>
      </w:docPartObj>
    </w:sdtPr>
    <w:sdtContent>
      <w:p w14:paraId="68FFE50E">
        <w:pPr>
          <w:pStyle w:val="5"/>
          <w:jc w:val="center"/>
        </w:pPr>
        <w:r>
          <w:fldChar w:fldCharType="begin"/>
        </w:r>
        <w:r>
          <w:instrText xml:space="preserve">PAGE   \* MERGEFORMAT</w:instrText>
        </w:r>
        <w:r>
          <w:fldChar w:fldCharType="separate"/>
        </w:r>
        <w:r>
          <w:rPr>
            <w:lang w:val="zh-CN" w:eastAsia="zh-CN"/>
          </w:rPr>
          <w:t>2</w:t>
        </w:r>
        <w:r>
          <w:fldChar w:fldCharType="end"/>
        </w:r>
      </w:p>
    </w:sdtContent>
  </w:sdt>
  <w:p w14:paraId="15A0420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F0920"/>
    <w:multiLevelType w:val="multilevel"/>
    <w:tmpl w:val="164F0920"/>
    <w:lvl w:ilvl="0" w:tentative="0">
      <w:start w:val="1"/>
      <mc:AlternateContent>
        <mc:Choice Requires="w14">
          <w:numFmt w:val="custom" w:format="001, 002, 003, ..."/>
        </mc:Choice>
        <mc:Fallback>
          <w:numFmt w:val="decimal"/>
        </mc:Fallback>
      </mc:AlternateContent>
      <w:lvlText w:val="2023.001.01.%1"/>
      <w:lvlJc w:val="center"/>
      <w:pPr>
        <w:ind w:left="1999"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NTY5YWY4ZGY1MjNmNjVkYzU5ZmYzNTQ2MTk0YTUifQ=="/>
  </w:docVars>
  <w:rsids>
    <w:rsidRoot w:val="00543D54"/>
    <w:rsid w:val="00055E72"/>
    <w:rsid w:val="000C2CE4"/>
    <w:rsid w:val="000D0760"/>
    <w:rsid w:val="00126A28"/>
    <w:rsid w:val="00151C09"/>
    <w:rsid w:val="0016287A"/>
    <w:rsid w:val="001A27C5"/>
    <w:rsid w:val="001A4378"/>
    <w:rsid w:val="001A5347"/>
    <w:rsid w:val="001B7DD2"/>
    <w:rsid w:val="001D63AE"/>
    <w:rsid w:val="0020509B"/>
    <w:rsid w:val="00213BB1"/>
    <w:rsid w:val="00216D3E"/>
    <w:rsid w:val="00247978"/>
    <w:rsid w:val="00290F4C"/>
    <w:rsid w:val="00293D55"/>
    <w:rsid w:val="003501DE"/>
    <w:rsid w:val="00352511"/>
    <w:rsid w:val="00357EBD"/>
    <w:rsid w:val="003C55CE"/>
    <w:rsid w:val="003D008F"/>
    <w:rsid w:val="003E4A9B"/>
    <w:rsid w:val="003E654D"/>
    <w:rsid w:val="00457E3B"/>
    <w:rsid w:val="00491EC7"/>
    <w:rsid w:val="00541D36"/>
    <w:rsid w:val="00542FCF"/>
    <w:rsid w:val="00543D54"/>
    <w:rsid w:val="005639AB"/>
    <w:rsid w:val="00576E85"/>
    <w:rsid w:val="00577CEC"/>
    <w:rsid w:val="005A5EB5"/>
    <w:rsid w:val="005F197E"/>
    <w:rsid w:val="00692840"/>
    <w:rsid w:val="006B5A71"/>
    <w:rsid w:val="006C1707"/>
    <w:rsid w:val="006E5137"/>
    <w:rsid w:val="00741F10"/>
    <w:rsid w:val="00745A13"/>
    <w:rsid w:val="0075100E"/>
    <w:rsid w:val="00761B4E"/>
    <w:rsid w:val="007A146A"/>
    <w:rsid w:val="007C535C"/>
    <w:rsid w:val="007D7208"/>
    <w:rsid w:val="007F374D"/>
    <w:rsid w:val="00800796"/>
    <w:rsid w:val="00811053"/>
    <w:rsid w:val="0081552D"/>
    <w:rsid w:val="00841AD9"/>
    <w:rsid w:val="00841DBF"/>
    <w:rsid w:val="008E774A"/>
    <w:rsid w:val="00953529"/>
    <w:rsid w:val="009630A4"/>
    <w:rsid w:val="00997809"/>
    <w:rsid w:val="009B231A"/>
    <w:rsid w:val="009B71BA"/>
    <w:rsid w:val="009C2A82"/>
    <w:rsid w:val="009E0F9D"/>
    <w:rsid w:val="00A07273"/>
    <w:rsid w:val="00A1219E"/>
    <w:rsid w:val="00A96F45"/>
    <w:rsid w:val="00AB1EE5"/>
    <w:rsid w:val="00AC2C3F"/>
    <w:rsid w:val="00AF1BB8"/>
    <w:rsid w:val="00B0597E"/>
    <w:rsid w:val="00B20051"/>
    <w:rsid w:val="00B749F4"/>
    <w:rsid w:val="00BC11A6"/>
    <w:rsid w:val="00C2048D"/>
    <w:rsid w:val="00C32541"/>
    <w:rsid w:val="00C53378"/>
    <w:rsid w:val="00C56C33"/>
    <w:rsid w:val="00C742B2"/>
    <w:rsid w:val="00CD7826"/>
    <w:rsid w:val="00CE7288"/>
    <w:rsid w:val="00CF0647"/>
    <w:rsid w:val="00D0067B"/>
    <w:rsid w:val="00D11CF9"/>
    <w:rsid w:val="00D24156"/>
    <w:rsid w:val="00D45A3E"/>
    <w:rsid w:val="00D5736B"/>
    <w:rsid w:val="00D709A4"/>
    <w:rsid w:val="00D81543"/>
    <w:rsid w:val="00D831E3"/>
    <w:rsid w:val="00DA7C11"/>
    <w:rsid w:val="00DC11B9"/>
    <w:rsid w:val="00DE36F1"/>
    <w:rsid w:val="00DF0CC8"/>
    <w:rsid w:val="00DF6ACD"/>
    <w:rsid w:val="00E47E3E"/>
    <w:rsid w:val="00E95E32"/>
    <w:rsid w:val="00EB060D"/>
    <w:rsid w:val="00EB166D"/>
    <w:rsid w:val="00EC57D3"/>
    <w:rsid w:val="00EE641C"/>
    <w:rsid w:val="00F42615"/>
    <w:rsid w:val="00FA2C3E"/>
    <w:rsid w:val="00FD2693"/>
    <w:rsid w:val="00FE3360"/>
    <w:rsid w:val="00FE5298"/>
    <w:rsid w:val="1EE23B01"/>
    <w:rsid w:val="45FD8D1E"/>
    <w:rsid w:val="52E361B6"/>
    <w:rsid w:val="54A656ED"/>
    <w:rsid w:val="5C2A49B7"/>
    <w:rsid w:val="6D794DE7"/>
    <w:rsid w:val="6DED13A1"/>
    <w:rsid w:val="CF676CF9"/>
    <w:rsid w:val="D7F90173"/>
    <w:rsid w:val="DDE76DD5"/>
    <w:rsid w:val="FF77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3"/>
    <w:qFormat/>
    <w:uiPriority w:val="0"/>
    <w:pPr>
      <w:keepNext/>
      <w:keepLines/>
      <w:spacing w:before="340" w:after="330" w:line="576" w:lineRule="auto"/>
      <w:jc w:val="left"/>
      <w:outlineLvl w:val="0"/>
    </w:pPr>
    <w:rPr>
      <w:rFonts w:ascii="Times New Roman" w:hAnsi="Times New Roman" w:eastAsia="Times New Roman" w:cs="Times New Roman"/>
      <w:b/>
      <w:color w:val="000000"/>
      <w:kern w:val="44"/>
      <w:sz w:val="44"/>
      <w:szCs w:val="24"/>
      <w:lang w:eastAsia="en-US" w:bidi="en-US"/>
    </w:rPr>
  </w:style>
  <w:style w:type="paragraph" w:styleId="3">
    <w:name w:val="heading 2"/>
    <w:basedOn w:val="1"/>
    <w:next w:val="1"/>
    <w:link w:val="65"/>
    <w:semiHidden/>
    <w:unhideWhenUsed/>
    <w:qFormat/>
    <w:uiPriority w:val="0"/>
    <w:pPr>
      <w:keepNext/>
      <w:keepLines/>
      <w:jc w:val="center"/>
      <w:outlineLvl w:val="1"/>
    </w:pPr>
    <w:rPr>
      <w:rFonts w:ascii="Calibri Light" w:hAnsi="Calibri Light" w:eastAsia="黑体" w:cs="Times New Roman"/>
      <w:bCs/>
      <w:color w:val="000000"/>
      <w:sz w:val="28"/>
      <w:szCs w:val="32"/>
    </w:rPr>
  </w:style>
  <w:style w:type="paragraph" w:styleId="4">
    <w:name w:val="heading 3"/>
    <w:basedOn w:val="1"/>
    <w:next w:val="1"/>
    <w:link w:val="47"/>
    <w:semiHidden/>
    <w:unhideWhenUsed/>
    <w:qFormat/>
    <w:uiPriority w:val="0"/>
    <w:pPr>
      <w:keepNext/>
      <w:keepLines/>
      <w:spacing w:before="260" w:after="260" w:line="415" w:lineRule="auto"/>
      <w:jc w:val="left"/>
      <w:outlineLvl w:val="2"/>
    </w:pPr>
    <w:rPr>
      <w:rFonts w:ascii="Times New Roman" w:hAnsi="Times New Roman" w:eastAsia="Times New Roman" w:cs="Times New Roman"/>
      <w:b/>
      <w:bCs/>
      <w:color w:val="000000"/>
      <w:kern w:val="0"/>
      <w:sz w:val="32"/>
      <w:szCs w:val="32"/>
      <w:lang w:eastAsia="en-US" w:bidi="en-US"/>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62"/>
    <w:unhideWhenUsed/>
    <w:qFormat/>
    <w:uiPriority w:val="99"/>
    <w:pPr>
      <w:tabs>
        <w:tab w:val="center" w:pos="4153"/>
        <w:tab w:val="right" w:pos="8306"/>
      </w:tabs>
      <w:snapToGrid w:val="0"/>
      <w:jc w:val="left"/>
    </w:pPr>
    <w:rPr>
      <w:rFonts w:ascii="Times New Roman" w:hAnsi="Times New Roman" w:eastAsia="Times New Roman" w:cs="Times New Roman"/>
      <w:color w:val="000000"/>
      <w:kern w:val="0"/>
      <w:sz w:val="18"/>
      <w:szCs w:val="24"/>
      <w:lang w:eastAsia="en-US" w:bidi="en-US"/>
    </w:rPr>
  </w:style>
  <w:style w:type="paragraph" w:styleId="6">
    <w:name w:val="header"/>
    <w:basedOn w:val="1"/>
    <w:link w:val="64"/>
    <w:unhideWhenUsed/>
    <w:qFormat/>
    <w:uiPriority w:val="0"/>
    <w:pPr>
      <w:tabs>
        <w:tab w:val="center" w:pos="4153"/>
        <w:tab w:val="right" w:pos="8306"/>
      </w:tabs>
      <w:snapToGrid w:val="0"/>
    </w:pPr>
    <w:rPr>
      <w:rFonts w:ascii="Times New Roman" w:hAnsi="Times New Roman" w:eastAsia="Times New Roman" w:cs="Times New Roman"/>
      <w:color w:val="000000"/>
      <w:kern w:val="0"/>
      <w:sz w:val="18"/>
      <w:szCs w:val="24"/>
      <w:lang w:eastAsia="en-US" w:bidi="en-US"/>
    </w:rPr>
  </w:style>
  <w:style w:type="table" w:styleId="8">
    <w:name w:val="Table Grid"/>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0"/>
    <w:rPr>
      <w:color w:val="954F72"/>
      <w:u w:val="single"/>
    </w:rPr>
  </w:style>
  <w:style w:type="character" w:styleId="11">
    <w:name w:val="Hyperlink"/>
    <w:basedOn w:val="9"/>
    <w:semiHidden/>
    <w:unhideWhenUsed/>
    <w:qFormat/>
    <w:uiPriority w:val="0"/>
    <w:rPr>
      <w:color w:val="0563C1"/>
      <w:u w:val="single"/>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5">
    <w:name w:val="font7"/>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6">
    <w:name w:val="font8"/>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7">
    <w:name w:val="font9"/>
    <w:basedOn w:val="1"/>
    <w:qFormat/>
    <w:uiPriority w:val="0"/>
    <w:pPr>
      <w:widowControl/>
      <w:spacing w:before="100" w:beforeAutospacing="1" w:after="100" w:afterAutospacing="1"/>
      <w:jc w:val="left"/>
    </w:pPr>
    <w:rPr>
      <w:rFonts w:ascii="仿宋_GB2312" w:hAnsi="宋体" w:eastAsia="仿宋_GB2312" w:cs="宋体"/>
      <w:b/>
      <w:bCs/>
      <w:color w:val="000000"/>
      <w:kern w:val="0"/>
      <w:sz w:val="20"/>
      <w:szCs w:val="20"/>
    </w:rPr>
  </w:style>
  <w:style w:type="paragraph" w:customStyle="1" w:styleId="1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0"/>
      <w:szCs w:val="20"/>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color w:val="000000"/>
      <w:kern w:val="0"/>
      <w:sz w:val="20"/>
      <w:szCs w:val="20"/>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kern w:val="0"/>
      <w:sz w:val="20"/>
      <w:szCs w:val="20"/>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_GB2312" w:hAnsi="宋体" w:eastAsia="仿宋_GB2312" w:cs="宋体"/>
      <w:color w:val="000000"/>
      <w:kern w:val="0"/>
      <w:sz w:val="20"/>
      <w:szCs w:val="20"/>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20"/>
      <w:szCs w:val="20"/>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9">
    <w:name w:val="xl76"/>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30">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eastAsia="宋体" w:cs="宋体"/>
      <w:kern w:val="0"/>
      <w:sz w:val="24"/>
      <w:szCs w:val="24"/>
    </w:rPr>
  </w:style>
  <w:style w:type="paragraph" w:customStyle="1" w:styleId="3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3">
    <w:name w:val="xl8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32"/>
      <w:szCs w:val="32"/>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84"/>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32"/>
      <w:szCs w:val="32"/>
    </w:rPr>
  </w:style>
  <w:style w:type="paragraph" w:customStyle="1" w:styleId="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color w:val="000000"/>
      <w:kern w:val="0"/>
      <w:sz w:val="20"/>
      <w:szCs w:val="20"/>
    </w:rPr>
  </w:style>
  <w:style w:type="paragraph" w:customStyle="1" w:styleId="42">
    <w:name w:val="xl8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3">
    <w:name w:val="xl90"/>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仿宋_GB2312" w:hAnsi="宋体" w:eastAsia="仿宋_GB2312" w:cs="宋体"/>
      <w:kern w:val="0"/>
      <w:sz w:val="20"/>
      <w:szCs w:val="20"/>
    </w:rPr>
  </w:style>
  <w:style w:type="paragraph" w:styleId="44">
    <w:name w:val="List Paragraph"/>
    <w:basedOn w:val="1"/>
    <w:qFormat/>
    <w:uiPriority w:val="34"/>
    <w:pPr>
      <w:ind w:firstLine="420" w:firstLineChars="200"/>
    </w:pPr>
  </w:style>
  <w:style w:type="character" w:customStyle="1" w:styleId="45">
    <w:name w:val="标题 1 字符"/>
    <w:basedOn w:val="9"/>
    <w:qFormat/>
    <w:uiPriority w:val="0"/>
    <w:rPr>
      <w:b/>
      <w:bCs/>
      <w:kern w:val="44"/>
      <w:sz w:val="44"/>
      <w:szCs w:val="44"/>
    </w:rPr>
  </w:style>
  <w:style w:type="character" w:customStyle="1" w:styleId="46">
    <w:name w:val="标题 2 字符"/>
    <w:basedOn w:val="9"/>
    <w:semiHidden/>
    <w:qFormat/>
    <w:uiPriority w:val="0"/>
    <w:rPr>
      <w:rFonts w:asciiTheme="majorHAnsi" w:hAnsiTheme="majorHAnsi" w:eastAsiaTheme="majorEastAsia" w:cstheme="majorBidi"/>
      <w:b/>
      <w:bCs/>
      <w:sz w:val="32"/>
      <w:szCs w:val="32"/>
    </w:rPr>
  </w:style>
  <w:style w:type="character" w:customStyle="1" w:styleId="47">
    <w:name w:val="标题 3 字符"/>
    <w:basedOn w:val="9"/>
    <w:link w:val="4"/>
    <w:semiHidden/>
    <w:qFormat/>
    <w:uiPriority w:val="0"/>
    <w:rPr>
      <w:rFonts w:ascii="Times New Roman" w:hAnsi="Times New Roman" w:eastAsia="Times New Roman" w:cs="Times New Roman"/>
      <w:b/>
      <w:bCs/>
      <w:color w:val="000000"/>
      <w:kern w:val="0"/>
      <w:sz w:val="32"/>
      <w:szCs w:val="32"/>
      <w:lang w:eastAsia="en-US" w:bidi="en-US"/>
    </w:rPr>
  </w:style>
  <w:style w:type="character" w:customStyle="1" w:styleId="48">
    <w:name w:val="页眉 字符"/>
    <w:basedOn w:val="9"/>
    <w:semiHidden/>
    <w:qFormat/>
    <w:uiPriority w:val="0"/>
    <w:rPr>
      <w:sz w:val="18"/>
      <w:szCs w:val="18"/>
    </w:rPr>
  </w:style>
  <w:style w:type="character" w:customStyle="1" w:styleId="49">
    <w:name w:val="页脚 字符"/>
    <w:basedOn w:val="9"/>
    <w:qFormat/>
    <w:uiPriority w:val="99"/>
    <w:rPr>
      <w:sz w:val="18"/>
      <w:szCs w:val="18"/>
    </w:rPr>
  </w:style>
  <w:style w:type="character" w:customStyle="1" w:styleId="50">
    <w:name w:val="Heading #1|1_"/>
    <w:basedOn w:val="9"/>
    <w:link w:val="51"/>
    <w:qFormat/>
    <w:locked/>
    <w:uiPriority w:val="0"/>
    <w:rPr>
      <w:rFonts w:ascii="宋体" w:hAnsi="宋体" w:eastAsia="宋体" w:cs="宋体"/>
      <w:b/>
      <w:bCs/>
      <w:lang w:val="zh-TW" w:eastAsia="zh-TW" w:bidi="zh-TW"/>
    </w:rPr>
  </w:style>
  <w:style w:type="paragraph" w:customStyle="1" w:styleId="51">
    <w:name w:val="Heading #1|1"/>
    <w:basedOn w:val="1"/>
    <w:link w:val="50"/>
    <w:qFormat/>
    <w:uiPriority w:val="0"/>
    <w:pPr>
      <w:spacing w:after="210"/>
      <w:jc w:val="center"/>
      <w:outlineLvl w:val="0"/>
    </w:pPr>
    <w:rPr>
      <w:rFonts w:ascii="宋体" w:hAnsi="宋体" w:eastAsia="宋体" w:cs="宋体"/>
      <w:b/>
      <w:bCs/>
      <w:lang w:val="zh-TW" w:eastAsia="zh-TW" w:bidi="zh-TW"/>
    </w:rPr>
  </w:style>
  <w:style w:type="character" w:customStyle="1" w:styleId="52">
    <w:name w:val="Header or footer|2_"/>
    <w:basedOn w:val="9"/>
    <w:link w:val="53"/>
    <w:qFormat/>
    <w:locked/>
    <w:uiPriority w:val="0"/>
  </w:style>
  <w:style w:type="paragraph" w:customStyle="1" w:styleId="53">
    <w:name w:val="Header or footer|2"/>
    <w:basedOn w:val="1"/>
    <w:link w:val="52"/>
    <w:qFormat/>
    <w:uiPriority w:val="0"/>
    <w:pPr>
      <w:jc w:val="left"/>
    </w:pPr>
  </w:style>
  <w:style w:type="character" w:customStyle="1" w:styleId="54">
    <w:name w:val="Body text|1_"/>
    <w:basedOn w:val="9"/>
    <w:link w:val="55"/>
    <w:qFormat/>
    <w:locked/>
    <w:uiPriority w:val="0"/>
    <w:rPr>
      <w:rFonts w:ascii="宋体" w:hAnsi="宋体" w:eastAsia="宋体" w:cs="宋体"/>
      <w:lang w:val="zh-TW" w:eastAsia="zh-TW" w:bidi="zh-TW"/>
    </w:rPr>
  </w:style>
  <w:style w:type="paragraph" w:customStyle="1" w:styleId="55">
    <w:name w:val="Body text|1"/>
    <w:basedOn w:val="1"/>
    <w:link w:val="54"/>
    <w:qFormat/>
    <w:uiPriority w:val="0"/>
    <w:pPr>
      <w:spacing w:after="220"/>
      <w:jc w:val="left"/>
    </w:pPr>
    <w:rPr>
      <w:rFonts w:ascii="宋体" w:hAnsi="宋体" w:eastAsia="宋体" w:cs="宋体"/>
      <w:lang w:val="zh-TW" w:eastAsia="zh-TW" w:bidi="zh-TW"/>
    </w:rPr>
  </w:style>
  <w:style w:type="character" w:customStyle="1" w:styleId="56">
    <w:name w:val="Other|1_"/>
    <w:basedOn w:val="9"/>
    <w:link w:val="57"/>
    <w:qFormat/>
    <w:locked/>
    <w:uiPriority w:val="0"/>
    <w:rPr>
      <w:rFonts w:ascii="宋体" w:hAnsi="宋体" w:eastAsia="宋体" w:cs="宋体"/>
      <w:sz w:val="18"/>
      <w:szCs w:val="18"/>
      <w:lang w:val="zh-TW" w:eastAsia="zh-TW" w:bidi="zh-TW"/>
    </w:rPr>
  </w:style>
  <w:style w:type="paragraph" w:customStyle="1" w:styleId="57">
    <w:name w:val="Other|1"/>
    <w:basedOn w:val="1"/>
    <w:link w:val="56"/>
    <w:qFormat/>
    <w:uiPriority w:val="0"/>
    <w:pPr>
      <w:jc w:val="left"/>
    </w:pPr>
    <w:rPr>
      <w:rFonts w:ascii="宋体" w:hAnsi="宋体" w:eastAsia="宋体" w:cs="宋体"/>
      <w:sz w:val="18"/>
      <w:szCs w:val="18"/>
      <w:lang w:val="zh-TW" w:eastAsia="zh-TW" w:bidi="zh-TW"/>
    </w:rPr>
  </w:style>
  <w:style w:type="character" w:customStyle="1" w:styleId="58">
    <w:name w:val="Table caption|1_"/>
    <w:basedOn w:val="9"/>
    <w:link w:val="59"/>
    <w:qFormat/>
    <w:locked/>
    <w:uiPriority w:val="0"/>
    <w:rPr>
      <w:rFonts w:ascii="宋体" w:hAnsi="宋体" w:eastAsia="宋体" w:cs="宋体"/>
      <w:sz w:val="18"/>
      <w:szCs w:val="18"/>
      <w:lang w:val="zh-TW" w:eastAsia="zh-TW" w:bidi="zh-TW"/>
    </w:rPr>
  </w:style>
  <w:style w:type="paragraph" w:customStyle="1" w:styleId="59">
    <w:name w:val="Table caption|1"/>
    <w:basedOn w:val="1"/>
    <w:link w:val="58"/>
    <w:qFormat/>
    <w:uiPriority w:val="0"/>
    <w:pPr>
      <w:jc w:val="left"/>
    </w:pPr>
    <w:rPr>
      <w:rFonts w:ascii="宋体" w:hAnsi="宋体" w:eastAsia="宋体" w:cs="宋体"/>
      <w:sz w:val="18"/>
      <w:szCs w:val="18"/>
      <w:lang w:val="zh-TW" w:eastAsia="zh-TW" w:bidi="zh-TW"/>
    </w:rPr>
  </w:style>
  <w:style w:type="paragraph" w:customStyle="1" w:styleId="60">
    <w:name w:val="Table Paragraph"/>
    <w:basedOn w:val="1"/>
    <w:qFormat/>
    <w:uiPriority w:val="0"/>
    <w:pPr>
      <w:autoSpaceDE w:val="0"/>
      <w:autoSpaceDN w:val="0"/>
      <w:adjustRightInd w:val="0"/>
      <w:ind w:firstLine="200" w:firstLineChars="200"/>
      <w:jc w:val="left"/>
    </w:pPr>
    <w:rPr>
      <w:rFonts w:ascii="Segoe UI" w:hAnsi="Segoe UI" w:eastAsia="宋体" w:cs="Times New Roman"/>
      <w:color w:val="000000"/>
      <w:kern w:val="0"/>
      <w:sz w:val="24"/>
      <w:szCs w:val="24"/>
    </w:rPr>
  </w:style>
  <w:style w:type="paragraph" w:customStyle="1" w:styleId="61">
    <w:name w:val="msonospacing"/>
    <w:basedOn w:val="1"/>
    <w:qFormat/>
    <w:uiPriority w:val="0"/>
    <w:pPr>
      <w:ind w:firstLine="200" w:firstLineChars="200"/>
      <w:jc w:val="left"/>
    </w:pPr>
    <w:rPr>
      <w:rFonts w:ascii="Calibri" w:hAnsi="Calibri" w:eastAsia="宋体" w:cs="Times New Roman"/>
      <w:color w:val="000000"/>
    </w:rPr>
  </w:style>
  <w:style w:type="character" w:customStyle="1" w:styleId="62">
    <w:name w:val="页脚 字符1"/>
    <w:basedOn w:val="9"/>
    <w:link w:val="5"/>
    <w:qFormat/>
    <w:locked/>
    <w:uiPriority w:val="0"/>
    <w:rPr>
      <w:rFonts w:ascii="Times New Roman" w:hAnsi="Times New Roman" w:eastAsia="Times New Roman" w:cs="Times New Roman"/>
      <w:color w:val="000000"/>
      <w:kern w:val="0"/>
      <w:sz w:val="18"/>
      <w:szCs w:val="24"/>
      <w:lang w:eastAsia="en-US" w:bidi="en-US"/>
    </w:rPr>
  </w:style>
  <w:style w:type="character" w:customStyle="1" w:styleId="63">
    <w:name w:val="标题 1 字符1"/>
    <w:basedOn w:val="9"/>
    <w:link w:val="2"/>
    <w:qFormat/>
    <w:locked/>
    <w:uiPriority w:val="0"/>
    <w:rPr>
      <w:rFonts w:ascii="Times New Roman" w:hAnsi="Times New Roman" w:eastAsia="Times New Roman" w:cs="Times New Roman"/>
      <w:b/>
      <w:color w:val="000000"/>
      <w:kern w:val="44"/>
      <w:sz w:val="44"/>
      <w:szCs w:val="24"/>
      <w:lang w:eastAsia="en-US" w:bidi="en-US"/>
    </w:rPr>
  </w:style>
  <w:style w:type="character" w:customStyle="1" w:styleId="64">
    <w:name w:val="页眉 字符1"/>
    <w:basedOn w:val="9"/>
    <w:link w:val="6"/>
    <w:qFormat/>
    <w:locked/>
    <w:uiPriority w:val="0"/>
    <w:rPr>
      <w:rFonts w:ascii="Times New Roman" w:hAnsi="Times New Roman" w:eastAsia="Times New Roman" w:cs="Times New Roman"/>
      <w:color w:val="000000"/>
      <w:kern w:val="0"/>
      <w:sz w:val="18"/>
      <w:szCs w:val="24"/>
      <w:lang w:eastAsia="en-US" w:bidi="en-US"/>
    </w:rPr>
  </w:style>
  <w:style w:type="character" w:customStyle="1" w:styleId="65">
    <w:name w:val="标题 2 字符1"/>
    <w:basedOn w:val="9"/>
    <w:link w:val="3"/>
    <w:semiHidden/>
    <w:qFormat/>
    <w:locked/>
    <w:uiPriority w:val="0"/>
    <w:rPr>
      <w:rFonts w:ascii="Calibri Light" w:hAnsi="Calibri Light" w:eastAsia="黑体" w:cs="Times New Roman"/>
      <w:bCs/>
      <w:color w:val="000000"/>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38851</Words>
  <Characters>42750</Characters>
  <Lines>326</Lines>
  <Paragraphs>91</Paragraphs>
  <TotalTime>63</TotalTime>
  <ScaleCrop>false</ScaleCrop>
  <LinksUpToDate>false</LinksUpToDate>
  <CharactersWithSpaces>43371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2023-05-07T02:48:00Z</dcterms:created>
  <dc:creator>姚 伟</dc:creator>
  <cp:lastModifiedBy>Administrator</cp:lastModifiedBy>
  <cp:lastPrinted>2023-05-08T17:17:00Z</cp:lastPrinted>
  <dcterms:modified xsi:type="dcterms:W3CDTF">2025-03-21T06:43:34Z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7B913520D72D421C9EC4528A6A28707D</vt:lpwstr>
  </property>
  <property fmtid="{D5CDD505-2E9C-101B-9397-08002B2CF9AE}" pid="4" name="KSOTemplateDocerSaveRecord">
    <vt:lpwstr>eyJoZGlkIjoiYmUxZDYzMjkxODI1Mjk4OWVjMTYxNmVkNGZjODA2Y2QifQ==</vt:lpwstr>
  </property>
</Properties>
</file>