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drawing>
          <wp:inline distT="0" distB="0" distL="114300" distR="114300">
            <wp:extent cx="1605915" cy="1736090"/>
            <wp:effectExtent l="0" t="0" r="6985" b="3810"/>
            <wp:docPr id="31" name="图片 31" descr="16--2寸免冠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2寸免冠照"/>
                    <pic:cNvPicPr>
                      <a:picLocks noChangeAspect="1"/>
                    </pic:cNvPicPr>
                  </pic:nvPicPr>
                  <pic:blipFill>
                    <a:blip r:embed="rId4"/>
                    <a:stretch>
                      <a:fillRect/>
                    </a:stretch>
                  </pic:blipFill>
                  <pic:spPr>
                    <a:xfrm>
                      <a:off x="0" y="0"/>
                      <a:ext cx="1605915" cy="1736090"/>
                    </a:xfrm>
                    <a:prstGeom prst="rect">
                      <a:avLst/>
                    </a:prstGeom>
                  </pic:spPr>
                </pic:pic>
              </a:graphicData>
            </a:graphic>
          </wp:inline>
        </w:drawing>
      </w:r>
    </w:p>
    <w:p>
      <w:pPr>
        <w:widowControl w:val="0"/>
        <w:spacing w:after="0" w:line="300" w:lineRule="auto"/>
        <w:jc w:val="both"/>
        <w:rPr>
          <w:rFonts w:hint="eastAsia" w:ascii="Calibri" w:hAnsi="Calibri" w:eastAsia="宋体" w:cs="Times New Roman"/>
          <w:b/>
          <w:bCs/>
          <w:kern w:val="2"/>
          <w:sz w:val="36"/>
          <w:szCs w:val="36"/>
          <w:lang w:eastAsia="zh-CN"/>
        </w:rPr>
      </w:pPr>
      <w:r>
        <w:rPr>
          <w:rFonts w:hint="eastAsia" w:ascii="Calibri" w:hAnsi="Calibri" w:eastAsia="宋体" w:cs="Times New Roman"/>
          <w:b/>
          <w:bCs/>
          <w:kern w:val="2"/>
          <w:sz w:val="36"/>
          <w:szCs w:val="36"/>
        </w:rPr>
        <w:t>姓名：</w:t>
      </w:r>
      <w:r>
        <w:rPr>
          <w:rFonts w:hint="eastAsia" w:ascii="Calibri" w:hAnsi="Calibri" w:eastAsia="宋体" w:cs="Times New Roman"/>
          <w:b/>
          <w:bCs/>
          <w:kern w:val="2"/>
          <w:sz w:val="36"/>
          <w:szCs w:val="36"/>
          <w:lang w:val="en-US" w:eastAsia="zh-CN"/>
        </w:rPr>
        <w:t>胡燕祝</w:t>
      </w:r>
    </w:p>
    <w:p>
      <w:pPr>
        <w:widowControl w:val="0"/>
        <w:spacing w:after="0" w:line="300" w:lineRule="auto"/>
        <w:jc w:val="both"/>
        <w:rPr>
          <w:rFonts w:hint="eastAsia" w:ascii="Calibri" w:hAnsi="Calibri" w:eastAsia="宋体" w:cs="Times New Roman"/>
          <w:b/>
          <w:bCs/>
          <w:kern w:val="2"/>
          <w:sz w:val="36"/>
          <w:szCs w:val="36"/>
          <w:lang w:val="en-US" w:eastAsia="zh-CN"/>
        </w:rPr>
      </w:pPr>
      <w:r>
        <w:rPr>
          <w:rFonts w:hint="eastAsia" w:ascii="Calibri" w:hAnsi="Calibri" w:eastAsia="宋体" w:cs="Times New Roman"/>
          <w:b/>
          <w:bCs/>
          <w:kern w:val="2"/>
          <w:sz w:val="36"/>
          <w:szCs w:val="36"/>
        </w:rPr>
        <w:t>单位：北京邮电大学</w:t>
      </w:r>
    </w:p>
    <w:p>
      <w:pPr>
        <w:widowControl w:val="0"/>
        <w:spacing w:after="0" w:line="300" w:lineRule="auto"/>
        <w:jc w:val="both"/>
        <w:rPr>
          <w:rFonts w:hint="eastAsia" w:ascii="Calibri" w:hAnsi="Calibri" w:eastAsia="宋体" w:cs="Times New Roman"/>
          <w:b/>
          <w:bCs/>
          <w:kern w:val="2"/>
          <w:sz w:val="36"/>
          <w:szCs w:val="36"/>
        </w:rPr>
      </w:pPr>
      <w:r>
        <w:rPr>
          <w:rFonts w:hint="eastAsia" w:ascii="Calibri" w:hAnsi="Calibri" w:eastAsia="宋体" w:cs="Times New Roman"/>
          <w:b/>
          <w:bCs/>
          <w:kern w:val="2"/>
          <w:sz w:val="36"/>
          <w:szCs w:val="36"/>
        </w:rPr>
        <w:t>主要业绩：</w:t>
      </w:r>
    </w:p>
    <w:p>
      <w:pPr>
        <w:keepNext w:val="0"/>
        <w:keepLines w:val="0"/>
        <w:pageBreakBefore w:val="0"/>
        <w:widowControl w:val="0"/>
        <w:kinsoku/>
        <w:wordWrap/>
        <w:overflowPunct/>
        <w:topLinePunct w:val="0"/>
        <w:autoSpaceDE/>
        <w:autoSpaceDN/>
        <w:bidi w:val="0"/>
        <w:spacing w:after="0" w:line="300" w:lineRule="auto"/>
        <w:ind w:firstLine="482" w:firstLineChars="20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一、学科与实验室建设</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在北京邮电大学筹建“安全生产智能监控北京市重点实验室”并于2011年获批，该实验室成为北京市科学技术委员会首批认定的七个市级重点实验室之一。</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托北京邮电大学在信息领域的领先优势，作为北京邮电大学控制科学与工程学科方向负责人之一，带领研究团队在安全生产事故致因网络、风险理论、安全应急专用监测及检测装置、事故应急救援装置、安全应急大数据分析与智能决策等方面形成了一批国内领先科技成果，为北京邮电大学开辟安全智能监控这一新的特色领域。为安全生产智能监控领域提供成套硬件装备、关键技术支撑。</w:t>
      </w:r>
    </w:p>
    <w:p>
      <w:pPr>
        <w:keepNext w:val="0"/>
        <w:keepLines w:val="0"/>
        <w:pageBreakBefore w:val="0"/>
        <w:widowControl/>
        <w:kinsoku/>
        <w:wordWrap/>
        <w:overflowPunct/>
        <w:topLinePunct w:val="0"/>
        <w:autoSpaceDE/>
        <w:autoSpaceDN/>
        <w:bidi w:val="0"/>
        <w:adjustRightInd w:val="0"/>
        <w:snapToGrid w:val="0"/>
        <w:spacing w:after="0" w:line="300" w:lineRule="auto"/>
        <w:ind w:firstLine="482" w:firstLineChars="200"/>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二、科技规划与建议</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十三五”国家重点研发计划重点专项总体专家组成员、北京市冬奥会委员会专家组成员、北京市安全生产专家，参与《第六次国家技术预测——公共安全装备领域国内外技术竞争评价研究》等国家及北京市安全应急领域科技发展规划的制定编写，为行业未来科技发展提供了智力支持。</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作为《天地一体化信息网络重大科技专项》需求与应用组专家成员，将天地一体化信息网络与安全应急相结合，为安全应急领域的通讯保障提供了新的技术途径。</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国家安全风险管理关键技术研究与应用”、“社区风险监测与防范关键技术研究”、“一体化综合减灾智能服务研究及应用示范”等11个国家重点研发计划的责任专家，对国家安全应急领域科技项目的推进进行全程跟踪和指导。</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三、科学研究</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2006年以来，带领研究团队承担十一五、十二五国家科技支撑计划项目5项、十三五国家重点研发计划项目1项，国家自然科学基金重大仪器项目1项，北京市自然基金项目2项，北京市科技计划项目9项。研究成果获得北京市科学技术奖4项，在国内外发表学术论文70余篇，获授权发明专利2项，起草安全应急行业强制性标准8项。相关成果被《北京日报》等重要新闻媒体报导。主要科研业绩如下：</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研制北京地区重大危险源监控及网络化监管系统，构建了北京市重大危险源三级监控体系架构、研制了现场无干扰专用监测装置，将重大危险源监测模式由传统工业过程中低报、中报、高高报的报警模式，升级为数据驱动的智能趋势预警模式。个人因此获得第五届安全生产科技成果奖二等奖。</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研发城市安全生产动态风险监管系统。在现有业务系统、物联网系统数据融合的基础上，基于企业安全生产台账、隐患排查数据、危险源监测数据，开展半定量风险评估，研制了专用监测设备，并提出了适用于城市运行风险动态评估模型，通过网格化的风险区划，为城市安全运行提供决策支持。</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研制地下扰动场光纤感测仪。针对城市环境复杂地下环境的特点，研发了基于OTDR技术的光纤传感仪器，突破了声纹信号去噪、识别、定位等关键技术，首次利用既有光线传输网络，建立了地下声场光线传感网络，并在热力、城市燃气管网进行应用。该系统非开挖的技术特点，得到了用户单位的一致好评。</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基于机器视觉的城市道路智能监测技术。将光流法、图像比对、帧差法、姿态识别等算法引入城市道路智能监测系统，实现突发事件及违章、道路异常状况智能识别，在京门第一路（京通快速路）进行了示范应用，系统运行状况良好。</w:t>
      </w:r>
    </w:p>
    <w:p>
      <w:pPr>
        <w:keepNext w:val="0"/>
        <w:keepLines w:val="0"/>
        <w:pageBreakBefore w:val="0"/>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突破了基于大数据分析的城市安全画像关键技术，定义了企业安全状况、安全监管状况定量特征指标，并通过脸谱聚类图的方式进行可视化展示。相关成果受邀在北京2022年科技冬奥研讨会风险论坛、2019中国地理信息科学理论与方法学术年会“社区风险监测与防范技术及应用”等作特邀报告、在《安全》“特别策划”栏目中进行了专门报道。</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主持制定了《企业安全生产网络化监测系统技术规范》、《危险场所网络化监测系统专用数据采集器检测检验技术规范》、《危险场所网络化监测系统专用安全隔离装置检测检验技术规范》等多项行业强制性标准，提升了行业规范化水平。</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四、人才培养</w:t>
      </w:r>
    </w:p>
    <w:p>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2010年以来，累积培养硕士研究生46名、其中博士研究生10名、硕士研究生36名。指导学生开展《安全生产事故失效机理与演化防控研究》、《工业设备监测参量关联网络推断及设备异常检测方法研究》、《基于图像增强的复杂环境下微弱信号识别方法研究》、《基于分布式光纤声场数据的地下声源定位与识别研究》，为安全应急领域输送大量人才</w:t>
      </w:r>
      <w:bookmarkStart w:id="0" w:name="_GoBack"/>
      <w:bookmarkEnd w:id="0"/>
      <w:r>
        <w:rPr>
          <w:rFonts w:hint="eastAsia" w:asciiTheme="minorEastAsia" w:hAnsiTheme="minorEastAsia" w:eastAsiaTheme="minorEastAsia" w:cstheme="minor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A30DC"/>
    <w:rsid w:val="2CCD04DB"/>
    <w:rsid w:val="30467608"/>
    <w:rsid w:val="30F5476D"/>
    <w:rsid w:val="3E4C42B0"/>
    <w:rsid w:val="4AA407AB"/>
    <w:rsid w:val="69052AE5"/>
    <w:rsid w:val="72296A9F"/>
    <w:rsid w:val="74652ECD"/>
    <w:rsid w:val="74E4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等线" w:hAnsi="等线" w:eastAsia="等线"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MTDisplayEquation"/>
    <w:basedOn w:val="1"/>
    <w:next w:val="1"/>
    <w:qFormat/>
    <w:uiPriority w:val="0"/>
    <w:pPr>
      <w:tabs>
        <w:tab w:val="center" w:pos="4140"/>
        <w:tab w:val="right" w:pos="8280"/>
      </w:tabs>
      <w:adjustRightInd w:val="0"/>
      <w:spacing w:line="360" w:lineRule="auto"/>
      <w:ind w:firstLine="585" w:firstLineChars="225"/>
      <w:jc w:val="right"/>
      <w:textAlignment w:val="baseline"/>
    </w:pPr>
    <w:rPr>
      <w:rFonts w:ascii="宋体"/>
      <w:color w:val="000000"/>
      <w:spacing w:val="10"/>
      <w:kern w:val="0"/>
      <w:sz w:val="24"/>
    </w:rPr>
  </w:style>
  <w:style w:type="paragraph" w:customStyle="1" w:styleId="5">
    <w:name w:val="正文李全明 Char"/>
    <w:basedOn w:val="1"/>
    <w:qFormat/>
    <w:uiPriority w:val="0"/>
    <w:pPr>
      <w:adjustRightInd w:val="0"/>
      <w:spacing w:line="400" w:lineRule="exact"/>
      <w:ind w:firstLine="480" w:firstLineChars="200"/>
      <w:textAlignment w:val="baseline"/>
    </w:pPr>
    <w:rPr>
      <w:rFonts w:cs="宋体"/>
      <w:color w:val="000000"/>
      <w:kern w:val="0"/>
      <w:sz w:val="24"/>
      <w:szCs w:val="20"/>
    </w:rPr>
  </w:style>
  <w:style w:type="paragraph" w:customStyle="1" w:styleId="6">
    <w:name w:val="样式 博士论文正文 + 首行缩进:  2 字符 Char"/>
    <w:basedOn w:val="1"/>
    <w:qFormat/>
    <w:uiPriority w:val="0"/>
    <w:pPr>
      <w:adjustRightInd w:val="0"/>
      <w:spacing w:line="400" w:lineRule="exact"/>
      <w:ind w:firstLine="200" w:firstLineChars="200"/>
      <w:textAlignment w:val="baseline"/>
    </w:pPr>
    <w:rPr>
      <w:rFonts w:cs="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2019-11-13T05:43:55Z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