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06170">
      <w:pPr>
        <w:adjustRightInd w:val="0"/>
        <w:snapToGrid w:val="0"/>
        <w:spacing w:line="560" w:lineRule="exact"/>
        <w:jc w:val="center"/>
        <w:rPr>
          <w:rFonts w:hint="eastAsia" w:ascii="黑体" w:eastAsia="黑体"/>
          <w:b/>
          <w:bCs/>
          <w:sz w:val="52"/>
          <w:szCs w:val="52"/>
        </w:rPr>
      </w:pPr>
      <w:bookmarkStart w:id="0" w:name="_Toc437468682"/>
      <w:bookmarkStart w:id="1" w:name="_Toc437465502"/>
    </w:p>
    <w:p w14:paraId="723F85CB">
      <w:pPr>
        <w:adjustRightInd w:val="0"/>
        <w:snapToGrid w:val="0"/>
        <w:spacing w:line="560" w:lineRule="exact"/>
        <w:jc w:val="center"/>
        <w:rPr>
          <w:rFonts w:hint="eastAsia" w:ascii="黑体" w:eastAsia="黑体"/>
          <w:b/>
          <w:bCs/>
          <w:sz w:val="52"/>
          <w:szCs w:val="52"/>
        </w:rPr>
      </w:pPr>
    </w:p>
    <w:p w14:paraId="0E0654A1">
      <w:pPr>
        <w:adjustRightInd w:val="0"/>
        <w:snapToGrid w:val="0"/>
        <w:spacing w:line="560" w:lineRule="exact"/>
        <w:jc w:val="center"/>
        <w:rPr>
          <w:rFonts w:hint="eastAsia" w:ascii="黑体" w:eastAsia="黑体"/>
          <w:b/>
          <w:bCs/>
          <w:sz w:val="52"/>
          <w:szCs w:val="52"/>
        </w:rPr>
      </w:pPr>
    </w:p>
    <w:p w14:paraId="2BB33E6A">
      <w:pPr>
        <w:adjustRightInd w:val="0"/>
        <w:snapToGrid w:val="0"/>
        <w:spacing w:line="560" w:lineRule="exact"/>
        <w:jc w:val="center"/>
        <w:rPr>
          <w:rFonts w:hint="eastAsia" w:ascii="黑体" w:eastAsia="黑体"/>
          <w:b/>
          <w:bCs/>
          <w:sz w:val="52"/>
          <w:szCs w:val="52"/>
        </w:rPr>
      </w:pPr>
    </w:p>
    <w:p w14:paraId="7FBE66EF">
      <w:pPr>
        <w:adjustRightInd w:val="0"/>
        <w:snapToGrid w:val="0"/>
        <w:spacing w:line="560" w:lineRule="exact"/>
        <w:jc w:val="center"/>
        <w:rPr>
          <w:rFonts w:hint="eastAsia" w:ascii="黑体" w:eastAsia="黑体"/>
          <w:b/>
          <w:bCs/>
          <w:sz w:val="52"/>
          <w:szCs w:val="52"/>
        </w:rPr>
      </w:pPr>
    </w:p>
    <w:p w14:paraId="291B473E">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《韧性城市建设指南》</w:t>
      </w:r>
    </w:p>
    <w:p w14:paraId="61B32DF5">
      <w:pPr>
        <w:adjustRightInd w:val="0"/>
        <w:snapToGrid w:val="0"/>
        <w:spacing w:line="560" w:lineRule="exact"/>
        <w:jc w:val="center"/>
        <w:rPr>
          <w:rFonts w:hint="eastAsia"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rPr>
        <w:sym w:font="Wingdings 2" w:char="0052"/>
      </w:r>
      <w:r>
        <w:rPr>
          <w:rFonts w:hint="eastAsia" w:ascii="宋体" w:hAnsi="宋体" w:eastAsia="仿宋_GB2312"/>
          <w:sz w:val="32"/>
          <w:szCs w:val="32"/>
        </w:rPr>
        <w:t>征求意见稿</w:t>
      </w:r>
      <w:r>
        <w:rPr>
          <w:rFonts w:hint="eastAsia" w:ascii="宋体" w:hAnsi="宋体" w:eastAsia="仿宋_GB2312"/>
          <w:sz w:val="32"/>
          <w:szCs w:val="32"/>
        </w:rPr>
        <w:sym w:font="Wingdings 2" w:char="00A3"/>
      </w:r>
      <w:r>
        <w:rPr>
          <w:rFonts w:hint="eastAsia" w:ascii="宋体" w:hAnsi="宋体" w:eastAsia="仿宋_GB2312"/>
          <w:sz w:val="32"/>
          <w:szCs w:val="32"/>
        </w:rPr>
        <w:t>送审稿□报批稿）</w:t>
      </w:r>
    </w:p>
    <w:p w14:paraId="794484EF">
      <w:pPr>
        <w:pStyle w:val="12"/>
        <w:adjustRightInd w:val="0"/>
        <w:snapToGrid w:val="0"/>
        <w:spacing w:after="0" w:line="560" w:lineRule="exact"/>
        <w:ind w:left="0" w:leftChars="0"/>
        <w:rPr>
          <w:rFonts w:hint="eastAsia"/>
        </w:rPr>
      </w:pPr>
    </w:p>
    <w:p w14:paraId="00A4E0C8">
      <w:pPr>
        <w:adjustRightInd w:val="0"/>
        <w:snapToGrid w:val="0"/>
        <w:spacing w:line="56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编制说明</w:t>
      </w:r>
    </w:p>
    <w:p w14:paraId="0D0FA421">
      <w:pPr>
        <w:adjustRightInd w:val="0"/>
        <w:snapToGrid w:val="0"/>
        <w:spacing w:line="560" w:lineRule="exact"/>
        <w:jc w:val="center"/>
        <w:rPr>
          <w:rFonts w:hint="eastAsia"/>
        </w:rPr>
      </w:pPr>
    </w:p>
    <w:p w14:paraId="338192AC">
      <w:pPr>
        <w:pStyle w:val="12"/>
        <w:adjustRightInd w:val="0"/>
        <w:snapToGrid w:val="0"/>
        <w:spacing w:after="0" w:line="560" w:lineRule="exact"/>
        <w:ind w:left="0" w:leftChars="0"/>
        <w:rPr>
          <w:rFonts w:hint="eastAsia"/>
        </w:rPr>
      </w:pPr>
    </w:p>
    <w:p w14:paraId="02618071">
      <w:pPr>
        <w:pStyle w:val="12"/>
        <w:adjustRightInd w:val="0"/>
        <w:snapToGrid w:val="0"/>
        <w:spacing w:after="0" w:line="560" w:lineRule="exact"/>
        <w:ind w:left="0" w:leftChars="0"/>
        <w:rPr>
          <w:rFonts w:hint="eastAsia"/>
        </w:rPr>
      </w:pPr>
    </w:p>
    <w:p w14:paraId="2ACCD3AC">
      <w:pPr>
        <w:pStyle w:val="12"/>
        <w:adjustRightInd w:val="0"/>
        <w:snapToGrid w:val="0"/>
        <w:spacing w:after="0" w:line="560" w:lineRule="exact"/>
        <w:ind w:left="0" w:leftChars="0"/>
        <w:rPr>
          <w:rFonts w:hint="eastAsia"/>
        </w:rPr>
      </w:pPr>
    </w:p>
    <w:p w14:paraId="6DCD5959">
      <w:pPr>
        <w:pStyle w:val="12"/>
        <w:adjustRightInd w:val="0"/>
        <w:snapToGrid w:val="0"/>
        <w:spacing w:after="0" w:line="560" w:lineRule="exact"/>
        <w:ind w:left="0" w:leftChars="0"/>
        <w:rPr>
          <w:rFonts w:hint="eastAsia"/>
        </w:rPr>
      </w:pPr>
    </w:p>
    <w:p w14:paraId="012B497C">
      <w:pPr>
        <w:pStyle w:val="12"/>
        <w:adjustRightInd w:val="0"/>
        <w:snapToGrid w:val="0"/>
        <w:spacing w:after="0" w:line="560" w:lineRule="exact"/>
        <w:ind w:left="0" w:leftChars="0"/>
        <w:rPr>
          <w:rFonts w:hint="eastAsia"/>
        </w:rPr>
      </w:pPr>
    </w:p>
    <w:p w14:paraId="781DBE11">
      <w:pPr>
        <w:pStyle w:val="12"/>
        <w:adjustRightInd w:val="0"/>
        <w:snapToGrid w:val="0"/>
        <w:spacing w:after="0" w:line="560" w:lineRule="exact"/>
        <w:ind w:left="0" w:leftChars="0"/>
        <w:rPr>
          <w:rFonts w:hint="eastAsia"/>
        </w:rPr>
      </w:pPr>
    </w:p>
    <w:p w14:paraId="06F17FF5">
      <w:pPr>
        <w:pStyle w:val="12"/>
        <w:adjustRightInd w:val="0"/>
        <w:snapToGrid w:val="0"/>
        <w:spacing w:after="0" w:line="560" w:lineRule="exact"/>
        <w:ind w:left="0" w:leftChars="0"/>
        <w:rPr>
          <w:rFonts w:hint="eastAsia"/>
        </w:rPr>
      </w:pPr>
    </w:p>
    <w:p w14:paraId="754A5F38">
      <w:pPr>
        <w:pStyle w:val="12"/>
        <w:adjustRightInd w:val="0"/>
        <w:snapToGrid w:val="0"/>
        <w:spacing w:after="0" w:line="560" w:lineRule="exact"/>
        <w:ind w:left="0" w:leftChars="0"/>
        <w:rPr>
          <w:rFonts w:hint="eastAsia"/>
        </w:rPr>
      </w:pPr>
    </w:p>
    <w:p w14:paraId="7553336F">
      <w:pPr>
        <w:pStyle w:val="12"/>
        <w:adjustRightInd w:val="0"/>
        <w:snapToGrid w:val="0"/>
        <w:spacing w:after="0" w:line="560" w:lineRule="exact"/>
        <w:ind w:left="0" w:leftChars="0"/>
        <w:rPr>
          <w:rFonts w:hint="eastAsia"/>
        </w:rPr>
      </w:pPr>
    </w:p>
    <w:p w14:paraId="7A0D356E">
      <w:pPr>
        <w:pStyle w:val="12"/>
        <w:adjustRightInd w:val="0"/>
        <w:snapToGrid w:val="0"/>
        <w:spacing w:after="0" w:line="560" w:lineRule="exact"/>
        <w:ind w:left="0" w:leftChars="0"/>
        <w:rPr>
          <w:rFonts w:hint="eastAsia"/>
        </w:rPr>
      </w:pPr>
    </w:p>
    <w:bookmarkEnd w:id="0"/>
    <w:p w14:paraId="4243F191">
      <w:pPr>
        <w:adjustRightInd w:val="0"/>
        <w:snapToGrid w:val="0"/>
        <w:spacing w:line="560" w:lineRule="exact"/>
        <w:jc w:val="center"/>
        <w:rPr>
          <w:rFonts w:hint="eastAsia" w:ascii="宋体" w:hAnsi="宋体" w:eastAsia="仿宋_GB2312" w:cs="仿宋_GB2312"/>
          <w:sz w:val="32"/>
          <w:szCs w:val="32"/>
        </w:rPr>
      </w:pPr>
      <w:bookmarkStart w:id="2" w:name="_Toc437468683"/>
      <w:r>
        <w:rPr>
          <w:rFonts w:hint="eastAsia" w:ascii="宋体" w:hAnsi="宋体" w:eastAsia="仿宋_GB2312" w:cs="仿宋_GB2312"/>
          <w:sz w:val="32"/>
          <w:szCs w:val="32"/>
        </w:rPr>
        <w:t>标准编制组</w:t>
      </w:r>
    </w:p>
    <w:p w14:paraId="47C59916">
      <w:pPr>
        <w:adjustRightInd w:val="0"/>
        <w:snapToGrid w:val="0"/>
        <w:spacing w:line="560" w:lineRule="exact"/>
        <w:jc w:val="center"/>
        <w:rPr>
          <w:rFonts w:hint="eastAsia" w:ascii="宋体" w:hAnsi="宋体"/>
          <w:b/>
          <w:sz w:val="32"/>
          <w:szCs w:val="32"/>
        </w:rPr>
      </w:pPr>
      <w:r>
        <w:rPr>
          <w:rFonts w:hint="eastAsia" w:ascii="宋体" w:hAnsi="宋体" w:eastAsia="仿宋_GB2312" w:cs="仿宋_GB2312"/>
          <w:sz w:val="32"/>
          <w:szCs w:val="32"/>
        </w:rPr>
        <w:t>2025年10月</w:t>
      </w:r>
    </w:p>
    <w:p w14:paraId="15DDAAD9">
      <w:pPr>
        <w:tabs>
          <w:tab w:val="left" w:pos="906"/>
        </w:tabs>
        <w:adjustRightInd w:val="0"/>
        <w:snapToGrid w:val="0"/>
        <w:spacing w:line="560" w:lineRule="exact"/>
        <w:jc w:val="left"/>
        <w:rPr>
          <w:rFonts w:hint="eastAsia"/>
        </w:rPr>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bookmarkEnd w:id="1"/>
    <w:bookmarkEnd w:id="2"/>
    <w:p w14:paraId="32F172B4">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《韧性城市建设指南》</w:t>
      </w:r>
    </w:p>
    <w:p w14:paraId="39E989A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北京市地方标准编制说明</w:t>
      </w:r>
    </w:p>
    <w:p w14:paraId="1E4002AB">
      <w:pPr>
        <w:adjustRightInd w:val="0"/>
        <w:snapToGrid w:val="0"/>
        <w:spacing w:line="560" w:lineRule="exact"/>
        <w:ind w:firstLine="640" w:firstLineChars="200"/>
        <w:outlineLvl w:val="0"/>
        <w:rPr>
          <w:rFonts w:hint="eastAsia" w:ascii="黑体" w:hAnsi="黑体" w:eastAsia="黑体" w:cs="Times New Roman"/>
          <w:sz w:val="32"/>
          <w:szCs w:val="32"/>
        </w:rPr>
      </w:pPr>
    </w:p>
    <w:p w14:paraId="17A57CE5">
      <w:pPr>
        <w:adjustRightInd w:val="0"/>
        <w:snapToGrid w:val="0"/>
        <w:spacing w:line="560" w:lineRule="exact"/>
        <w:ind w:firstLine="640" w:firstLineChars="200"/>
        <w:outlineLvl w:val="0"/>
        <w:rPr>
          <w:rFonts w:hint="eastAsia" w:ascii="黑体" w:hAnsi="黑体" w:eastAsia="黑体" w:cs="Times New Roman"/>
          <w:sz w:val="32"/>
          <w:szCs w:val="32"/>
          <w:lang w:eastAsia="zh-CN"/>
        </w:rPr>
      </w:pPr>
      <w:r>
        <w:rPr>
          <w:rFonts w:hint="eastAsia" w:ascii="黑体" w:hAnsi="黑体" w:eastAsia="黑体" w:cs="Times New Roman"/>
          <w:sz w:val="32"/>
          <w:szCs w:val="32"/>
        </w:rPr>
        <w:t>一、任务来源</w:t>
      </w:r>
      <w:r>
        <w:rPr>
          <w:rFonts w:hint="eastAsia" w:ascii="黑体" w:hAnsi="黑体" w:eastAsia="黑体" w:cs="Times New Roman"/>
          <w:sz w:val="32"/>
          <w:szCs w:val="32"/>
          <w:lang w:eastAsia="zh-CN"/>
        </w:rPr>
        <w:t>，起草单位，协作单位，主要起草人</w:t>
      </w:r>
    </w:p>
    <w:p w14:paraId="1A13F862">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突发事件应对法》《中华人民共和国防震减灾法》《北京市国民经济和社会发展第十四个五年规划和二〇三五年远景目标的建议》《北京城市总体规划（2016—2035年）》《关于加快推进韧性城市建设的指导意见》（京办发〔2021〕27号）《中共北京市委贯彻〈中共中央关于进一步全面深化改革、 推进中国式现代化的决定〉的实施意见》等法律法规和文件，2025年1月22日北京市市场监督管理局印发《</w:t>
      </w:r>
      <w:r>
        <w:rPr>
          <w:rFonts w:hint="eastAsia" w:ascii="仿宋_GB2312" w:hAnsi="仿宋_GB2312" w:eastAsia="仿宋_GB2312" w:cs="仿宋_GB2312"/>
          <w:kern w:val="0"/>
          <w:sz w:val="32"/>
          <w:szCs w:val="32"/>
        </w:rPr>
        <w:t>2025年北京市地方标准修订项目计划的通知》（京市监发〔2025〕1号）</w:t>
      </w:r>
      <w:r>
        <w:rPr>
          <w:rFonts w:hint="eastAsia" w:ascii="仿宋_GB2312" w:hAnsi="仿宋_GB2312" w:eastAsia="仿宋_GB2312" w:cs="仿宋_GB2312"/>
          <w:sz w:val="32"/>
          <w:szCs w:val="32"/>
        </w:rPr>
        <w:t>，正式下达《韧性城市建设指南》地方标准计划，由北京市应急管理局归口管理，项目编号：20251143。受北京市应急管理局委托，由中国标准化研究院牵头，北京市应急管理科学技术研究院、北京市城市规划设计研究院、清华大学、北京市科学技术研究院参与《韧性城市建设指南》的研究和编制工作。主要起草人</w:t>
      </w:r>
      <w:r>
        <w:rPr>
          <w:rFonts w:hint="eastAsia" w:ascii="仿宋_GB2312" w:hAnsi="仿宋_GB2312" w:eastAsia="仿宋_GB2312" w:cs="仿宋_GB2312"/>
          <w:sz w:val="32"/>
          <w:szCs w:val="32"/>
          <w:lang w:eastAsia="zh-CN"/>
        </w:rPr>
        <w:t>：</w:t>
      </w:r>
    </w:p>
    <w:p w14:paraId="55E4720B">
      <w:pPr>
        <w:tabs>
          <w:tab w:val="left" w:pos="6051"/>
        </w:tabs>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二、制定标准的必要性和意义</w:t>
      </w:r>
      <w:r>
        <w:rPr>
          <w:rFonts w:hint="eastAsia" w:ascii="黑体" w:hAnsi="黑体" w:eastAsia="黑体" w:cs="Times New Roman"/>
          <w:sz w:val="32"/>
          <w:szCs w:val="32"/>
        </w:rPr>
        <w:tab/>
      </w:r>
    </w:p>
    <w:p w14:paraId="7C08FE88">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作为大国首都和超大型城市，地位特殊、受关注度高，城市系统复杂，面临的各种风险挑战不断增多，遇到灾害极易产生链式反应和叠加效应：（1）北京市地处高地震烈度地区（Ⅷ度），属暖温带半湿润大陆性季风气候，水资源短缺，存在诸多孕育自然灾害的条件；（2）北京市人口稠密、建筑密集、经济要素高度积聚，政治、文化及国际交往活动频繁，且</w:t>
      </w:r>
      <w:r>
        <w:rPr>
          <w:rFonts w:hint="eastAsia" w:ascii="仿宋_GB2312" w:hAnsi="仿宋_GB2312" w:eastAsia="仿宋_GB2312" w:cs="仿宋_GB2312"/>
          <w:sz w:val="32"/>
          <w:szCs w:val="32"/>
          <w:lang w:eastAsia="zh-CN"/>
        </w:rPr>
        <w:t>城乡接合部</w:t>
      </w:r>
      <w:r>
        <w:rPr>
          <w:rFonts w:hint="eastAsia" w:ascii="仿宋_GB2312" w:hAnsi="仿宋_GB2312" w:eastAsia="仿宋_GB2312" w:cs="仿宋_GB2312"/>
          <w:sz w:val="32"/>
          <w:szCs w:val="32"/>
        </w:rPr>
        <w:t>流动人口多，远郊区经济社会发展相对滞后，存在发生事故灾难、公共卫生事件和社会安全事件的诸多因素。北京市突发事件可划分为4大类（自然灾害、事故灾难、公共卫生事件和社会安全事件）、23分类、52种突发事件，近些年灾害事故频发，如北京“23·7”“25·7”暴雨洪涝灾害和“4·18”长峰医院火灾事故等，保障北京城市运行安全的工作需求十分迫切。</w:t>
      </w:r>
    </w:p>
    <w:p w14:paraId="579BC90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2020年10月29日，中国共产党第十九届中央委员会第五次全体会议上提出“推进以人为核心的新型城镇化……建设韧性城市”；2022年10月16日，习近平总书记在</w:t>
      </w:r>
      <w:r>
        <w:rPr>
          <w:rFonts w:hint="eastAsia" w:ascii="仿宋_GB2312" w:hAnsi="仿宋_GB2312" w:eastAsia="仿宋_GB2312" w:cs="仿宋_GB2312"/>
          <w:sz w:val="32"/>
          <w:szCs w:val="32"/>
          <w:lang w:eastAsia="zh-CN"/>
        </w:rPr>
        <w:t>党的二十大报告中提出</w:t>
      </w:r>
      <w:r>
        <w:rPr>
          <w:rFonts w:hint="eastAsia" w:ascii="仿宋_GB2312" w:hAnsi="仿宋_GB2312" w:eastAsia="仿宋_GB2312" w:cs="仿宋_GB2312"/>
          <w:sz w:val="32"/>
          <w:szCs w:val="32"/>
        </w:rPr>
        <w:t>“加快转变超大特大城市发展方式……打造宜居、韧性、智慧城市”。《“十四五”国家应急体系规划》《北京市国民经济和社会发展第十四个五年规划和二〇三五年远景目标纲要》《北京城市总体规划（2016年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等规划文件中均提到了韧性城市建设的重要性，并提出了一些指导性的指标。国家标准委等六部门联合印发《城市标准化行动方案》明确提出“加快制定韧性城市等关键领域安全和应急管理标准，为提升城市运行安全保障水平提供标准支撑”。首都标准化委员会制定印发《标准化助力＜2023年市政府工作报告＞重点工作任务行动方案》，作为年度重点任务之一，明确开展韧性城市标准体系建设任务要求，统筹协调全市各相关部门开展韧性城市标准化建设，助力首都防灾减灾能力提升。北京市在全国率先出台《关于加快推进韧性城市建设的指导意见》（京办发〔2021〕27号），经市政府批准，正式成立北京市推进韧性城市建设协调工作机制，文件确立了两步走建设目标，为北京市韧性城市建设提供了具体的目标方向和行动指南；发布《〈关于加快推进韧性城市建设的指导意见〉任务分工》（京韧建办发〔2022〕2号），划分了78类任务，文件要求各责任单位要自觉把韧性城市建设放在更加突出位置，落实到城市发展的各方面和全过程。</w:t>
      </w:r>
    </w:p>
    <w:p w14:paraId="3F747B9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为稳步推进韧性城市建设，及时发现和掌握韧性城市建设工作中的不足和薄弱环节并采取针对性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改进措施，深入了解城市韧性整体情况，需构建城市韧性建设评估方法，定期对城市韧性整体情况进行评价，逐步提升城市安全韧性水平。国家层面率先发布了GB/T 40947-2021《安全韧性城市评价指南》，从城市人员安全韧性、设施安全韧性和管理安全韧性三个维度对安全韧性城市建设进行评价，做出了很好的范本；北京市以防范化解首都重大安全风险为目标，针对北京城市建设与运行安全风险特点，结合北京市实际发展需要与特征，研制并发布了DB11/T 2280-2024《城市韧性评价导则》（以下简称《导则》），该文件从空间韧性、工程韧性、管理韧性和社会韧性四个维度进行评价，给出了评价方法和评价程序等信息。《导则》为北京城市韧性提升工作提供标准和工具支撑。</w:t>
      </w:r>
    </w:p>
    <w:p w14:paraId="1ED5734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发布的一系列韧性城市建设政策性文件、相关地方标准，为北京市韧性城市建设提供了指导。随着韧性城市建设工作的持续深入，通过积极探索与实践，北京市已积淀了一定的经验和成果。当前首都正处于实现高质量发展的关键时期，城市安全发展面临的内外部环境复杂严峻、不确定性因素与未知风险不断增加，韧性城市建设涉及的工作面更加广泛、统筹难度更大。</w:t>
      </w:r>
    </w:p>
    <w:p w14:paraId="4219562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韧性北京是提高城市灾害事故应对、恢复与适应能力的有效途径，可系统化持续提升城市整体韧性。为有序推进韧性城市建设，运用标准化手段助力韧性水平提升，现制定《韧性城市建设指南》，明确建设原则、内容与过程，为各区、各部门稳步推进韧性城市建设提供指引，助力北京市韧性水平稳步提高，对贯彻落实党的二十大“建设更高水平的平安中国”部署具有重大意义。</w:t>
      </w:r>
    </w:p>
    <w:p w14:paraId="6166D4D6">
      <w:pPr>
        <w:numPr>
          <w:ilvl w:val="-1"/>
          <w:numId w:val="0"/>
        </w:numPr>
        <w:adjustRightInd w:val="0"/>
        <w:snapToGrid w:val="0"/>
        <w:spacing w:line="560" w:lineRule="exact"/>
        <w:ind w:left="0"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三、适用对象基本情况</w:t>
      </w:r>
      <w:r>
        <w:rPr>
          <w:rFonts w:hint="eastAsia" w:ascii="黑体" w:hAnsi="黑体" w:eastAsia="黑体" w:cs="Times New Roman"/>
          <w:sz w:val="32"/>
          <w:szCs w:val="32"/>
          <w:lang w:eastAsia="zh-CN"/>
        </w:rPr>
        <w:t>。</w:t>
      </w:r>
    </w:p>
    <w:p w14:paraId="2D0B69A7">
      <w:pPr>
        <w:adjustRightInd w:val="0"/>
        <w:snapToGrid w:val="0"/>
        <w:spacing w:line="56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本文件适用于指导全市各类相关组织开展韧性城市建设。</w:t>
      </w:r>
      <w:r>
        <w:rPr>
          <w:rFonts w:hint="eastAsia" w:ascii="仿宋_GB2312" w:hAnsi="仿宋_GB2312" w:eastAsia="仿宋_GB2312" w:cs="仿宋_GB2312"/>
          <w:sz w:val="32"/>
          <w:szCs w:val="32"/>
          <w:lang w:val="en-US" w:eastAsia="zh-CN"/>
        </w:rPr>
        <w:t>包括各级涉及韧性城市建设的行政主管部门、相关社会组织以及企事业单位等。</w:t>
      </w:r>
      <w:bookmarkStart w:id="3" w:name="_GoBack"/>
      <w:bookmarkEnd w:id="3"/>
    </w:p>
    <w:p w14:paraId="5842FAEE">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、主要起草过程</w:t>
      </w:r>
    </w:p>
    <w:p w14:paraId="2B3B741F">
      <w:pPr>
        <w:ind w:firstLine="640" w:firstLineChars="200"/>
        <w:rPr>
          <w:rFonts w:hint="eastAsia" w:ascii="仿宋_GB2312" w:hAnsi="宋体" w:eastAsia="仿宋_GB2312"/>
          <w:sz w:val="32"/>
          <w:szCs w:val="32"/>
        </w:rPr>
      </w:pPr>
      <w:r>
        <w:rPr>
          <w:rFonts w:hint="eastAsia" w:ascii="仿宋_GB2312" w:hAnsi="宋体" w:eastAsia="仿宋_GB2312"/>
          <w:sz w:val="32"/>
          <w:szCs w:val="32"/>
        </w:rPr>
        <w:t>立项计划下达后，北京市应急管理局韧建处重点负责指导标准编制过程，中国标准化研究院及各参编单位负责标准技术内容的编制及相关材料准备，并按照标准编制程序有序开展相关工作。</w:t>
      </w:r>
    </w:p>
    <w:p w14:paraId="01FA6EE9">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具体重要时间节点如下：</w:t>
      </w:r>
    </w:p>
    <w:p w14:paraId="7F694C12">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2025年3月20日，成立标准编制组，并召开项目启动会，编制组</w:t>
      </w:r>
      <w:r>
        <w:rPr>
          <w:rFonts w:hint="eastAsia" w:ascii="仿宋_GB2312" w:hAnsi="仿宋_GB2312" w:eastAsia="仿宋_GB2312" w:cs="仿宋_GB2312"/>
          <w:sz w:val="32"/>
          <w:szCs w:val="32"/>
        </w:rPr>
        <w:t>明确了工作目标和工作原则，确定了工作内容和工作步骤，并</w:t>
      </w:r>
      <w:r>
        <w:rPr>
          <w:rFonts w:hint="eastAsia" w:ascii="仿宋_GB2312" w:hAnsi="宋体" w:eastAsia="仿宋_GB2312"/>
          <w:sz w:val="32"/>
          <w:szCs w:val="32"/>
        </w:rPr>
        <w:t>对前期调研成果进行梳理。</w:t>
      </w:r>
    </w:p>
    <w:p w14:paraId="037C5B8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lang w:eastAsia="zh-CN"/>
        </w:rPr>
        <w:t>2.</w:t>
      </w:r>
      <w:r>
        <w:rPr>
          <w:rFonts w:hint="eastAsia" w:ascii="仿宋_GB2312" w:hAnsi="仿宋_GB2312" w:eastAsia="仿宋_GB2312" w:cs="仿宋_GB2312"/>
          <w:sz w:val="32"/>
          <w:szCs w:val="32"/>
        </w:rPr>
        <w:t>2025年4月22日，编制组内部</w:t>
      </w:r>
      <w:r>
        <w:rPr>
          <w:rFonts w:hint="eastAsia" w:ascii="仿宋_GB2312" w:hAnsi="宋体" w:eastAsia="仿宋_GB2312"/>
          <w:sz w:val="32"/>
          <w:szCs w:val="32"/>
        </w:rPr>
        <w:t>召开第二次会议，</w:t>
      </w:r>
      <w:r>
        <w:rPr>
          <w:rFonts w:hint="eastAsia" w:ascii="仿宋_GB2312" w:hAnsi="仿宋_GB2312" w:eastAsia="仿宋_GB2312" w:cs="仿宋_GB2312"/>
          <w:sz w:val="32"/>
          <w:szCs w:val="32"/>
        </w:rPr>
        <w:t>分析标准的草案框架，形成了标准草案稿。</w:t>
      </w:r>
    </w:p>
    <w:p w14:paraId="584C3A5B">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2025年6月11日，标准</w:t>
      </w:r>
      <w:r>
        <w:rPr>
          <w:rFonts w:hint="eastAsia" w:ascii="仿宋_GB2312" w:hAnsi="仿宋_GB2312" w:eastAsia="仿宋_GB2312" w:cs="仿宋_GB2312"/>
          <w:sz w:val="32"/>
          <w:szCs w:val="32"/>
        </w:rPr>
        <w:t>编制</w:t>
      </w:r>
      <w:r>
        <w:rPr>
          <w:rFonts w:hint="eastAsia" w:ascii="仿宋_GB2312" w:hAnsi="宋体" w:eastAsia="仿宋_GB2312"/>
          <w:sz w:val="32"/>
          <w:szCs w:val="32"/>
        </w:rPr>
        <w:t>组组织召开第一次专家咨询会，邀请城市规划、城市安全、消防救援等领域专家就韧性城市建设内容进行专题研讨，与会专家提出多条建议，标准</w:t>
      </w:r>
      <w:r>
        <w:rPr>
          <w:rFonts w:hint="eastAsia" w:ascii="仿宋_GB2312" w:hAnsi="仿宋_GB2312" w:eastAsia="仿宋_GB2312" w:cs="仿宋_GB2312"/>
          <w:sz w:val="32"/>
          <w:szCs w:val="32"/>
        </w:rPr>
        <w:t>编制</w:t>
      </w:r>
      <w:r>
        <w:rPr>
          <w:rFonts w:hint="eastAsia" w:ascii="仿宋_GB2312" w:hAnsi="宋体" w:eastAsia="仿宋_GB2312"/>
          <w:sz w:val="32"/>
          <w:szCs w:val="32"/>
        </w:rPr>
        <w:t>组基于专家意见修改完善标准草案稿。</w:t>
      </w:r>
    </w:p>
    <w:p w14:paraId="5EA062A6">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4.</w:t>
      </w:r>
      <w:r>
        <w:rPr>
          <w:rFonts w:hint="eastAsia" w:ascii="仿宋_GB2312" w:hAnsi="宋体" w:eastAsia="仿宋_GB2312"/>
          <w:sz w:val="32"/>
          <w:szCs w:val="32"/>
        </w:rPr>
        <w:t>2025年8月19日，标准</w:t>
      </w:r>
      <w:r>
        <w:rPr>
          <w:rFonts w:hint="eastAsia" w:ascii="仿宋_GB2312" w:hAnsi="仿宋_GB2312" w:eastAsia="仿宋_GB2312" w:cs="仿宋_GB2312"/>
          <w:sz w:val="32"/>
          <w:szCs w:val="32"/>
        </w:rPr>
        <w:t>编制</w:t>
      </w:r>
      <w:r>
        <w:rPr>
          <w:rFonts w:hint="eastAsia" w:ascii="仿宋_GB2312" w:hAnsi="宋体" w:eastAsia="仿宋_GB2312"/>
          <w:sz w:val="32"/>
          <w:szCs w:val="32"/>
        </w:rPr>
        <w:t>组组织召开第二次专家咨询会，邀请城市运行、防灾减灾、气象、水利等领域专家就韧性城市建设内容进行专题研讨，标准</w:t>
      </w:r>
      <w:r>
        <w:rPr>
          <w:rFonts w:hint="eastAsia" w:ascii="仿宋_GB2312" w:hAnsi="仿宋_GB2312" w:eastAsia="仿宋_GB2312" w:cs="仿宋_GB2312"/>
          <w:sz w:val="32"/>
          <w:szCs w:val="32"/>
        </w:rPr>
        <w:t>编制</w:t>
      </w:r>
      <w:r>
        <w:rPr>
          <w:rFonts w:hint="eastAsia" w:ascii="仿宋_GB2312" w:hAnsi="宋体" w:eastAsia="仿宋_GB2312"/>
          <w:sz w:val="32"/>
          <w:szCs w:val="32"/>
        </w:rPr>
        <w:t>组基于专家意见进一步修改完善标准草案稿。</w:t>
      </w:r>
    </w:p>
    <w:p w14:paraId="3C600F91">
      <w:pPr>
        <w:ind w:firstLine="640" w:firstLineChars="200"/>
        <w:rPr>
          <w:rFonts w:ascii="Times New Roman" w:hAnsi="Times New Roman" w:eastAsia="黑体"/>
          <w:sz w:val="32"/>
          <w:szCs w:val="32"/>
        </w:rPr>
      </w:pPr>
      <w:r>
        <w:rPr>
          <w:rFonts w:hint="eastAsia" w:ascii="仿宋_GB2312" w:hAnsi="宋体" w:eastAsia="仿宋_GB2312"/>
          <w:sz w:val="32"/>
          <w:szCs w:val="32"/>
          <w:lang w:eastAsia="zh-CN"/>
        </w:rPr>
        <w:t>5.</w:t>
      </w:r>
      <w:r>
        <w:rPr>
          <w:rFonts w:hint="eastAsia" w:ascii="仿宋_GB2312" w:hAnsi="宋体" w:eastAsia="仿宋_GB2312"/>
          <w:sz w:val="32"/>
          <w:szCs w:val="32"/>
        </w:rPr>
        <w:t>2025年10月21日，标准</w:t>
      </w:r>
      <w:r>
        <w:rPr>
          <w:rFonts w:hint="eastAsia" w:ascii="仿宋_GB2312" w:hAnsi="仿宋_GB2312" w:eastAsia="仿宋_GB2312" w:cs="仿宋_GB2312"/>
          <w:sz w:val="32"/>
          <w:szCs w:val="32"/>
        </w:rPr>
        <w:t>编制组</w:t>
      </w:r>
      <w:r>
        <w:rPr>
          <w:rFonts w:hint="eastAsia" w:ascii="Times New Roman" w:hAnsi="Times New Roman" w:eastAsia="仿宋_GB2312"/>
          <w:sz w:val="32"/>
          <w:szCs w:val="32"/>
        </w:rPr>
        <w:t>组织专家研讨会，邀请来自北京市水科学技术研究院、北京工业大学、应急管理部大数据中心、中国城市规划设计研究院、北京市科学技术研究院等单位行业领域专家，共同讨论了标准框架及主要技术内容。与会专家主要重点围绕标准范围、建设内容提出修改意见。标准起草组就专家意见进行了修改，形成征求意见稿。</w:t>
      </w:r>
    </w:p>
    <w:p w14:paraId="1F35B0F6">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、制定标准的原则和依据，与现行法律、法规、标准的关系，与国内外同类标准水平的对比情况</w:t>
      </w:r>
    </w:p>
    <w:p w14:paraId="2BB343CC">
      <w:pPr>
        <w:ind w:firstLine="640" w:firstLineChars="200"/>
        <w:jc w:val="left"/>
        <w:rPr>
          <w:rFonts w:hint="eastAsia" w:ascii="仿宋_GB2312" w:eastAsia="仿宋_GB2312"/>
          <w:sz w:val="32"/>
          <w:szCs w:val="20"/>
        </w:rPr>
      </w:pPr>
      <w:r>
        <w:rPr>
          <w:rFonts w:hint="eastAsia" w:ascii="仿宋_GB2312" w:eastAsia="仿宋_GB2312"/>
          <w:sz w:val="32"/>
          <w:szCs w:val="20"/>
        </w:rPr>
        <w:t>本标准按照GB/T 1.1-2020《标准化工作导则  第一部分：标准化文件的结构和起草规则》的要求进行编写，符合国家有关</w:t>
      </w:r>
      <w:r>
        <w:rPr>
          <w:rFonts w:hint="eastAsia" w:ascii="仿宋_GB2312" w:eastAsia="仿宋_GB2312"/>
          <w:sz w:val="32"/>
          <w:szCs w:val="20"/>
          <w:lang w:eastAsia="zh-CN"/>
        </w:rPr>
        <w:t>法律法规</w:t>
      </w:r>
      <w:r>
        <w:rPr>
          <w:rFonts w:hint="eastAsia" w:ascii="仿宋_GB2312" w:eastAsia="仿宋_GB2312"/>
          <w:sz w:val="32"/>
          <w:szCs w:val="20"/>
        </w:rPr>
        <w:t>和方针、政策，</w:t>
      </w:r>
      <w:r>
        <w:rPr>
          <w:rFonts w:hint="eastAsia" w:ascii="仿宋_GB2312" w:hAnsi="宋体" w:eastAsia="仿宋_GB2312"/>
          <w:sz w:val="32"/>
          <w:szCs w:val="32"/>
        </w:rPr>
        <w:t>与已经颁布实施的韧性城市建设相关标准和文件协调配套，各有侧重，</w:t>
      </w:r>
      <w:r>
        <w:rPr>
          <w:rFonts w:hint="eastAsia" w:ascii="仿宋_GB2312" w:eastAsia="仿宋_GB2312"/>
          <w:sz w:val="32"/>
          <w:szCs w:val="20"/>
        </w:rPr>
        <w:t>在此基础上完成相关条款规定的设置。主要依据如下：</w:t>
      </w:r>
    </w:p>
    <w:p w14:paraId="054C2AEE">
      <w:pPr>
        <w:numPr>
          <w:ilvl w:val="-1"/>
          <w:numId w:val="0"/>
        </w:numPr>
        <w:ind w:firstLine="643" w:firstLineChars="200"/>
        <w:jc w:val="left"/>
        <w:rPr>
          <w:rFonts w:hint="eastAsia" w:ascii="仿宋_GB2312" w:eastAsia="仿宋_GB2312"/>
          <w:b/>
          <w:bCs/>
          <w:sz w:val="32"/>
          <w:szCs w:val="20"/>
        </w:rPr>
      </w:pPr>
      <w:r>
        <w:rPr>
          <w:rFonts w:hint="eastAsia" w:ascii="仿宋_GB2312" w:eastAsia="仿宋_GB2312"/>
          <w:b/>
          <w:bCs/>
          <w:sz w:val="32"/>
          <w:szCs w:val="20"/>
          <w:lang w:val="en-US" w:eastAsia="zh-CN"/>
        </w:rPr>
        <w:t>1.</w:t>
      </w:r>
      <w:r>
        <w:rPr>
          <w:rFonts w:hint="eastAsia" w:ascii="仿宋_GB2312" w:eastAsia="仿宋_GB2312"/>
          <w:b/>
          <w:bCs/>
          <w:sz w:val="32"/>
          <w:szCs w:val="20"/>
          <w:lang w:eastAsia="zh-CN"/>
        </w:rPr>
        <w:t>法律法规</w:t>
      </w:r>
      <w:r>
        <w:rPr>
          <w:rFonts w:hint="eastAsia" w:ascii="仿宋_GB2312" w:eastAsia="仿宋_GB2312"/>
          <w:b/>
          <w:bCs/>
          <w:sz w:val="32"/>
          <w:szCs w:val="20"/>
        </w:rPr>
        <w:t>、文件</w:t>
      </w:r>
    </w:p>
    <w:p w14:paraId="1D400DD3">
      <w:pPr>
        <w:ind w:firstLine="640" w:firstLineChars="200"/>
        <w:jc w:val="left"/>
        <w:rPr>
          <w:rFonts w:hint="eastAsia" w:ascii="仿宋_GB2312" w:eastAsia="仿宋_GB2312"/>
          <w:sz w:val="32"/>
          <w:szCs w:val="20"/>
        </w:rPr>
      </w:pPr>
      <w:r>
        <w:rPr>
          <w:rFonts w:hint="eastAsia" w:ascii="仿宋_GB2312" w:eastAsia="仿宋_GB2312"/>
          <w:sz w:val="32"/>
          <w:szCs w:val="20"/>
        </w:rPr>
        <w:t>（1）《中华人民共和国突发事件应对法》</w:t>
      </w:r>
    </w:p>
    <w:p w14:paraId="503DD876">
      <w:pPr>
        <w:ind w:firstLine="640" w:firstLineChars="200"/>
        <w:jc w:val="left"/>
        <w:rPr>
          <w:rFonts w:hint="eastAsia" w:ascii="仿宋_GB2312" w:eastAsia="仿宋_GB2312"/>
          <w:sz w:val="32"/>
          <w:szCs w:val="20"/>
        </w:rPr>
      </w:pPr>
      <w:r>
        <w:rPr>
          <w:rFonts w:hint="eastAsia" w:ascii="仿宋_GB2312" w:eastAsia="仿宋_GB2312"/>
          <w:sz w:val="32"/>
          <w:szCs w:val="20"/>
        </w:rPr>
        <w:t>第五条 突发事件应对工作实行预防为主、预防与应急相结合的原则。国家建立重大突发事件风险评估体系，对可能发生的突发事件进行综合性评估，减少重大突发事件的发生，最大限度地减轻重大突发事件的影响。</w:t>
      </w:r>
    </w:p>
    <w:p w14:paraId="7DB0AFCB">
      <w:pPr>
        <w:ind w:firstLine="640" w:firstLineChars="200"/>
        <w:jc w:val="left"/>
        <w:rPr>
          <w:rFonts w:hint="eastAsia" w:ascii="仿宋_GB2312" w:eastAsia="仿宋_GB2312"/>
          <w:sz w:val="32"/>
          <w:szCs w:val="20"/>
        </w:rPr>
      </w:pPr>
      <w:r>
        <w:rPr>
          <w:rFonts w:hint="eastAsia" w:ascii="仿宋_GB2312" w:eastAsia="仿宋_GB2312"/>
          <w:sz w:val="32"/>
          <w:szCs w:val="20"/>
        </w:rPr>
        <w:t>第十七条 地方各级人民政府和县级以上地方各级人民政府有关部门根据有关法律法规、规章、上级人民政府及其有关部门的应急预案以及本地区的实际情况，制定相应的突发事件应急预案。</w:t>
      </w:r>
    </w:p>
    <w:p w14:paraId="60F21C67">
      <w:pPr>
        <w:ind w:firstLine="640" w:firstLineChars="200"/>
        <w:jc w:val="left"/>
        <w:rPr>
          <w:rFonts w:hint="eastAsia" w:ascii="仿宋_GB2312" w:eastAsia="仿宋_GB2312"/>
          <w:sz w:val="32"/>
          <w:szCs w:val="20"/>
        </w:rPr>
      </w:pPr>
      <w:r>
        <w:rPr>
          <w:rFonts w:hint="eastAsia" w:ascii="仿宋_GB2312" w:eastAsia="仿宋_GB2312"/>
          <w:sz w:val="32"/>
          <w:szCs w:val="20"/>
        </w:rPr>
        <w:t>第三十七条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14:paraId="5891648A">
      <w:pPr>
        <w:ind w:firstLine="640" w:firstLineChars="200"/>
        <w:jc w:val="left"/>
        <w:rPr>
          <w:rFonts w:hint="eastAsia" w:ascii="仿宋_GB2312" w:eastAsia="仿宋_GB2312"/>
          <w:sz w:val="32"/>
          <w:szCs w:val="20"/>
        </w:rPr>
      </w:pPr>
      <w:r>
        <w:rPr>
          <w:rFonts w:hint="eastAsia" w:ascii="仿宋_GB2312" w:eastAsia="仿宋_GB2312"/>
          <w:sz w:val="32"/>
          <w:szCs w:val="20"/>
        </w:rPr>
        <w:t>（2）《中华人民共和国安全生产法》</w:t>
      </w:r>
    </w:p>
    <w:p w14:paraId="5AF572EB">
      <w:pPr>
        <w:ind w:firstLine="640" w:firstLineChars="200"/>
        <w:jc w:val="left"/>
        <w:rPr>
          <w:rFonts w:hint="eastAsia" w:ascii="仿宋_GB2312" w:eastAsia="仿宋_GB2312"/>
          <w:sz w:val="32"/>
          <w:szCs w:val="20"/>
        </w:rPr>
      </w:pPr>
      <w:r>
        <w:rPr>
          <w:rFonts w:hint="eastAsia" w:ascii="仿宋_GB2312" w:eastAsia="仿宋_GB2312"/>
          <w:sz w:val="32"/>
          <w:szCs w:val="20"/>
        </w:rPr>
        <w:t>第十八条 国家鼓励和支持安全生产科学技术研究和安全生产先进技术的推广应用，提高安全生产水平。</w:t>
      </w:r>
    </w:p>
    <w:p w14:paraId="2DED0735">
      <w:pPr>
        <w:ind w:firstLine="640" w:firstLineChars="200"/>
        <w:jc w:val="left"/>
        <w:rPr>
          <w:rFonts w:hint="eastAsia" w:ascii="仿宋_GB2312" w:eastAsia="仿宋_GB2312"/>
          <w:sz w:val="32"/>
          <w:szCs w:val="20"/>
        </w:rPr>
      </w:pPr>
      <w:r>
        <w:rPr>
          <w:rFonts w:hint="eastAsia" w:ascii="仿宋_GB2312" w:eastAsia="仿宋_GB2312"/>
          <w:sz w:val="32"/>
          <w:szCs w:val="20"/>
        </w:rPr>
        <w:t>第二十一条 建立健全并落实本单位全员安全生产责任制，加强安全生产标准化建设。</w:t>
      </w:r>
    </w:p>
    <w:p w14:paraId="4B651A63">
      <w:pPr>
        <w:ind w:firstLine="640" w:firstLineChars="200"/>
        <w:jc w:val="left"/>
        <w:rPr>
          <w:rFonts w:hint="eastAsia" w:ascii="仿宋_GB2312" w:eastAsia="仿宋_GB2312"/>
          <w:sz w:val="32"/>
          <w:szCs w:val="20"/>
        </w:rPr>
      </w:pPr>
      <w:r>
        <w:rPr>
          <w:rFonts w:hint="eastAsia" w:ascii="仿宋_GB2312" w:eastAsia="仿宋_GB2312"/>
          <w:sz w:val="32"/>
          <w:szCs w:val="20"/>
        </w:rPr>
        <w:t>（3）《中华人民共和国防震减灾法》</w:t>
      </w:r>
    </w:p>
    <w:p w14:paraId="5596FCCB">
      <w:pPr>
        <w:ind w:firstLine="640" w:firstLineChars="200"/>
        <w:jc w:val="left"/>
        <w:rPr>
          <w:rFonts w:hint="eastAsia" w:ascii="仿宋_GB2312" w:eastAsia="仿宋_GB2312"/>
          <w:sz w:val="32"/>
          <w:szCs w:val="20"/>
        </w:rPr>
      </w:pPr>
      <w:r>
        <w:rPr>
          <w:rFonts w:hint="eastAsia" w:ascii="仿宋_GB2312" w:eastAsia="仿宋_GB2312"/>
          <w:sz w:val="32"/>
          <w:szCs w:val="20"/>
        </w:rPr>
        <w:t>第三十五条 新建、扩建、改建建设工程，应当达到抗震设防要求。</w:t>
      </w:r>
    </w:p>
    <w:p w14:paraId="1E2E8CAF">
      <w:pPr>
        <w:ind w:firstLine="640" w:firstLineChars="200"/>
        <w:jc w:val="left"/>
        <w:rPr>
          <w:rFonts w:hint="eastAsia" w:ascii="仿宋_GB2312" w:eastAsia="仿宋_GB2312"/>
          <w:sz w:val="32"/>
          <w:szCs w:val="20"/>
        </w:rPr>
      </w:pPr>
      <w:r>
        <w:rPr>
          <w:rFonts w:hint="eastAsia" w:ascii="仿宋_GB2312" w:eastAsia="仿宋_GB2312"/>
          <w:sz w:val="32"/>
          <w:szCs w:val="20"/>
        </w:rPr>
        <w:t>第四十四条 县级人民政府及其有关部门和乡、镇人民政府、城市街道办事处等基层组织，应当组织开展地震应急知识的宣传普及活动和必要的地震应急救援演练，提高公民在地震灾害中自救互救的能力。</w:t>
      </w:r>
    </w:p>
    <w:p w14:paraId="63E6D31C">
      <w:pPr>
        <w:ind w:firstLine="640" w:firstLineChars="200"/>
        <w:jc w:val="left"/>
        <w:rPr>
          <w:rFonts w:hint="eastAsia" w:ascii="仿宋_GB2312" w:eastAsia="仿宋_GB2312"/>
          <w:sz w:val="32"/>
          <w:szCs w:val="20"/>
        </w:rPr>
      </w:pPr>
      <w:r>
        <w:rPr>
          <w:rFonts w:hint="eastAsia" w:ascii="仿宋_GB2312" w:eastAsia="仿宋_GB2312"/>
          <w:sz w:val="32"/>
          <w:szCs w:val="20"/>
        </w:rPr>
        <w:t>第四十五条 国家发展有财政支持的地震灾害保险事业，鼓励单位和个人参加地震灾害保险。</w:t>
      </w:r>
    </w:p>
    <w:p w14:paraId="52680F88">
      <w:pPr>
        <w:ind w:firstLine="640" w:firstLineChars="200"/>
        <w:jc w:val="left"/>
        <w:rPr>
          <w:rFonts w:hint="eastAsia" w:ascii="仿宋_GB2312" w:eastAsia="仿宋_GB2312"/>
          <w:sz w:val="32"/>
          <w:szCs w:val="20"/>
        </w:rPr>
      </w:pPr>
      <w:r>
        <w:rPr>
          <w:rFonts w:hint="eastAsia" w:ascii="仿宋_GB2312" w:eastAsia="仿宋_GB2312"/>
          <w:sz w:val="32"/>
          <w:szCs w:val="20"/>
        </w:rPr>
        <w:t>（4）《中华人民共和国消防法》</w:t>
      </w:r>
    </w:p>
    <w:p w14:paraId="59E343C3">
      <w:pPr>
        <w:ind w:firstLine="640" w:firstLineChars="200"/>
        <w:jc w:val="left"/>
        <w:rPr>
          <w:rFonts w:hint="eastAsia" w:ascii="仿宋_GB2312" w:eastAsia="仿宋_GB2312"/>
          <w:sz w:val="32"/>
          <w:szCs w:val="20"/>
        </w:rPr>
      </w:pPr>
      <w:r>
        <w:rPr>
          <w:rFonts w:hint="eastAsia" w:ascii="仿宋_GB2312" w:eastAsia="仿宋_GB2312"/>
          <w:sz w:val="32"/>
          <w:szCs w:val="20"/>
        </w:rPr>
        <w:t>第八条 地方各级人民政府应当将包括消防安全布局、消防站、消防供水、消防通信、消防车通道、消防装备等内容的消防规划纳入城乡规划，并负责组织实施。</w:t>
      </w:r>
    </w:p>
    <w:p w14:paraId="04A75F99">
      <w:pPr>
        <w:ind w:firstLine="640" w:firstLineChars="200"/>
        <w:jc w:val="left"/>
        <w:rPr>
          <w:rFonts w:hint="eastAsia" w:ascii="仿宋_GB2312" w:eastAsia="仿宋_GB2312"/>
          <w:sz w:val="32"/>
          <w:szCs w:val="20"/>
        </w:rPr>
      </w:pPr>
      <w:r>
        <w:rPr>
          <w:rFonts w:hint="eastAsia" w:ascii="仿宋_GB2312" w:eastAsia="仿宋_GB2312"/>
          <w:sz w:val="32"/>
          <w:szCs w:val="20"/>
        </w:rPr>
        <w:t>城乡消防安全布局不符合消防安全要求的，应当调整、完善；公共消防设施、消防装备不足或者不适应实际需要的，应当增建、改建、配置或者进行技术改造。</w:t>
      </w:r>
    </w:p>
    <w:p w14:paraId="531D791A">
      <w:pPr>
        <w:ind w:firstLine="640" w:firstLineChars="200"/>
        <w:jc w:val="left"/>
        <w:rPr>
          <w:rFonts w:hint="eastAsia" w:ascii="仿宋_GB2312" w:eastAsia="仿宋_GB2312"/>
          <w:sz w:val="32"/>
          <w:szCs w:val="20"/>
        </w:rPr>
      </w:pPr>
      <w:r>
        <w:rPr>
          <w:rFonts w:hint="eastAsia" w:ascii="仿宋_GB2312" w:eastAsia="仿宋_GB2312"/>
          <w:sz w:val="32"/>
          <w:szCs w:val="20"/>
        </w:rPr>
        <w:t>（5）《北京市安全生产条例》</w:t>
      </w:r>
    </w:p>
    <w:p w14:paraId="4A01801C">
      <w:pPr>
        <w:ind w:firstLine="640" w:firstLineChars="200"/>
        <w:jc w:val="left"/>
        <w:rPr>
          <w:rFonts w:hint="eastAsia" w:ascii="仿宋_GB2312" w:eastAsia="仿宋_GB2312"/>
          <w:sz w:val="32"/>
          <w:szCs w:val="20"/>
        </w:rPr>
      </w:pPr>
      <w:r>
        <w:rPr>
          <w:rFonts w:hint="eastAsia" w:ascii="仿宋_GB2312" w:eastAsia="仿宋_GB2312"/>
          <w:sz w:val="32"/>
          <w:szCs w:val="20"/>
        </w:rPr>
        <w:t>第四条 生产经营单位应当遵守安全生产法律法规、规章的规定，建立健全安全生产规章制度和覆盖全体人员、全部生产经营活动的全员安全生产责任制，确保安全生产。</w:t>
      </w:r>
    </w:p>
    <w:p w14:paraId="096E6C3F">
      <w:pPr>
        <w:ind w:firstLine="640" w:firstLineChars="200"/>
        <w:jc w:val="left"/>
        <w:rPr>
          <w:rFonts w:hint="eastAsia" w:ascii="仿宋_GB2312" w:eastAsia="仿宋_GB2312"/>
          <w:sz w:val="32"/>
          <w:szCs w:val="20"/>
        </w:rPr>
      </w:pPr>
      <w:r>
        <w:rPr>
          <w:rFonts w:hint="eastAsia" w:ascii="仿宋_GB2312" w:eastAsia="仿宋_GB2312"/>
          <w:sz w:val="32"/>
          <w:szCs w:val="20"/>
        </w:rPr>
        <w:t>第五十四条 本市加强生产安全事故应急能力建设，统筹、规划、推动多层次、多主体的应急救援队伍建设；鼓励生产经营单位和其他社会力量建立提供社会化救援服务的专业应急救援队伍。具体办法由市应急管理部门会同有关部门制定，报市人民政府批准。</w:t>
      </w:r>
    </w:p>
    <w:p w14:paraId="2C076480">
      <w:pPr>
        <w:ind w:firstLine="640" w:firstLineChars="200"/>
        <w:jc w:val="left"/>
        <w:rPr>
          <w:rFonts w:hint="eastAsia" w:ascii="仿宋_GB2312" w:eastAsia="仿宋_GB2312"/>
          <w:sz w:val="32"/>
          <w:szCs w:val="20"/>
        </w:rPr>
      </w:pPr>
      <w:r>
        <w:rPr>
          <w:rFonts w:hint="eastAsia" w:ascii="仿宋_GB2312" w:eastAsia="仿宋_GB2312"/>
          <w:sz w:val="32"/>
          <w:szCs w:val="20"/>
        </w:rPr>
        <w:t>（6）《北京市气象灾害防御条例》</w:t>
      </w:r>
    </w:p>
    <w:p w14:paraId="138A5040">
      <w:pPr>
        <w:ind w:firstLine="640" w:firstLineChars="200"/>
        <w:jc w:val="left"/>
        <w:rPr>
          <w:rFonts w:hint="eastAsia" w:ascii="仿宋_GB2312" w:eastAsia="仿宋_GB2312"/>
          <w:sz w:val="32"/>
          <w:szCs w:val="20"/>
        </w:rPr>
      </w:pPr>
      <w:r>
        <w:rPr>
          <w:rFonts w:hint="eastAsia" w:ascii="仿宋_GB2312" w:eastAsia="仿宋_GB2312"/>
          <w:sz w:val="32"/>
          <w:szCs w:val="20"/>
        </w:rPr>
        <w:t>第二十四条 市和区人民政府应当将气象灾害应对纳入突发事件应急指挥体系，完善跨区域、跨部门、跨行业的气象灾害监测信息网络；在气象灾害易发区、人口密集区、农产品生产区等区域，增加自动观测等设备设施，建设气象灾害实时和实景监测系统。</w:t>
      </w:r>
    </w:p>
    <w:p w14:paraId="3189D8FC">
      <w:pPr>
        <w:ind w:firstLine="640" w:firstLineChars="200"/>
        <w:jc w:val="left"/>
        <w:rPr>
          <w:rFonts w:hint="eastAsia" w:ascii="仿宋_GB2312" w:eastAsia="仿宋_GB2312"/>
          <w:sz w:val="32"/>
          <w:szCs w:val="20"/>
        </w:rPr>
      </w:pPr>
      <w:r>
        <w:rPr>
          <w:rFonts w:hint="eastAsia" w:ascii="仿宋_GB2312" w:eastAsia="仿宋_GB2312"/>
          <w:sz w:val="32"/>
          <w:szCs w:val="20"/>
        </w:rPr>
        <w:t>第三十五条 市和区人民政府应当结合本地区气象灾害种类和特点，有重点地对气象灾害隐患进行排查，并组织有关部门、单位和个人采取规划、工程和技术等措施进行隐患治理，避免和减轻气象灾害的影响。</w:t>
      </w:r>
    </w:p>
    <w:p w14:paraId="4A58DCB6">
      <w:pPr>
        <w:ind w:firstLine="640" w:firstLineChars="200"/>
        <w:jc w:val="left"/>
        <w:rPr>
          <w:rFonts w:hint="eastAsia" w:ascii="仿宋_GB2312" w:eastAsia="仿宋_GB2312"/>
          <w:sz w:val="32"/>
          <w:szCs w:val="20"/>
        </w:rPr>
      </w:pPr>
      <w:r>
        <w:rPr>
          <w:rFonts w:hint="eastAsia" w:ascii="仿宋_GB2312" w:eastAsia="仿宋_GB2312"/>
          <w:sz w:val="32"/>
          <w:szCs w:val="20"/>
        </w:rPr>
        <w:t>发生重特大气象灾害的，市和区人民政府应当组织开展专项调查，根据调查结果治理气象灾害隐患，完善气象灾害防御规划和应急预案。</w:t>
      </w:r>
    </w:p>
    <w:p w14:paraId="2AA2DF73">
      <w:pPr>
        <w:ind w:firstLine="643" w:firstLineChars="200"/>
        <w:jc w:val="left"/>
        <w:rPr>
          <w:rFonts w:hint="eastAsia" w:ascii="仿宋_GB2312" w:eastAsia="仿宋_GB2312"/>
          <w:b/>
          <w:bCs/>
          <w:sz w:val="32"/>
          <w:szCs w:val="20"/>
        </w:rPr>
      </w:pPr>
      <w:r>
        <w:rPr>
          <w:rFonts w:hint="eastAsia" w:ascii="仿宋_GB2312" w:eastAsia="仿宋_GB2312"/>
          <w:b/>
          <w:bCs/>
          <w:sz w:val="32"/>
          <w:szCs w:val="20"/>
          <w:lang w:eastAsia="zh-CN"/>
        </w:rPr>
        <w:t>2.</w:t>
      </w:r>
      <w:r>
        <w:rPr>
          <w:rFonts w:hint="eastAsia" w:ascii="仿宋_GB2312" w:eastAsia="仿宋_GB2312"/>
          <w:b/>
          <w:bCs/>
          <w:sz w:val="32"/>
          <w:szCs w:val="20"/>
        </w:rPr>
        <w:t>参考</w:t>
      </w:r>
      <w:r>
        <w:rPr>
          <w:rFonts w:hint="eastAsia" w:ascii="仿宋_GB2312" w:eastAsia="仿宋_GB2312"/>
          <w:b/>
          <w:bCs/>
          <w:sz w:val="32"/>
          <w:szCs w:val="20"/>
          <w:lang w:val="en-US" w:eastAsia="zh-CN"/>
        </w:rPr>
        <w:t>文献中</w:t>
      </w:r>
      <w:r>
        <w:rPr>
          <w:rFonts w:hint="eastAsia" w:ascii="仿宋_GB2312" w:eastAsia="仿宋_GB2312"/>
          <w:b/>
          <w:bCs/>
          <w:sz w:val="32"/>
          <w:szCs w:val="20"/>
        </w:rPr>
        <w:t>的标准</w:t>
      </w:r>
    </w:p>
    <w:p w14:paraId="4E3F70DD">
      <w:pPr>
        <w:ind w:firstLine="640" w:firstLineChars="200"/>
        <w:jc w:val="left"/>
        <w:rPr>
          <w:rFonts w:hint="eastAsia" w:ascii="仿宋_GB2312" w:eastAsia="仿宋_GB2312"/>
          <w:sz w:val="32"/>
          <w:szCs w:val="20"/>
        </w:rPr>
      </w:pPr>
      <w:r>
        <w:rPr>
          <w:rFonts w:hint="eastAsia" w:ascii="仿宋_GB2312" w:eastAsia="仿宋_GB2312"/>
          <w:sz w:val="32"/>
          <w:szCs w:val="20"/>
        </w:rPr>
        <w:t>[1] GB/T 40947-2021 安全韧性城市评价指南</w:t>
      </w:r>
    </w:p>
    <w:p w14:paraId="3290E60F">
      <w:pPr>
        <w:ind w:firstLine="640" w:firstLineChars="200"/>
        <w:jc w:val="left"/>
        <w:rPr>
          <w:rFonts w:hint="eastAsia" w:ascii="仿宋_GB2312" w:eastAsia="仿宋_GB2312"/>
          <w:sz w:val="32"/>
          <w:szCs w:val="20"/>
        </w:rPr>
      </w:pPr>
      <w:r>
        <w:rPr>
          <w:rFonts w:hint="eastAsia" w:ascii="仿宋_GB2312" w:eastAsia="仿宋_GB2312"/>
          <w:sz w:val="32"/>
          <w:szCs w:val="20"/>
        </w:rPr>
        <w:t xml:space="preserve">[2] DB11/T 2280-2024 城市韧性评价导则 </w:t>
      </w:r>
    </w:p>
    <w:p w14:paraId="55A4EEC5">
      <w:pPr>
        <w:ind w:firstLine="640" w:firstLineChars="200"/>
        <w:jc w:val="left"/>
        <w:rPr>
          <w:rFonts w:hint="eastAsia" w:ascii="仿宋_GB2312" w:eastAsia="仿宋_GB2312"/>
          <w:sz w:val="32"/>
          <w:szCs w:val="20"/>
        </w:rPr>
      </w:pPr>
      <w:r>
        <w:rPr>
          <w:rFonts w:hint="eastAsia" w:ascii="仿宋_GB2312" w:eastAsia="仿宋_GB2312"/>
          <w:sz w:val="32"/>
          <w:szCs w:val="20"/>
        </w:rPr>
        <w:t>[3] DB11/T 2281-2024 社区韧性评价导则</w:t>
      </w:r>
    </w:p>
    <w:p w14:paraId="2680E5A3">
      <w:pPr>
        <w:ind w:firstLine="640" w:firstLineChars="200"/>
        <w:jc w:val="left"/>
        <w:rPr>
          <w:rFonts w:hint="eastAsia" w:ascii="仿宋_GB2312" w:eastAsia="仿宋_GB2312"/>
          <w:sz w:val="32"/>
          <w:szCs w:val="20"/>
        </w:rPr>
      </w:pPr>
      <w:r>
        <w:rPr>
          <w:rFonts w:hint="eastAsia" w:ascii="仿宋_GB2312" w:eastAsia="仿宋_GB2312"/>
          <w:sz w:val="32"/>
          <w:szCs w:val="20"/>
        </w:rPr>
        <w:t>[4] DB11/T 2459-2025 社区韧性压力测试技术导则 城镇内涝</w:t>
      </w:r>
    </w:p>
    <w:p w14:paraId="024D38D9">
      <w:pPr>
        <w:ind w:firstLine="640" w:firstLineChars="200"/>
        <w:jc w:val="left"/>
        <w:rPr>
          <w:rFonts w:hint="eastAsia" w:ascii="仿宋_GB2312" w:eastAsia="仿宋_GB2312"/>
          <w:sz w:val="32"/>
          <w:szCs w:val="20"/>
        </w:rPr>
      </w:pPr>
      <w:r>
        <w:rPr>
          <w:rFonts w:hint="eastAsia" w:ascii="仿宋_GB2312" w:eastAsia="仿宋_GB2312"/>
          <w:sz w:val="32"/>
          <w:szCs w:val="20"/>
        </w:rPr>
        <w:t>[5] DB11/T 1891-2021 建（构）筑物与应急设施地震安全韧性建设指南</w:t>
      </w:r>
    </w:p>
    <w:p w14:paraId="191C138C">
      <w:pPr>
        <w:ind w:firstLine="640" w:firstLineChars="200"/>
        <w:jc w:val="left"/>
        <w:rPr>
          <w:rFonts w:hint="eastAsia" w:ascii="仿宋_GB2312" w:eastAsia="仿宋_GB2312"/>
          <w:sz w:val="32"/>
          <w:szCs w:val="20"/>
        </w:rPr>
      </w:pPr>
      <w:r>
        <w:rPr>
          <w:rFonts w:hint="eastAsia" w:ascii="仿宋_GB2312" w:eastAsia="仿宋_GB2312"/>
          <w:sz w:val="32"/>
          <w:szCs w:val="20"/>
        </w:rPr>
        <w:t>[6] DB11/T 2214-2024  城市社区地震安全韧性评估技术规范</w:t>
      </w:r>
    </w:p>
    <w:p w14:paraId="28F1A7D8">
      <w:pPr>
        <w:ind w:firstLine="643" w:firstLineChars="200"/>
        <w:jc w:val="left"/>
        <w:rPr>
          <w:rFonts w:hint="eastAsia" w:ascii="仿宋_GB2312" w:eastAsia="仿宋_GB2312"/>
          <w:b/>
          <w:bCs/>
          <w:sz w:val="32"/>
          <w:szCs w:val="20"/>
        </w:rPr>
      </w:pPr>
      <w:r>
        <w:rPr>
          <w:rFonts w:hint="eastAsia" w:ascii="仿宋_GB2312" w:eastAsia="仿宋_GB2312"/>
          <w:b/>
          <w:bCs/>
          <w:sz w:val="32"/>
          <w:szCs w:val="20"/>
          <w:lang w:eastAsia="zh-CN"/>
        </w:rPr>
        <w:t>3.</w:t>
      </w:r>
      <w:r>
        <w:rPr>
          <w:rFonts w:hint="eastAsia" w:ascii="仿宋_GB2312" w:eastAsia="仿宋_GB2312"/>
          <w:b/>
          <w:bCs/>
          <w:sz w:val="32"/>
          <w:szCs w:val="20"/>
        </w:rPr>
        <w:t>与国内外同类标准水平的对比情况</w:t>
      </w:r>
    </w:p>
    <w:p w14:paraId="49382B1A">
      <w:pPr>
        <w:ind w:firstLine="640" w:firstLineChars="200"/>
        <w:jc w:val="left"/>
        <w:rPr>
          <w:rFonts w:hint="eastAsia" w:ascii="仿宋_GB2312" w:hAnsi="仿宋_GB2312" w:eastAsia="仿宋_GB2312" w:cs="仿宋_GB2312"/>
          <w:color w:val="000000"/>
          <w:sz w:val="32"/>
          <w:szCs w:val="32"/>
        </w:rPr>
      </w:pPr>
      <w:r>
        <w:rPr>
          <w:rFonts w:hint="eastAsia" w:ascii="仿宋_GB2312" w:eastAsia="仿宋_GB2312"/>
          <w:sz w:val="32"/>
          <w:szCs w:val="20"/>
        </w:rPr>
        <w:t xml:space="preserve"> 据统计，当前国际标准化技术组织ISO/TC 292近年来发布韧性城市建设相关国际标准，如ISO/TR 22370:2020，Security and resilience—Urban resilience—Framework and principles、ISO 22371:2024 Security and resilience—Community resilience —Principles, framework and guidelines on urban resilience，标准主要给出了韧性城市建设的框架和原则等，本文件</w:t>
      </w:r>
      <w:r>
        <w:rPr>
          <w:rFonts w:hint="eastAsia" w:ascii="仿宋_GB2312" w:eastAsia="仿宋_GB2312"/>
          <w:sz w:val="32"/>
          <w:szCs w:val="20"/>
          <w:lang w:val="en-US" w:eastAsia="zh-CN"/>
        </w:rPr>
        <w:t>提出的则是</w:t>
      </w:r>
      <w:r>
        <w:rPr>
          <w:rFonts w:hint="eastAsia" w:ascii="仿宋_GB2312" w:eastAsia="仿宋_GB2312"/>
          <w:sz w:val="32"/>
          <w:szCs w:val="20"/>
        </w:rPr>
        <w:t>适用于北京市的韧性城市建设内容等。</w:t>
      </w:r>
    </w:p>
    <w:p w14:paraId="18FDC276">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、主要条款及条款编制依据的说明，主要技术指标、参数、实验验证的论述</w:t>
      </w:r>
    </w:p>
    <w:p w14:paraId="6FD4D5FE">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本标准共分为范围、规范性引用文件、术语和定义、建设原则、建设内容、建设过程等6个章节。</w:t>
      </w:r>
    </w:p>
    <w:p w14:paraId="35F49CF4">
      <w:pPr>
        <w:numPr>
          <w:ilvl w:val="0"/>
          <w:numId w:val="8"/>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适用范围</w:t>
      </w:r>
    </w:p>
    <w:p w14:paraId="34B5526E">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本文件确立了韧性城市建设的建设原则，提供了建设内容和建设过程等方面的信息和指导。</w:t>
      </w:r>
    </w:p>
    <w:p w14:paraId="3CAD85E3">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本文件适用于指导全市各类相关组织开展韧性城市建设。</w:t>
      </w:r>
    </w:p>
    <w:p w14:paraId="558E395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2.</w:t>
      </w:r>
      <w:r>
        <w:rPr>
          <w:rFonts w:hint="eastAsia" w:ascii="Times New Roman" w:hAnsi="Times New Roman" w:eastAsia="仿宋_GB2312" w:cs="仿宋_GB2312"/>
          <w:sz w:val="32"/>
        </w:rPr>
        <w:t>规范性引用文件</w:t>
      </w:r>
    </w:p>
    <w:p w14:paraId="6B9E31C1">
      <w:pPr>
        <w:tabs>
          <w:tab w:val="center" w:pos="4201"/>
          <w:tab w:val="right" w:leader="dot" w:pos="9298"/>
        </w:tabs>
        <w:autoSpaceDE w:val="0"/>
        <w:autoSpaceDN w:val="0"/>
        <w:adjustRightInd w:val="0"/>
        <w:spacing w:line="560" w:lineRule="exact"/>
        <w:ind w:firstLine="640" w:firstLineChars="200"/>
        <w:rPr>
          <w:rFonts w:ascii="Times New Roman" w:hAnsi="Times New Roman" w:cs="宋体"/>
          <w:sz w:val="32"/>
        </w:rPr>
      </w:pPr>
      <w:r>
        <w:rPr>
          <w:rFonts w:hint="eastAsia" w:ascii="Times New Roman" w:hAnsi="Times New Roman" w:eastAsia="仿宋_GB2312" w:cs="仿宋_GB2312"/>
          <w:sz w:val="32"/>
        </w:rPr>
        <w:t>本文件没有规范性引用文件。</w:t>
      </w:r>
    </w:p>
    <w:p w14:paraId="38DFF261">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3</w:t>
      </w:r>
      <w:r>
        <w:rPr>
          <w:rFonts w:ascii="Times New Roman" w:hAnsi="Times New Roman" w:cs="宋体"/>
          <w:sz w:val="32"/>
        </w:rPr>
        <w:t>.</w:t>
      </w:r>
      <w:r>
        <w:rPr>
          <w:rFonts w:hint="eastAsia" w:ascii="Times New Roman" w:hAnsi="Times New Roman" w:eastAsia="仿宋_GB2312" w:cs="仿宋_GB2312"/>
          <w:sz w:val="32"/>
        </w:rPr>
        <w:t>术语和定义</w:t>
      </w:r>
    </w:p>
    <w:p w14:paraId="0EF17BB1">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本章节就标准内容中用到的“韧性城市”1个术语给出定义解释。</w:t>
      </w:r>
    </w:p>
    <w:p w14:paraId="39E33B88">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4</w:t>
      </w:r>
      <w:r>
        <w:rPr>
          <w:rFonts w:ascii="Times New Roman" w:hAnsi="Times New Roman" w:cs="宋体"/>
          <w:sz w:val="32"/>
        </w:rPr>
        <w:t>.</w:t>
      </w:r>
      <w:r>
        <w:rPr>
          <w:rFonts w:hint="eastAsia" w:ascii="Times New Roman" w:hAnsi="Times New Roman" w:eastAsia="仿宋_GB2312" w:cs="仿宋_GB2312"/>
          <w:sz w:val="32"/>
        </w:rPr>
        <w:t>建设原则</w:t>
      </w:r>
    </w:p>
    <w:p w14:paraId="175EECFC">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本文件围绕北京市韧性城市建设需求，明确四项原则：一是 “多元备份、适度提标”，强化关键环节冗余保障与标准适配；二是“分散灵活、动态适应”，提升系统布局与风险应对灵活性；三是“平急结合、急时好用”，实现</w:t>
      </w:r>
      <w:r>
        <w:rPr>
          <w:rFonts w:hint="eastAsia" w:ascii="仿宋_GB2312" w:eastAsia="仿宋_GB2312"/>
          <w:sz w:val="32"/>
          <w:szCs w:val="20"/>
          <w:lang w:val="en-US" w:eastAsia="zh-CN"/>
        </w:rPr>
        <w:t>设施</w:t>
      </w:r>
      <w:r>
        <w:rPr>
          <w:rFonts w:hint="eastAsia" w:ascii="仿宋_GB2312" w:eastAsia="仿宋_GB2312"/>
          <w:sz w:val="32"/>
          <w:szCs w:val="20"/>
        </w:rPr>
        <w:t>功能与应急需求的高效衔接；四是“内外结合、区域协同”，推动内部能力建设与外部联动协作的有机统一。</w:t>
      </w:r>
    </w:p>
    <w:p w14:paraId="3771A9E6">
      <w:pPr>
        <w:numPr>
          <w:ilvl w:val="0"/>
          <w:numId w:val="9"/>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建设内容</w:t>
      </w:r>
    </w:p>
    <w:p w14:paraId="16B4B46E">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韧性城市构建是一个系统性工程，</w:t>
      </w:r>
      <w:r>
        <w:rPr>
          <w:rFonts w:hint="eastAsia" w:ascii="仿宋_GB2312" w:eastAsia="仿宋_GB2312"/>
          <w:sz w:val="32"/>
          <w:szCs w:val="20"/>
          <w:lang w:val="en-US" w:eastAsia="zh-CN"/>
        </w:rPr>
        <w:t>本文件从空间分区、工程建设（包括城市生命线、应急保障设施等）、管理能力及</w:t>
      </w:r>
      <w:r>
        <w:rPr>
          <w:rFonts w:hint="eastAsia" w:ascii="仿宋_GB2312" w:eastAsia="仿宋_GB2312"/>
          <w:sz w:val="32"/>
          <w:szCs w:val="20"/>
        </w:rPr>
        <w:t>重大灾害防御等</w:t>
      </w:r>
      <w:r>
        <w:rPr>
          <w:rFonts w:hint="eastAsia" w:ascii="仿宋_GB2312" w:eastAsia="仿宋_GB2312"/>
          <w:sz w:val="32"/>
          <w:szCs w:val="20"/>
          <w:lang w:val="en-US" w:eastAsia="zh-CN"/>
        </w:rPr>
        <w:t>维度提出建设内容</w:t>
      </w:r>
      <w:r>
        <w:rPr>
          <w:rFonts w:hint="eastAsia" w:ascii="仿宋_GB2312" w:eastAsia="仿宋_GB2312"/>
          <w:sz w:val="32"/>
          <w:szCs w:val="20"/>
        </w:rPr>
        <w:t>。</w:t>
      </w:r>
    </w:p>
    <w:p w14:paraId="5D44743B">
      <w:pPr>
        <w:numPr>
          <w:ilvl w:val="0"/>
          <w:numId w:val="10"/>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城市生命线工程重点给出水源、电力、燃气、通信、交通等系统的供给保障与抗毁冗余能力建设内容。</w:t>
      </w:r>
    </w:p>
    <w:p w14:paraId="20CE6930">
      <w:pPr>
        <w:numPr>
          <w:ilvl w:val="0"/>
          <w:numId w:val="10"/>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lang w:val="en-US" w:eastAsia="zh-CN"/>
        </w:rPr>
        <w:t>应急</w:t>
      </w:r>
      <w:r>
        <w:rPr>
          <w:rFonts w:hint="eastAsia" w:ascii="仿宋_GB2312" w:eastAsia="仿宋_GB2312"/>
          <w:sz w:val="32"/>
          <w:szCs w:val="20"/>
        </w:rPr>
        <w:t>保障设施方面，提出科学规划和管理应急避难场所，提升消防、警务、医疗等安全设施服务覆盖，推动公共设施平急两用改造，增强酒店、地下空间、城郊大仓等资源的应急转换与协同保障能力等方面建设内容。</w:t>
      </w:r>
    </w:p>
    <w:p w14:paraId="6402D768">
      <w:pPr>
        <w:numPr>
          <w:ilvl w:val="0"/>
          <w:numId w:val="10"/>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管理能力建设聚焦应急指挥体系、专业与基层救援力量、应急物资储备与调度等，同时关注社会韧性的提升，通过科普教育、校园演练、社区培训增强全民防灾意识与自救互救能力。</w:t>
      </w:r>
    </w:p>
    <w:p w14:paraId="6AAC44AA">
      <w:pPr>
        <w:numPr>
          <w:ilvl w:val="0"/>
          <w:numId w:val="10"/>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韧性城市分区建设，依托韧性城市组团、街镇单元和社村生活圈分层落实设施配置与风险防控措施，强化基层单元的自主应对与资源统筹水平。</w:t>
      </w:r>
    </w:p>
    <w:p w14:paraId="76D1E3AA">
      <w:pPr>
        <w:numPr>
          <w:ilvl w:val="0"/>
          <w:numId w:val="10"/>
        </w:num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rPr>
        <w:t>针对地震、洪涝、极端天气、地质灾害、森林火灾、地下水位回升及大面积停电等典型场景，从监测预警、工程设防、调度控制、应急抢修等方面提出专业化防控与处置能力建设内容。</w:t>
      </w:r>
    </w:p>
    <w:p w14:paraId="46B4CBD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6</w:t>
      </w:r>
      <w:r>
        <w:rPr>
          <w:rFonts w:ascii="Times New Roman" w:hAnsi="Times New Roman" w:cs="宋体"/>
          <w:sz w:val="32"/>
        </w:rPr>
        <w:t>.</w:t>
      </w:r>
      <w:r>
        <w:rPr>
          <w:rFonts w:hint="eastAsia" w:ascii="Times New Roman" w:hAnsi="Times New Roman" w:eastAsia="仿宋_GB2312" w:cs="仿宋_GB2312"/>
          <w:sz w:val="32"/>
        </w:rPr>
        <w:t>建设过程</w:t>
      </w:r>
    </w:p>
    <w:p w14:paraId="12EC7688">
      <w:pPr>
        <w:adjustRightInd w:val="0"/>
        <w:snapToGrid w:val="0"/>
        <w:spacing w:line="560" w:lineRule="exact"/>
        <w:ind w:firstLine="640" w:firstLineChars="200"/>
        <w:outlineLvl w:val="0"/>
        <w:rPr>
          <w:rFonts w:hint="eastAsia" w:ascii="仿宋_GB2312" w:eastAsia="仿宋_GB2312"/>
          <w:sz w:val="32"/>
          <w:szCs w:val="20"/>
        </w:rPr>
      </w:pPr>
      <w:r>
        <w:rPr>
          <w:rFonts w:hint="eastAsia" w:ascii="仿宋_GB2312" w:eastAsia="仿宋_GB2312"/>
          <w:sz w:val="32"/>
          <w:szCs w:val="20"/>
          <w:lang w:val="en-US" w:eastAsia="zh-CN"/>
        </w:rPr>
        <w:t>首先，</w:t>
      </w:r>
      <w:r>
        <w:rPr>
          <w:rFonts w:ascii="仿宋_GB2312" w:eastAsia="仿宋_GB2312"/>
          <w:sz w:val="32"/>
          <w:szCs w:val="20"/>
        </w:rPr>
        <w:t>明确建设主体及职责，统筹重大事项决策，建立跨部门、跨层级协调机制，配备人员、技术与资金</w:t>
      </w:r>
      <w:r>
        <w:rPr>
          <w:rFonts w:hint="eastAsia" w:ascii="仿宋_GB2312" w:eastAsia="仿宋_GB2312"/>
          <w:sz w:val="32"/>
          <w:szCs w:val="20"/>
          <w:lang w:val="en-US" w:eastAsia="zh-CN"/>
        </w:rPr>
        <w:t>等</w:t>
      </w:r>
      <w:r>
        <w:rPr>
          <w:rFonts w:ascii="仿宋_GB2312" w:eastAsia="仿宋_GB2312"/>
          <w:sz w:val="32"/>
          <w:szCs w:val="20"/>
        </w:rPr>
        <w:t>。</w:t>
      </w:r>
      <w:r>
        <w:rPr>
          <w:rFonts w:hint="eastAsia" w:ascii="仿宋_GB2312" w:eastAsia="仿宋_GB2312"/>
          <w:sz w:val="32"/>
          <w:szCs w:val="20"/>
        </w:rPr>
        <w:t>韧性评估，</w:t>
      </w:r>
      <w:r>
        <w:rPr>
          <w:rFonts w:ascii="仿宋_GB2312" w:eastAsia="仿宋_GB2312"/>
          <w:sz w:val="32"/>
          <w:szCs w:val="20"/>
        </w:rPr>
        <w:t>开展市/区、社区、乡村韧性评估，识别薄弱环节与建设需求。根据评估结果编制建设方案，内容包括建设任务、长期与阶段性目标、责任主体、时间安排、项目清单、技术方案、资金计划及交付成果。依据方案细化项目技术路径与实施节点，按本标准技术要求推进建设，并监督执行过程。</w:t>
      </w:r>
      <w:r>
        <w:rPr>
          <w:rFonts w:hint="eastAsia" w:ascii="仿宋_GB2312" w:eastAsia="仿宋_GB2312"/>
          <w:sz w:val="32"/>
          <w:szCs w:val="20"/>
        </w:rPr>
        <w:t>最后，</w:t>
      </w:r>
      <w:r>
        <w:rPr>
          <w:rFonts w:ascii="仿宋_GB2312" w:eastAsia="仿宋_GB2312"/>
          <w:sz w:val="32"/>
          <w:szCs w:val="20"/>
        </w:rPr>
        <w:t>分阶段评估建设效果，根据评估结果优化方案并制定改进措施，推动工作持续改进。</w:t>
      </w:r>
    </w:p>
    <w:p w14:paraId="73604DE8">
      <w:pPr>
        <w:numPr>
          <w:ilvl w:val="255"/>
          <w:numId w:val="0"/>
        </w:numPr>
        <w:tabs>
          <w:tab w:val="center" w:pos="4201"/>
          <w:tab w:val="right" w:leader="dot" w:pos="9298"/>
        </w:tabs>
        <w:autoSpaceDE w:val="0"/>
        <w:autoSpaceDN w:val="0"/>
        <w:adjustRightInd w:val="0"/>
        <w:spacing w:line="560" w:lineRule="exact"/>
        <w:ind w:firstLine="625"/>
        <w:rPr>
          <w:rFonts w:hint="eastAsia" w:ascii="仿宋_GB2312" w:hAnsi="仿宋_GB2312" w:eastAsia="仿宋_GB2312" w:cs="仿宋_GB2312"/>
          <w:sz w:val="32"/>
        </w:rPr>
      </w:pPr>
      <w:r>
        <w:rPr>
          <w:rFonts w:hint="eastAsia" w:ascii="仿宋_GB2312" w:hAnsi="仿宋_GB2312" w:eastAsia="仿宋_GB2312" w:cs="仿宋_GB2312"/>
          <w:sz w:val="32"/>
        </w:rPr>
        <w:t>7.关于主要数值的说明</w:t>
      </w:r>
    </w:p>
    <w:p w14:paraId="42717B9D">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rPr>
        <w:t>5.1.1.2中出现的满足“N-1”安全运行要求，重点地区满足“N-2”安全运行要求。</w:t>
      </w:r>
    </w:p>
    <w:p w14:paraId="51DAD747">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hint="eastAsia" w:ascii="Times New Roman" w:hAnsi="Times New Roman" w:eastAsia="仿宋_GB2312" w:cs="Times New Roman"/>
          <w:sz w:val="32"/>
        </w:rPr>
        <w:t>说明：</w:t>
      </w:r>
      <w:r>
        <w:rPr>
          <w:rFonts w:hint="eastAsia" w:ascii="Times New Roman" w:hAnsi="Times New Roman" w:eastAsia="仿宋_GB2312" w:cs="仿宋_GB2312"/>
          <w:sz w:val="32"/>
        </w:rPr>
        <w:t>来源于</w:t>
      </w:r>
      <w:r>
        <w:rPr>
          <w:rFonts w:hint="eastAsia" w:ascii="Times New Roman" w:hAnsi="Times New Roman" w:eastAsia="仿宋_GB2312" w:cs="Times New Roman"/>
          <w:sz w:val="32"/>
        </w:rPr>
        <w:t>GB/T</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rPr>
        <w:t>50293-2014《城市电力规划规范》中的6.1.3条。</w:t>
      </w:r>
    </w:p>
    <w:p w14:paraId="7F8DC7EA">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ascii="Times New Roman" w:hAnsi="Times New Roman" w:eastAsia="仿宋_GB2312" w:cs="Times New Roman"/>
          <w:sz w:val="32"/>
        </w:rPr>
        <w:t>（</w:t>
      </w:r>
      <w:r>
        <w:rPr>
          <w:rFonts w:hint="eastAsia" w:ascii="Times New Roman" w:hAnsi="Times New Roman" w:eastAsia="仿宋_GB2312" w:cs="Times New Roman"/>
          <w:sz w:val="32"/>
        </w:rPr>
        <w:t>2</w:t>
      </w:r>
      <w:r>
        <w:rPr>
          <w:rFonts w:ascii="Times New Roman" w:hAnsi="Times New Roman" w:eastAsia="仿宋_GB2312" w:cs="Times New Roman"/>
          <w:sz w:val="32"/>
        </w:rPr>
        <w:t>）</w:t>
      </w:r>
      <w:r>
        <w:rPr>
          <w:rFonts w:hint="eastAsia" w:ascii="Times New Roman" w:hAnsi="Times New Roman" w:eastAsia="仿宋_GB2312" w:cs="Times New Roman"/>
          <w:sz w:val="32"/>
        </w:rPr>
        <w:t>5.1.1.3中出现的单条输气廊道控制宽度为100米。</w:t>
      </w:r>
    </w:p>
    <w:p w14:paraId="3BAB62CA">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hint="eastAsia" w:ascii="Times New Roman" w:hAnsi="Times New Roman" w:eastAsia="仿宋_GB2312" w:cs="Times New Roman"/>
          <w:sz w:val="32"/>
        </w:rPr>
        <w:t>说明：</w:t>
      </w:r>
      <w:r>
        <w:rPr>
          <w:rFonts w:hint="eastAsia" w:ascii="Times New Roman" w:hAnsi="Times New Roman" w:eastAsia="仿宋_GB2312" w:cs="仿宋_GB2312"/>
          <w:sz w:val="32"/>
        </w:rPr>
        <w:t>来源于</w:t>
      </w:r>
      <w:r>
        <w:rPr>
          <w:rFonts w:hint="eastAsia" w:ascii="Times New Roman" w:hAnsi="Times New Roman" w:eastAsia="仿宋_GB2312" w:cs="Times New Roman"/>
          <w:sz w:val="32"/>
        </w:rPr>
        <w:t>《北京市控制性详细规划编制技术标准与成果规范》（天然气长输管线以管道中心线为准</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两侧各划定50米保护范围）</w:t>
      </w:r>
    </w:p>
    <w:p w14:paraId="00646BBC">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ascii="Times New Roman" w:hAnsi="Times New Roman" w:eastAsia="仿宋_GB2312" w:cs="Times New Roman"/>
          <w:sz w:val="32"/>
        </w:rPr>
        <w:t>（</w:t>
      </w:r>
      <w:r>
        <w:rPr>
          <w:rFonts w:hint="eastAsia" w:ascii="Times New Roman" w:hAnsi="Times New Roman" w:eastAsia="仿宋_GB2312" w:cs="Times New Roman"/>
          <w:sz w:val="32"/>
        </w:rPr>
        <w:t>3</w:t>
      </w:r>
      <w:r>
        <w:rPr>
          <w:rFonts w:ascii="Times New Roman" w:hAnsi="Times New Roman" w:eastAsia="仿宋_GB2312" w:cs="Times New Roman"/>
          <w:sz w:val="32"/>
        </w:rPr>
        <w:t>）</w:t>
      </w:r>
      <w:r>
        <w:rPr>
          <w:rFonts w:hint="eastAsia" w:ascii="Times New Roman" w:hAnsi="Times New Roman" w:eastAsia="仿宋_GB2312" w:cs="Times New Roman"/>
          <w:sz w:val="32"/>
        </w:rPr>
        <w:t>5.2.1a）中出现的服务保障系数应分别达到1.3、0.3和0.05，人均有效避难面积不低于2.1平方米；各镇街至少建设1处综合性应急避难场所。</w:t>
      </w:r>
    </w:p>
    <w:p w14:paraId="499F1800">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hint="eastAsia" w:ascii="Times New Roman" w:hAnsi="Times New Roman" w:eastAsia="仿宋_GB2312" w:cs="Times New Roman"/>
          <w:sz w:val="32"/>
        </w:rPr>
        <w:t>说明：来源于《北京市应急避难场所规划（2022年—2035年）》《北京市韧性城市空间专项规划（2022年—2035年》</w:t>
      </w:r>
    </w:p>
    <w:p w14:paraId="70137737">
      <w:pPr>
        <w:numPr>
          <w:ilvl w:val="255"/>
          <w:numId w:val="0"/>
        </w:numPr>
        <w:tabs>
          <w:tab w:val="center" w:pos="4201"/>
          <w:tab w:val="right" w:leader="dot" w:pos="9298"/>
        </w:tabs>
        <w:autoSpaceDE w:val="0"/>
        <w:autoSpaceDN w:val="0"/>
        <w:adjustRightInd w:val="0"/>
        <w:spacing w:line="560" w:lineRule="exact"/>
        <w:ind w:firstLine="625"/>
        <w:rPr>
          <w:rFonts w:hint="eastAsia" w:ascii="Times New Roman" w:hAnsi="Times New Roman" w:eastAsia="仿宋_GB2312" w:cs="Times New Roman"/>
          <w:sz w:val="32"/>
          <w:lang w:eastAsia="zh-CN"/>
        </w:rPr>
      </w:pPr>
      <w:r>
        <w:rPr>
          <w:rFonts w:ascii="Times New Roman" w:hAnsi="Times New Roman" w:eastAsia="仿宋_GB2312" w:cs="Times New Roman"/>
          <w:sz w:val="32"/>
        </w:rPr>
        <w:t>（</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w:t>
      </w:r>
      <w:r>
        <w:rPr>
          <w:rFonts w:hint="eastAsia" w:ascii="Times New Roman" w:hAnsi="Times New Roman" w:eastAsia="仿宋_GB2312" w:cs="Times New Roman"/>
          <w:sz w:val="32"/>
        </w:rPr>
        <w:t>5.3.3 b）本市粮食储备规模为不少于全市六个月的供应量</w:t>
      </w:r>
      <w:r>
        <w:rPr>
          <w:rFonts w:hint="eastAsia" w:ascii="Times New Roman" w:hAnsi="Times New Roman" w:eastAsia="仿宋_GB2312" w:cs="Times New Roman"/>
          <w:sz w:val="32"/>
          <w:lang w:eastAsia="zh-CN"/>
        </w:rPr>
        <w:t>。</w:t>
      </w:r>
    </w:p>
    <w:p w14:paraId="7D7C63E3">
      <w:pPr>
        <w:numPr>
          <w:ilvl w:val="255"/>
          <w:numId w:val="0"/>
        </w:numPr>
        <w:tabs>
          <w:tab w:val="center" w:pos="4201"/>
          <w:tab w:val="right" w:leader="dot" w:pos="9298"/>
        </w:tabs>
        <w:autoSpaceDE w:val="0"/>
        <w:autoSpaceDN w:val="0"/>
        <w:adjustRightInd w:val="0"/>
        <w:spacing w:line="560" w:lineRule="exact"/>
        <w:ind w:firstLine="625"/>
        <w:rPr>
          <w:rFonts w:ascii="Times New Roman" w:hAnsi="Times New Roman" w:eastAsia="仿宋_GB2312" w:cs="Times New Roman"/>
          <w:sz w:val="32"/>
        </w:rPr>
      </w:pPr>
      <w:r>
        <w:rPr>
          <w:rFonts w:hint="eastAsia" w:ascii="Times New Roman" w:hAnsi="Times New Roman" w:eastAsia="仿宋_GB2312" w:cs="Times New Roman"/>
          <w:sz w:val="32"/>
        </w:rPr>
        <w:t>说明：来源于《北京市粮食供给应急预案》（京应急委发〔2023〕9号）</w:t>
      </w:r>
    </w:p>
    <w:p w14:paraId="6E03C394">
      <w:pPr>
        <w:numPr>
          <w:ilvl w:val="255"/>
          <w:numId w:val="0"/>
        </w:numPr>
        <w:tabs>
          <w:tab w:val="center" w:pos="4201"/>
          <w:tab w:val="right" w:leader="dot" w:pos="9298"/>
        </w:tabs>
        <w:autoSpaceDE w:val="0"/>
        <w:autoSpaceDN w:val="0"/>
        <w:adjustRightInd w:val="0"/>
        <w:spacing w:line="560" w:lineRule="exact"/>
        <w:ind w:firstLine="625"/>
        <w:rPr>
          <w:rFonts w:hint="eastAsia" w:ascii="Times New Roman" w:hAnsi="Times New Roman" w:eastAsia="仿宋_GB2312" w:cs="Times New Roman"/>
          <w:sz w:val="32"/>
          <w:lang w:eastAsia="zh-CN"/>
        </w:rPr>
      </w:pPr>
      <w:r>
        <w:rPr>
          <w:rFonts w:ascii="Times New Roman" w:hAnsi="Times New Roman" w:eastAsia="仿宋_GB2312" w:cs="Times New Roman"/>
          <w:sz w:val="32"/>
        </w:rPr>
        <w:t>（</w:t>
      </w:r>
      <w:r>
        <w:rPr>
          <w:rFonts w:hint="eastAsia" w:ascii="Times New Roman" w:hAnsi="Times New Roman" w:eastAsia="仿宋_GB2312" w:cs="Times New Roman"/>
          <w:sz w:val="32"/>
          <w:lang w:val="en-US" w:eastAsia="zh-CN"/>
        </w:rPr>
        <w:t>5</w:t>
      </w:r>
      <w:r>
        <w:rPr>
          <w:rFonts w:ascii="Times New Roman" w:hAnsi="Times New Roman" w:eastAsia="仿宋_GB2312" w:cs="Times New Roman"/>
          <w:sz w:val="32"/>
        </w:rPr>
        <w:t>）</w:t>
      </w:r>
      <w:r>
        <w:rPr>
          <w:rFonts w:hint="eastAsia" w:ascii="Times New Roman" w:hAnsi="Times New Roman" w:eastAsia="仿宋_GB2312" w:cs="Times New Roman"/>
          <w:sz w:val="32"/>
          <w:lang w:val="en-US" w:eastAsia="zh-CN"/>
        </w:rPr>
        <w:t>5.4.3 a）中出现的</w:t>
      </w:r>
      <w:r>
        <w:rPr>
          <w:rFonts w:hint="eastAsia" w:ascii="Times New Roman" w:hAnsi="Times New Roman" w:eastAsia="仿宋_GB2312" w:cs="Times New Roman"/>
          <w:sz w:val="32"/>
        </w:rPr>
        <w:t>社村1000</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1500米服务半径内配置应急储水</w:t>
      </w:r>
      <w:r>
        <w:rPr>
          <w:rFonts w:hint="eastAsia" w:ascii="Times New Roman" w:hAnsi="Times New Roman" w:eastAsia="仿宋_GB2312" w:cs="Times New Roman"/>
          <w:sz w:val="32"/>
          <w:lang w:eastAsia="zh-CN"/>
        </w:rPr>
        <w:t>。</w:t>
      </w:r>
    </w:p>
    <w:p w14:paraId="72F0C87F">
      <w:pPr>
        <w:numPr>
          <w:ilvl w:val="255"/>
          <w:numId w:val="0"/>
        </w:numPr>
        <w:tabs>
          <w:tab w:val="center" w:pos="4201"/>
          <w:tab w:val="right" w:leader="dot" w:pos="9298"/>
        </w:tabs>
        <w:autoSpaceDE w:val="0"/>
        <w:autoSpaceDN w:val="0"/>
        <w:adjustRightInd w:val="0"/>
        <w:spacing w:line="560" w:lineRule="exact"/>
        <w:ind w:firstLine="625"/>
        <w:rPr>
          <w:rFonts w:hint="eastAsia" w:ascii="Times New Roman" w:hAnsi="Times New Roman" w:eastAsia="仿宋_GB2312" w:cs="Times New Roman"/>
          <w:sz w:val="32"/>
        </w:rPr>
      </w:pPr>
      <w:r>
        <w:rPr>
          <w:rFonts w:hint="eastAsia" w:ascii="Times New Roman" w:hAnsi="Times New Roman" w:eastAsia="仿宋_GB2312" w:cs="Times New Roman"/>
          <w:sz w:val="32"/>
        </w:rPr>
        <w:t>说明：来源于《北京市韧性城市空间专项规划</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2022年—2035年</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w:t>
      </w:r>
    </w:p>
    <w:p w14:paraId="3E1818D1">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、公平竞争审查情况。</w:t>
      </w:r>
    </w:p>
    <w:p w14:paraId="6AE39388">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标准进行了公平竞争审查，对是否限制或者变相限制市场准入和退出、是否限制商品要素自由流动、是否影响生产经营成本、是否影响生产经营行为等方面进行了对照审查经审查，标准无影响市场竞争的内容，不存在违反规定的情况，认真填写了《公平竞争审查表》。</w:t>
      </w:r>
    </w:p>
    <w:p w14:paraId="37DD7A4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、重大意见分歧的处理依据和结果。</w:t>
      </w:r>
    </w:p>
    <w:p w14:paraId="06DF5D4E">
      <w:pPr>
        <w:numPr>
          <w:ilvl w:val="255"/>
          <w:numId w:val="0"/>
        </w:numPr>
        <w:ind w:firstLine="640" w:firstLineChars="200"/>
        <w:rPr>
          <w:rFonts w:ascii="Times New Roman" w:hAnsi="Times New Roman" w:eastAsia="仿宋_GB2312" w:cs="仿宋_GB2312"/>
          <w:sz w:val="32"/>
        </w:rPr>
      </w:pPr>
      <w:r>
        <w:rPr>
          <w:rFonts w:hint="eastAsia" w:ascii="Times New Roman" w:hAnsi="Times New Roman" w:eastAsia="仿宋_GB2312"/>
          <w:sz w:val="32"/>
          <w:szCs w:val="32"/>
        </w:rPr>
        <w:t>无</w:t>
      </w:r>
    </w:p>
    <w:p w14:paraId="5FF93D65">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九</w:t>
      </w:r>
      <w:r>
        <w:rPr>
          <w:rFonts w:hint="eastAsia" w:ascii="Times New Roman" w:hAnsi="Times New Roman" w:eastAsia="黑体"/>
          <w:sz w:val="32"/>
          <w:szCs w:val="32"/>
        </w:rPr>
        <w:t>、作为推荐性标准或者强制性标准的建议及其理由。</w:t>
      </w:r>
    </w:p>
    <w:p w14:paraId="1E68972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建议作为推荐性标准使用。</w:t>
      </w:r>
    </w:p>
    <w:p w14:paraId="674FB19D">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hint="eastAsia" w:ascii="Times New Roman" w:hAnsi="Times New Roman" w:eastAsia="黑体"/>
          <w:sz w:val="32"/>
          <w:szCs w:val="32"/>
        </w:rPr>
        <w:t>、强制性标准实施的风险点、风险程度、风险防控措施和预案</w:t>
      </w:r>
    </w:p>
    <w:p w14:paraId="6203D3C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不适用。</w:t>
      </w:r>
    </w:p>
    <w:p w14:paraId="4578E8C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十一、实施标准的措施(市有关行政主管部门实施标准的政策措施/宣贯培训/试点示范/监督检查/配套资金等)</w:t>
      </w:r>
    </w:p>
    <w:p w14:paraId="444ACBBE">
      <w:pPr>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本标准由北京市应急管理局组织实施，在标准获批发布后，北京市应急管理局将通过制定相关政策文件和组织培训的方式，确保标准的贯彻实施。</w:t>
      </w:r>
    </w:p>
    <w:p w14:paraId="084B5A4C">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、其他应说明的事项。</w:t>
      </w:r>
    </w:p>
    <w:p w14:paraId="5E076BA2">
      <w:pPr>
        <w:ind w:firstLine="640" w:firstLineChars="200"/>
        <w:rPr>
          <w:rFonts w:ascii="Times New Roman" w:hAnsi="Times New Roman"/>
        </w:rPr>
      </w:pPr>
      <w:r>
        <w:rPr>
          <w:rFonts w:hint="eastAsia" w:ascii="Times New Roman" w:hAnsi="Times New Roman" w:eastAsia="仿宋_GB2312"/>
          <w:sz w:val="32"/>
          <w:szCs w:val="32"/>
        </w:rPr>
        <w:t>无</w:t>
      </w:r>
    </w:p>
    <w:p w14:paraId="1CF65F86">
      <w:pPr>
        <w:adjustRightInd w:val="0"/>
        <w:snapToGrid w:val="0"/>
        <w:spacing w:line="560" w:lineRule="exact"/>
        <w:ind w:firstLine="640"/>
        <w:outlineLvl w:val="0"/>
        <w:rPr>
          <w:rFonts w:hint="eastAsia" w:ascii="仿宋_GB2312" w:eastAsia="仿宋_GB2312"/>
          <w:sz w:val="32"/>
          <w:szCs w:val="20"/>
        </w:rPr>
      </w:pPr>
    </w:p>
    <w:sectPr>
      <w:pgSz w:w="11906" w:h="16838"/>
      <w:pgMar w:top="1701" w:right="1474" w:bottom="147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Cs w:val="18"/>
      </w:rPr>
      <w:id w:val="894623445"/>
    </w:sdtPr>
    <w:sdtEndPr>
      <w:rPr>
        <w:rFonts w:hint="eastAsia" w:ascii="宋体" w:hAnsi="宋体" w:eastAsia="宋体" w:cs="宋体"/>
        <w:szCs w:val="18"/>
      </w:rPr>
    </w:sdtEndPr>
    <w:sdtContent>
      <w:p w14:paraId="59326D70">
        <w:pPr>
          <w:pStyle w:val="8"/>
          <w:ind w:right="210"/>
          <w:jc w:val="center"/>
          <w:rPr>
            <w:rFonts w:hint="eastAsia" w:ascii="宋体" w:hAnsi="宋体" w:eastAsia="宋体" w:cs="宋体"/>
            <w:szCs w:val="18"/>
          </w:rPr>
        </w:pPr>
        <w:r>
          <w:rPr>
            <w:rFonts w:hint="eastAsia" w:ascii="宋体" w:hAnsi="宋体" w:eastAsia="宋体" w:cs="宋体"/>
            <w:szCs w:val="18"/>
          </w:rPr>
          <w:fldChar w:fldCharType="begin"/>
        </w:r>
        <w:r>
          <w:rPr>
            <w:rFonts w:hint="eastAsia" w:ascii="宋体" w:hAnsi="宋体" w:eastAsia="宋体" w:cs="宋体"/>
            <w:szCs w:val="18"/>
          </w:rPr>
          <w:instrText xml:space="preserve">PAGE   \* MERGEFORMAT</w:instrText>
        </w:r>
        <w:r>
          <w:rPr>
            <w:rFonts w:hint="eastAsia" w:ascii="宋体" w:hAnsi="宋体" w:eastAsia="宋体" w:cs="宋体"/>
            <w:szCs w:val="18"/>
          </w:rPr>
          <w:fldChar w:fldCharType="separate"/>
        </w:r>
        <w:r>
          <w:rPr>
            <w:rFonts w:ascii="宋体" w:hAnsi="宋体" w:eastAsia="宋体" w:cs="宋体"/>
            <w:szCs w:val="18"/>
            <w:lang w:val="zh-CN"/>
          </w:rPr>
          <w:t>12</w:t>
        </w:r>
        <w:r>
          <w:rPr>
            <w:rFonts w:hint="eastAsia" w:ascii="宋体" w:hAnsi="宋体" w:eastAsia="宋体" w:cs="宋体"/>
            <w:szCs w:val="18"/>
          </w:rPr>
          <w:fldChar w:fldCharType="end"/>
        </w:r>
      </w:p>
    </w:sdtContent>
  </w:sdt>
  <w:p w14:paraId="035067BE">
    <w:pPr>
      <w:pStyle w:val="8"/>
      <w:ind w:right="21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E0957">
    <w:pPr>
      <w:pStyle w:val="8"/>
      <w:ind w:right="21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0440">
    <w:pPr>
      <w:pStyle w:val="8"/>
      <w:ind w:right="2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C79E">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BBF01"/>
    <w:multiLevelType w:val="multilevel"/>
    <w:tmpl w:val="DAABBF01"/>
    <w:lvl w:ilvl="0" w:tentative="0">
      <w:start w:val="1"/>
      <w:numFmt w:val="decimal"/>
      <w:lvlText w:val="%1 "/>
      <w:lvlJc w:val="left"/>
      <w:pPr>
        <w:ind w:left="432" w:hanging="432"/>
      </w:pPr>
      <w:rPr>
        <w:rFonts w:hint="default" w:ascii="宋体" w:hAnsi="宋体" w:eastAsia="宋体" w:cs="宋体"/>
      </w:rPr>
    </w:lvl>
    <w:lvl w:ilvl="1" w:tentative="0">
      <w:start w:val="1"/>
      <w:numFmt w:val="decimal"/>
      <w:pStyle w:val="2"/>
      <w:lvlText w:val="%1.%2 "/>
      <w:lvlJc w:val="left"/>
      <w:pPr>
        <w:ind w:left="815" w:hanging="575"/>
      </w:pPr>
      <w:rPr>
        <w:rFonts w:hint="default" w:ascii="宋体" w:hAnsi="宋体" w:eastAsia="宋体" w:cs="宋体"/>
      </w:rPr>
    </w:lvl>
    <w:lvl w:ilvl="2" w:tentative="0">
      <w:start w:val="1"/>
      <w:numFmt w:val="decimal"/>
      <w:lvlText w:val="%1.%2.%3 "/>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97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75D14D0"/>
    <w:multiLevelType w:val="multilevel"/>
    <w:tmpl w:val="275D14D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2C5917C3"/>
    <w:multiLevelType w:val="multilevel"/>
    <w:tmpl w:val="2C5917C3"/>
    <w:lvl w:ilvl="0" w:tentative="0">
      <w:start w:val="1"/>
      <w:numFmt w:val="none"/>
      <w:pStyle w:val="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41"/>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2D362913"/>
    <w:multiLevelType w:val="singleLevel"/>
    <w:tmpl w:val="2D362913"/>
    <w:lvl w:ilvl="0" w:tentative="0">
      <w:start w:val="1"/>
      <w:numFmt w:val="decimal"/>
      <w:lvlText w:val="%1."/>
      <w:lvlJc w:val="left"/>
      <w:pPr>
        <w:tabs>
          <w:tab w:val="left" w:pos="312"/>
        </w:tabs>
      </w:pPr>
    </w:lvl>
  </w:abstractNum>
  <w:abstractNum w:abstractNumId="5">
    <w:nsid w:val="3DAD1600"/>
    <w:multiLevelType w:val="singleLevel"/>
    <w:tmpl w:val="3DAD1600"/>
    <w:lvl w:ilvl="0" w:tentative="0">
      <w:start w:val="1"/>
      <w:numFmt w:val="decimal"/>
      <w:suff w:val="nothing"/>
      <w:lvlText w:val="（%1）"/>
      <w:lvlJc w:val="left"/>
    </w:lvl>
  </w:abstractNum>
  <w:abstractNum w:abstractNumId="6">
    <w:nsid w:val="44C50F90"/>
    <w:multiLevelType w:val="multilevel"/>
    <w:tmpl w:val="44C50F90"/>
    <w:lvl w:ilvl="0" w:tentative="0">
      <w:start w:val="1"/>
      <w:numFmt w:val="lowerLetter"/>
      <w:pStyle w:val="34"/>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855015F"/>
    <w:multiLevelType w:val="multilevel"/>
    <w:tmpl w:val="5855015F"/>
    <w:lvl w:ilvl="0" w:tentative="0">
      <w:start w:val="1"/>
      <w:numFmt w:val="lowerLetter"/>
      <w:pStyle w:val="26"/>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3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656EC42"/>
    <w:multiLevelType w:val="singleLevel"/>
    <w:tmpl w:val="7656EC42"/>
    <w:lvl w:ilvl="0" w:tentative="0">
      <w:start w:val="5"/>
      <w:numFmt w:val="decimal"/>
      <w:lvlText w:val="%1."/>
      <w:lvlJc w:val="left"/>
      <w:pPr>
        <w:tabs>
          <w:tab w:val="left" w:pos="312"/>
        </w:tabs>
      </w:pPr>
    </w:lvl>
  </w:abstractNum>
  <w:num w:numId="1">
    <w:abstractNumId w:val="0"/>
  </w:num>
  <w:num w:numId="2">
    <w:abstractNumId w:val="1"/>
  </w:num>
  <w:num w:numId="3">
    <w:abstractNumId w:val="7"/>
  </w:num>
  <w:num w:numId="4">
    <w:abstractNumId w:val="8"/>
  </w:num>
  <w:num w:numId="5">
    <w:abstractNumId w:val="6"/>
  </w:num>
  <w:num w:numId="6">
    <w:abstractNumId w:val="3"/>
  </w:num>
  <w:num w:numId="7">
    <w:abstractNumId w:val="2"/>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kMzI0MTExMjlkNDM2Y2I0Y2NiYjgxM2EyMjI5NTkifQ=="/>
  </w:docVars>
  <w:rsids>
    <w:rsidRoot w:val="00E730B2"/>
    <w:rsid w:val="00084E7C"/>
    <w:rsid w:val="000C1470"/>
    <w:rsid w:val="000D167A"/>
    <w:rsid w:val="00110CED"/>
    <w:rsid w:val="00154434"/>
    <w:rsid w:val="00166CAC"/>
    <w:rsid w:val="001F11FB"/>
    <w:rsid w:val="001F69A2"/>
    <w:rsid w:val="0022098E"/>
    <w:rsid w:val="00272C51"/>
    <w:rsid w:val="002D5D50"/>
    <w:rsid w:val="002F2F16"/>
    <w:rsid w:val="003F32EC"/>
    <w:rsid w:val="00404029"/>
    <w:rsid w:val="00404079"/>
    <w:rsid w:val="00434534"/>
    <w:rsid w:val="004962A0"/>
    <w:rsid w:val="004C39C4"/>
    <w:rsid w:val="004D7263"/>
    <w:rsid w:val="004F7385"/>
    <w:rsid w:val="00514636"/>
    <w:rsid w:val="00595F34"/>
    <w:rsid w:val="005A2229"/>
    <w:rsid w:val="005E7C3F"/>
    <w:rsid w:val="0066762C"/>
    <w:rsid w:val="006A280B"/>
    <w:rsid w:val="006D6869"/>
    <w:rsid w:val="00732298"/>
    <w:rsid w:val="00755194"/>
    <w:rsid w:val="007A1152"/>
    <w:rsid w:val="007E277B"/>
    <w:rsid w:val="00826632"/>
    <w:rsid w:val="00836B29"/>
    <w:rsid w:val="00863589"/>
    <w:rsid w:val="00876059"/>
    <w:rsid w:val="008850C9"/>
    <w:rsid w:val="008B5793"/>
    <w:rsid w:val="008D37EA"/>
    <w:rsid w:val="008D7F89"/>
    <w:rsid w:val="0094573B"/>
    <w:rsid w:val="00974D69"/>
    <w:rsid w:val="009C0852"/>
    <w:rsid w:val="00A028E6"/>
    <w:rsid w:val="00A4226A"/>
    <w:rsid w:val="00A712F0"/>
    <w:rsid w:val="00A911C6"/>
    <w:rsid w:val="00B0168B"/>
    <w:rsid w:val="00B4573D"/>
    <w:rsid w:val="00B52DEB"/>
    <w:rsid w:val="00B868A3"/>
    <w:rsid w:val="00B868D2"/>
    <w:rsid w:val="00BB414E"/>
    <w:rsid w:val="00BD24F8"/>
    <w:rsid w:val="00C616A4"/>
    <w:rsid w:val="00C70446"/>
    <w:rsid w:val="00D0385F"/>
    <w:rsid w:val="00DF0BB0"/>
    <w:rsid w:val="00DF38EE"/>
    <w:rsid w:val="00E149F8"/>
    <w:rsid w:val="00E730B2"/>
    <w:rsid w:val="00EB712A"/>
    <w:rsid w:val="00F5068D"/>
    <w:rsid w:val="00F67B89"/>
    <w:rsid w:val="00F82C73"/>
    <w:rsid w:val="00FB20DA"/>
    <w:rsid w:val="00FC1254"/>
    <w:rsid w:val="00FF14BC"/>
    <w:rsid w:val="022A4754"/>
    <w:rsid w:val="03AE4E94"/>
    <w:rsid w:val="04F049A8"/>
    <w:rsid w:val="06477CBF"/>
    <w:rsid w:val="06A73953"/>
    <w:rsid w:val="078F6E19"/>
    <w:rsid w:val="0AD85174"/>
    <w:rsid w:val="0B650CAE"/>
    <w:rsid w:val="0D7427F0"/>
    <w:rsid w:val="0DC3370F"/>
    <w:rsid w:val="12E017EF"/>
    <w:rsid w:val="13937D88"/>
    <w:rsid w:val="16153077"/>
    <w:rsid w:val="1DEE6719"/>
    <w:rsid w:val="1FA940C8"/>
    <w:rsid w:val="211749D8"/>
    <w:rsid w:val="25EF9CB0"/>
    <w:rsid w:val="26C84ACB"/>
    <w:rsid w:val="27FBD915"/>
    <w:rsid w:val="29E90B31"/>
    <w:rsid w:val="2A7825AA"/>
    <w:rsid w:val="2E3A7BAD"/>
    <w:rsid w:val="306C5FCC"/>
    <w:rsid w:val="307F354C"/>
    <w:rsid w:val="314A49E9"/>
    <w:rsid w:val="314E5C07"/>
    <w:rsid w:val="32D9D08A"/>
    <w:rsid w:val="33A547B2"/>
    <w:rsid w:val="33BA5CBC"/>
    <w:rsid w:val="36586F2A"/>
    <w:rsid w:val="37956ECC"/>
    <w:rsid w:val="38FC5F45"/>
    <w:rsid w:val="397B1C9C"/>
    <w:rsid w:val="3ADA8428"/>
    <w:rsid w:val="3EDE621C"/>
    <w:rsid w:val="3FAF0B26"/>
    <w:rsid w:val="3FBD174A"/>
    <w:rsid w:val="3FEE0AA1"/>
    <w:rsid w:val="3FFEE7D0"/>
    <w:rsid w:val="41056AF4"/>
    <w:rsid w:val="42FD2FB7"/>
    <w:rsid w:val="44985F4F"/>
    <w:rsid w:val="46207239"/>
    <w:rsid w:val="492139EC"/>
    <w:rsid w:val="49EF6C9E"/>
    <w:rsid w:val="4A4767C2"/>
    <w:rsid w:val="4B1D01E3"/>
    <w:rsid w:val="4DC1151E"/>
    <w:rsid w:val="503023C3"/>
    <w:rsid w:val="51A05131"/>
    <w:rsid w:val="54352BA9"/>
    <w:rsid w:val="57BD5DAB"/>
    <w:rsid w:val="57E24F79"/>
    <w:rsid w:val="58B63F1E"/>
    <w:rsid w:val="59536DAB"/>
    <w:rsid w:val="5B77737B"/>
    <w:rsid w:val="5BB7D2B0"/>
    <w:rsid w:val="5BF91CED"/>
    <w:rsid w:val="5CDEFA28"/>
    <w:rsid w:val="5D7EC094"/>
    <w:rsid w:val="5E37C9ED"/>
    <w:rsid w:val="5EB00EDE"/>
    <w:rsid w:val="5EF77381"/>
    <w:rsid w:val="5FAD1F6F"/>
    <w:rsid w:val="5FF5C388"/>
    <w:rsid w:val="62344338"/>
    <w:rsid w:val="627642F1"/>
    <w:rsid w:val="62864A7F"/>
    <w:rsid w:val="65A57FA2"/>
    <w:rsid w:val="677F7E04"/>
    <w:rsid w:val="6B572867"/>
    <w:rsid w:val="6CFA3721"/>
    <w:rsid w:val="6F64678C"/>
    <w:rsid w:val="6F6D19D1"/>
    <w:rsid w:val="6FD7E3A1"/>
    <w:rsid w:val="72C75889"/>
    <w:rsid w:val="733D7D33"/>
    <w:rsid w:val="749E5192"/>
    <w:rsid w:val="75677AF9"/>
    <w:rsid w:val="7774EECA"/>
    <w:rsid w:val="779AD9CB"/>
    <w:rsid w:val="77B4679E"/>
    <w:rsid w:val="78EF1737"/>
    <w:rsid w:val="7A7B72F5"/>
    <w:rsid w:val="7AEC7106"/>
    <w:rsid w:val="7BF6EE98"/>
    <w:rsid w:val="7CD92A91"/>
    <w:rsid w:val="7DB87774"/>
    <w:rsid w:val="7E8C4093"/>
    <w:rsid w:val="7EC876B7"/>
    <w:rsid w:val="7F4D5D17"/>
    <w:rsid w:val="8FEF299B"/>
    <w:rsid w:val="9743E595"/>
    <w:rsid w:val="9B26E27B"/>
    <w:rsid w:val="9FF7D0B8"/>
    <w:rsid w:val="A7DF0525"/>
    <w:rsid w:val="A7FB3D38"/>
    <w:rsid w:val="ADFC14CC"/>
    <w:rsid w:val="B7ECC5E1"/>
    <w:rsid w:val="BDBF1B8E"/>
    <w:rsid w:val="BFBDF91F"/>
    <w:rsid w:val="BFFFD5BE"/>
    <w:rsid w:val="C757BA47"/>
    <w:rsid w:val="CBFB4E4B"/>
    <w:rsid w:val="D23A250B"/>
    <w:rsid w:val="D3AE63A9"/>
    <w:rsid w:val="D94E8C67"/>
    <w:rsid w:val="DAFFDFAC"/>
    <w:rsid w:val="DDAF1E5A"/>
    <w:rsid w:val="DFED70D3"/>
    <w:rsid w:val="E34F07BC"/>
    <w:rsid w:val="E4FB6A31"/>
    <w:rsid w:val="E5FE438F"/>
    <w:rsid w:val="E9C77656"/>
    <w:rsid w:val="E9F94EE2"/>
    <w:rsid w:val="EBBE2DE9"/>
    <w:rsid w:val="EFCF3720"/>
    <w:rsid w:val="EFFB049B"/>
    <w:rsid w:val="EFFE1532"/>
    <w:rsid w:val="F67D8CB6"/>
    <w:rsid w:val="F79BB1D7"/>
    <w:rsid w:val="F9FDD388"/>
    <w:rsid w:val="F9FFBAB3"/>
    <w:rsid w:val="FBCCF6E0"/>
    <w:rsid w:val="FBDE6CB7"/>
    <w:rsid w:val="FBE100AB"/>
    <w:rsid w:val="FBFF16F9"/>
    <w:rsid w:val="FD4E67CF"/>
    <w:rsid w:val="FD7DC623"/>
    <w:rsid w:val="FE7AF9C4"/>
    <w:rsid w:val="FEBFEDE3"/>
    <w:rsid w:val="FEDF5872"/>
    <w:rsid w:val="FEED8D57"/>
    <w:rsid w:val="FF54728D"/>
    <w:rsid w:val="FF5E60B1"/>
    <w:rsid w:val="FF6817EE"/>
    <w:rsid w:val="FFC4AE5B"/>
    <w:rsid w:val="FFED0C5A"/>
    <w:rsid w:val="FFEF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keepNext/>
      <w:keepLines/>
      <w:numPr>
        <w:ilvl w:val="1"/>
        <w:numId w:val="1"/>
      </w:numPr>
      <w:adjustRightInd w:val="0"/>
      <w:snapToGrid w:val="0"/>
      <w:spacing w:before="120" w:after="120"/>
      <w:ind w:left="0" w:firstLine="0"/>
      <w:outlineLvl w:val="1"/>
    </w:pPr>
    <w:rPr>
      <w:rFonts w:ascii="黑体" w:hAnsi="黑体" w:eastAsia="宋体" w:cs="Times New Roman"/>
      <w:b/>
      <w:sz w:val="28"/>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rPr>
      <w:rFonts w:eastAsia="仿宋"/>
    </w:rPr>
  </w:style>
  <w:style w:type="paragraph" w:styleId="4">
    <w:name w:val="annotation text"/>
    <w:basedOn w:val="1"/>
    <w:link w:val="29"/>
    <w:semiHidden/>
    <w:qFormat/>
    <w:uiPriority w:val="0"/>
    <w:pPr>
      <w:jc w:val="left"/>
    </w:pPr>
  </w:style>
  <w:style w:type="paragraph" w:styleId="5">
    <w:name w:val="Body Text"/>
    <w:basedOn w:val="1"/>
    <w:qFormat/>
    <w:uiPriority w:val="0"/>
    <w:pPr>
      <w:spacing w:after="120" w:line="560" w:lineRule="exact"/>
      <w:ind w:firstLine="420" w:firstLineChars="200"/>
    </w:pPr>
    <w:rPr>
      <w:rFonts w:ascii="方正仿宋_GBK" w:hAnsi="方正仿宋_GBK" w:eastAsia="方正仿宋_GBK"/>
      <w:sz w:val="32"/>
    </w:rPr>
  </w:style>
  <w:style w:type="paragraph" w:styleId="6">
    <w:name w:val="Body Text Indent"/>
    <w:basedOn w:val="1"/>
    <w:next w:val="3"/>
    <w:semiHidden/>
    <w:unhideWhenUsed/>
    <w:qFormat/>
    <w:uiPriority w:val="99"/>
    <w:pPr>
      <w:spacing w:after="120"/>
      <w:ind w:left="420" w:leftChars="200"/>
    </w:pPr>
  </w:style>
  <w:style w:type="paragraph" w:styleId="7">
    <w:name w:val="Balloon Text"/>
    <w:basedOn w:val="1"/>
    <w:link w:val="35"/>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ind w:right="100" w:rightChars="100"/>
      <w:jc w:val="right"/>
    </w:pPr>
    <w:rPr>
      <w:sz w:val="18"/>
    </w:rPr>
  </w:style>
  <w:style w:type="paragraph" w:styleId="9">
    <w:name w:val="header"/>
    <w:basedOn w:val="1"/>
    <w:qFormat/>
    <w:uiPriority w:val="99"/>
    <w:pPr>
      <w:framePr w:wrap="notBeside" w:vAnchor="text" w:hAnchor="text" w:y="1"/>
      <w:pBdr>
        <w:bottom w:val="single" w:color="auto" w:sz="6" w:space="1"/>
      </w:pBdr>
      <w:tabs>
        <w:tab w:val="center" w:pos="4153"/>
        <w:tab w:val="right" w:pos="8306"/>
      </w:tabs>
      <w:snapToGrid w:val="0"/>
      <w:jc w:val="center"/>
    </w:pPr>
    <w:rPr>
      <w:sz w:val="18"/>
    </w:rPr>
  </w:style>
  <w:style w:type="paragraph" w:styleId="10">
    <w:name w:val="toc 1"/>
    <w:basedOn w:val="1"/>
    <w:next w:val="1"/>
    <w:unhideWhenUsed/>
    <w:qFormat/>
    <w:uiPriority w:val="39"/>
    <w:rPr>
      <w:rFonts w:ascii="宋体"/>
    </w:rPr>
  </w:style>
  <w:style w:type="paragraph" w:styleId="11">
    <w:name w:val="annotation subject"/>
    <w:basedOn w:val="4"/>
    <w:next w:val="4"/>
    <w:link w:val="30"/>
    <w:semiHidden/>
    <w:unhideWhenUsed/>
    <w:qFormat/>
    <w:uiPriority w:val="99"/>
    <w:rPr>
      <w:b/>
      <w:bCs/>
    </w:rPr>
  </w:style>
  <w:style w:type="paragraph" w:styleId="12">
    <w:name w:val="Body Text First Indent 2"/>
    <w:basedOn w:val="6"/>
    <w:semiHidden/>
    <w:unhideWhenUsed/>
    <w:qFormat/>
    <w:uiPriority w:val="99"/>
    <w:pPr>
      <w:ind w:firstLine="420" w:firstLineChars="200"/>
    </w:p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qFormat/>
    <w:uiPriority w:val="99"/>
    <w:rPr>
      <w:rFonts w:ascii="宋体" w:hAnsi="Times New Roman" w:eastAsia="宋体"/>
      <w:color w:val="auto"/>
      <w:spacing w:val="0"/>
      <w:w w:val="100"/>
      <w:position w:val="0"/>
      <w:sz w:val="21"/>
      <w:u w:val="none"/>
      <w:vertAlign w:val="baseline"/>
    </w:rPr>
  </w:style>
  <w:style w:type="character" w:styleId="18">
    <w:name w:val="annotation reference"/>
    <w:semiHidden/>
    <w:qFormat/>
    <w:uiPriority w:val="0"/>
    <w:rPr>
      <w:sz w:val="21"/>
      <w:szCs w:val="21"/>
    </w:rPr>
  </w:style>
  <w:style w:type="paragraph" w:customStyle="1" w:styleId="19">
    <w:name w:val="公文正文"/>
    <w:basedOn w:val="1"/>
    <w:qFormat/>
    <w:uiPriority w:val="0"/>
    <w:pPr>
      <w:adjustRightInd w:val="0"/>
      <w:snapToGrid w:val="0"/>
      <w:spacing w:line="560" w:lineRule="exact"/>
      <w:ind w:firstLine="640" w:firstLineChars="200"/>
    </w:pPr>
    <w:rPr>
      <w:rFonts w:ascii="仿宋_GB2312" w:hAnsi="仿宋_GB2312" w:eastAsia="仿宋_GB2312" w:cs="仿宋_GB2312"/>
      <w:sz w:val="32"/>
    </w:rPr>
  </w:style>
  <w:style w:type="character" w:customStyle="1" w:styleId="20">
    <w:name w:val="页脚 字符"/>
    <w:basedOn w:val="14"/>
    <w:link w:val="8"/>
    <w:qFormat/>
    <w:uiPriority w:val="99"/>
    <w:rPr>
      <w:kern w:val="2"/>
      <w:sz w:val="18"/>
      <w:szCs w:val="22"/>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一级条标题"/>
    <w:next w:val="21"/>
    <w:qFormat/>
    <w:uiPriority w:val="0"/>
    <w:pPr>
      <w:outlineLvl w:val="2"/>
    </w:pPr>
    <w:rPr>
      <w:rFonts w:ascii="Calibri" w:hAnsi="Calibri" w:eastAsia="黑体" w:cs="Times New Roman"/>
      <w:kern w:val="2"/>
      <w:sz w:val="21"/>
      <w:lang w:val="en-US" w:eastAsia="zh-CN" w:bidi="ar-SA"/>
    </w:rPr>
  </w:style>
  <w:style w:type="paragraph" w:styleId="23">
    <w:name w:val="List Paragraph"/>
    <w:basedOn w:val="1"/>
    <w:qFormat/>
    <w:uiPriority w:val="34"/>
    <w:pPr>
      <w:ind w:firstLine="420" w:firstLineChars="200"/>
    </w:pPr>
  </w:style>
  <w:style w:type="paragraph" w:customStyle="1" w:styleId="24">
    <w:name w:val="二级无"/>
    <w:basedOn w:val="25"/>
    <w:qFormat/>
    <w:uiPriority w:val="0"/>
    <w:pPr>
      <w:spacing w:before="0" w:after="0"/>
    </w:pPr>
    <w:rPr>
      <w:rFonts w:ascii="宋体" w:eastAsia="宋体"/>
    </w:rPr>
  </w:style>
  <w:style w:type="paragraph" w:customStyle="1" w:styleId="25">
    <w:name w:val="二级条标题"/>
    <w:basedOn w:val="22"/>
    <w:next w:val="21"/>
    <w:qFormat/>
    <w:uiPriority w:val="0"/>
    <w:pPr>
      <w:numPr>
        <w:ilvl w:val="2"/>
        <w:numId w:val="2"/>
      </w:numPr>
      <w:spacing w:before="50" w:after="50"/>
      <w:outlineLvl w:val="3"/>
    </w:pPr>
  </w:style>
  <w:style w:type="paragraph" w:customStyle="1" w:styleId="26">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7">
    <w:name w:val="终结线"/>
    <w:basedOn w:val="1"/>
    <w:qFormat/>
    <w:uiPriority w:val="0"/>
    <w:pPr>
      <w:framePr w:hSpace="181" w:vSpace="181" w:wrap="around" w:vAnchor="text" w:hAnchor="margin" w:xAlign="center" w:y="285"/>
    </w:p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批注文字 字符"/>
    <w:basedOn w:val="14"/>
    <w:link w:val="4"/>
    <w:semiHidden/>
    <w:qFormat/>
    <w:uiPriority w:val="0"/>
    <w:rPr>
      <w:rFonts w:asciiTheme="minorHAnsi" w:hAnsiTheme="minorHAnsi" w:eastAsiaTheme="minorEastAsia" w:cstheme="minorBidi"/>
      <w:kern w:val="2"/>
      <w:sz w:val="21"/>
      <w:szCs w:val="22"/>
    </w:rPr>
  </w:style>
  <w:style w:type="character" w:customStyle="1" w:styleId="30">
    <w:name w:val="批注主题 字符"/>
    <w:basedOn w:val="29"/>
    <w:link w:val="11"/>
    <w:semiHidden/>
    <w:qFormat/>
    <w:uiPriority w:val="99"/>
    <w:rPr>
      <w:rFonts w:asciiTheme="minorHAnsi" w:hAnsiTheme="minorHAnsi" w:eastAsiaTheme="minorEastAsia" w:cstheme="minorBidi"/>
      <w:b/>
      <w:bCs/>
      <w:kern w:val="2"/>
      <w:sz w:val="21"/>
      <w:szCs w:val="22"/>
    </w:rPr>
  </w:style>
  <w:style w:type="paragraph" w:customStyle="1" w:styleId="31">
    <w:name w:val="标准文件_二级无标题"/>
    <w:basedOn w:val="32"/>
    <w:qFormat/>
    <w:uiPriority w:val="0"/>
    <w:pPr>
      <w:spacing w:before="0" w:beforeLines="0" w:after="0" w:afterLines="0"/>
      <w:outlineLvl w:val="9"/>
    </w:pPr>
    <w:rPr>
      <w:rFonts w:ascii="宋体" w:eastAsia="宋体"/>
    </w:rPr>
  </w:style>
  <w:style w:type="paragraph" w:customStyle="1" w:styleId="32">
    <w:name w:val="标准文件_二级条标题"/>
    <w:next w:val="33"/>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character" w:customStyle="1" w:styleId="35">
    <w:name w:val="批注框文本 字符"/>
    <w:basedOn w:val="14"/>
    <w:link w:val="7"/>
    <w:semiHidden/>
    <w:qFormat/>
    <w:uiPriority w:val="99"/>
    <w:rPr>
      <w:rFonts w:asciiTheme="minorHAnsi" w:hAnsiTheme="minorHAnsi" w:eastAsiaTheme="minorEastAsia" w:cstheme="minorBidi"/>
      <w:kern w:val="2"/>
      <w:sz w:val="18"/>
      <w:szCs w:val="18"/>
    </w:rPr>
  </w:style>
  <w:style w:type="paragraph" w:customStyle="1" w:styleId="36">
    <w:name w:val="标准文件_术语条一"/>
    <w:basedOn w:val="37"/>
    <w:next w:val="33"/>
    <w:qFormat/>
    <w:uiPriority w:val="0"/>
  </w:style>
  <w:style w:type="paragraph" w:customStyle="1" w:styleId="37">
    <w:name w:val="标准文件_一级无标题"/>
    <w:basedOn w:val="38"/>
    <w:qFormat/>
    <w:uiPriority w:val="0"/>
    <w:pPr>
      <w:spacing w:before="0" w:beforeLines="0" w:after="0" w:afterLines="0"/>
      <w:outlineLvl w:val="9"/>
    </w:pPr>
    <w:rPr>
      <w:rFonts w:ascii="宋体" w:eastAsia="宋体"/>
    </w:rPr>
  </w:style>
  <w:style w:type="paragraph" w:customStyle="1" w:styleId="38">
    <w:name w:val="标准文件_一级条标题"/>
    <w:basedOn w:val="39"/>
    <w:next w:val="33"/>
    <w:qFormat/>
    <w:uiPriority w:val="0"/>
    <w:pPr>
      <w:numPr>
        <w:ilvl w:val="2"/>
      </w:numPr>
      <w:spacing w:before="50" w:beforeLines="50" w:after="50" w:afterLines="50"/>
      <w:outlineLvl w:val="1"/>
    </w:pPr>
  </w:style>
  <w:style w:type="paragraph" w:customStyle="1" w:styleId="39">
    <w:name w:val="标准文件_章标题"/>
    <w:next w:val="33"/>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项"/>
    <w:qFormat/>
    <w:uiPriority w:val="0"/>
    <w:pPr>
      <w:numPr>
        <w:ilvl w:val="0"/>
        <w:numId w:val="6"/>
      </w:numPr>
    </w:pPr>
    <w:rPr>
      <w:rFonts w:ascii="宋体" w:hAnsi="Times New Roman" w:eastAsia="宋体" w:cs="Times New Roman"/>
      <w:sz w:val="21"/>
      <w:lang w:val="en-US" w:eastAsia="zh-CN" w:bidi="ar-SA"/>
    </w:rPr>
  </w:style>
  <w:style w:type="paragraph" w:customStyle="1" w:styleId="41">
    <w:name w:val="标准文件_二级项2"/>
    <w:basedOn w:val="33"/>
    <w:qFormat/>
    <w:uiPriority w:val="0"/>
    <w:pPr>
      <w:numPr>
        <w:ilvl w:val="1"/>
        <w:numId w:val="6"/>
      </w:numPr>
      <w:ind w:firstLine="0" w:firstLineChars="0"/>
    </w:pPr>
  </w:style>
  <w:style w:type="paragraph" w:customStyle="1" w:styleId="42">
    <w:name w:val="标准文件_数字编号列项（二级）"/>
    <w:qFormat/>
    <w:uiPriority w:val="0"/>
    <w:pPr>
      <w:numPr>
        <w:ilvl w:val="1"/>
        <w:numId w:val="7"/>
      </w:numPr>
      <w:tabs>
        <w:tab w:val="left" w:pos="851"/>
      </w:tabs>
      <w:jc w:val="both"/>
    </w:pPr>
    <w:rPr>
      <w:rFonts w:ascii="宋体" w:hAnsi="Times New Roman" w:eastAsia="宋体" w:cs="Times New Roman"/>
      <w:sz w:val="21"/>
      <w:lang w:val="en-US" w:eastAsia="zh-CN" w:bidi="ar-SA"/>
    </w:rPr>
  </w:style>
  <w:style w:type="paragraph" w:customStyle="1" w:styleId="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5939</Words>
  <Characters>6409</Characters>
  <Lines>47</Lines>
  <Paragraphs>13</Paragraphs>
  <TotalTime>3</TotalTime>
  <ScaleCrop>false</ScaleCrop>
  <LinksUpToDate>false</LinksUpToDate>
  <CharactersWithSpaces>6474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2025-10-23T07:40:00Z</dcterms:created>
  <dc:creator>Lenovo</dc:creator>
  <cp:lastModifiedBy>凤娇</cp:lastModifiedBy>
  <cp:lastPrinted>2023-08-21T16:37:00Z</cp:lastPrinted>
  <dcterms:modified xsi:type="dcterms:W3CDTF">2025-10-25T05:46:06Z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0EC3A2E632E74855B5C29ACFD7283437_13</vt:lpwstr>
  </property>
  <property fmtid="{D5CDD505-2E9C-101B-9397-08002B2CF9AE}" pid="4" name="KSOTemplateDocerSaveRecord">
    <vt:lpwstr>eyJoZGlkIjoiOTNjMGZkYmFhYzdmN2I2YmY2YzZjOTVmOTQ2MWM3YWIiLCJ1c2VySWQiOiIyNDQzNTgzNCJ9</vt:lpwstr>
  </property>
</Properties>
</file>