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jc w:val="center"/>
        <w:rPr>
          <w:rFonts w:hint="eastAsia" w:ascii="方正小标宋简体" w:hAnsi="楷体" w:eastAsia="方正小标宋简体" w:cs="宋体"/>
          <w:sz w:val="36"/>
          <w:szCs w:val="36"/>
        </w:rPr>
      </w:pPr>
    </w:p>
    <w:p>
      <w:pPr>
        <w:pStyle w:val="8"/>
        <w:spacing w:line="500" w:lineRule="exact"/>
        <w:jc w:val="center"/>
        <w:rPr>
          <w:rFonts w:hint="eastAsia" w:ascii="方正小标宋简体" w:hAnsi="楷体" w:eastAsia="方正小标宋简体" w:cs="宋体"/>
          <w:sz w:val="36"/>
          <w:szCs w:val="36"/>
        </w:rPr>
      </w:pPr>
    </w:p>
    <w:p>
      <w:pPr>
        <w:pStyle w:val="8"/>
        <w:spacing w:line="500" w:lineRule="exact"/>
        <w:jc w:val="center"/>
        <w:rPr>
          <w:rFonts w:hint="eastAsia" w:ascii="方正小标宋简体" w:hAnsi="楷体" w:eastAsia="方正小标宋简体" w:cs="宋体"/>
          <w:sz w:val="36"/>
          <w:szCs w:val="36"/>
        </w:rPr>
      </w:pPr>
      <w:bookmarkStart w:id="83" w:name="_GoBack"/>
      <w:bookmarkEnd w:id="83"/>
    </w:p>
    <w:p>
      <w:pPr>
        <w:pStyle w:val="8"/>
        <w:spacing w:line="500" w:lineRule="exact"/>
        <w:jc w:val="center"/>
        <w:rPr>
          <w:rFonts w:hint="eastAsia" w:ascii="方正小标宋简体" w:hAnsi="楷体" w:eastAsia="方正小标宋简体" w:cs="宋体"/>
          <w:sz w:val="36"/>
          <w:szCs w:val="36"/>
        </w:rPr>
      </w:pPr>
    </w:p>
    <w:p>
      <w:pPr>
        <w:pStyle w:val="8"/>
        <w:spacing w:line="1000" w:lineRule="exact"/>
        <w:jc w:val="center"/>
        <w:rPr>
          <w:rFonts w:hint="eastAsia" w:ascii="方正小标宋简体" w:hAnsi="楷体" w:eastAsia="方正小标宋简体" w:cs="宋体"/>
          <w:spacing w:val="20"/>
          <w:sz w:val="62"/>
          <w:szCs w:val="62"/>
        </w:rPr>
      </w:pPr>
      <w:r>
        <w:rPr>
          <w:rFonts w:hint="eastAsia" w:ascii="方正小标宋简体" w:hAnsi="楷体" w:eastAsia="方正小标宋简体" w:cs="宋体"/>
          <w:spacing w:val="20"/>
          <w:sz w:val="62"/>
          <w:szCs w:val="62"/>
        </w:rPr>
        <w:t>北京市应急管理行政处罚</w:t>
      </w:r>
    </w:p>
    <w:p>
      <w:pPr>
        <w:pStyle w:val="8"/>
        <w:spacing w:line="1000" w:lineRule="exact"/>
        <w:jc w:val="center"/>
        <w:rPr>
          <w:rFonts w:hint="eastAsia" w:ascii="方正小标宋简体" w:hAnsi="楷体" w:eastAsia="方正小标宋简体" w:cs="宋体"/>
          <w:spacing w:val="40"/>
          <w:sz w:val="62"/>
          <w:szCs w:val="62"/>
        </w:rPr>
      </w:pPr>
      <w:r>
        <w:rPr>
          <w:rFonts w:hint="eastAsia" w:ascii="方正小标宋简体" w:hAnsi="楷体" w:eastAsia="方正小标宋简体" w:cs="宋体"/>
          <w:spacing w:val="40"/>
          <w:sz w:val="62"/>
          <w:szCs w:val="62"/>
        </w:rPr>
        <w:t>裁量权基准</w:t>
      </w:r>
    </w:p>
    <w:p>
      <w:pPr>
        <w:pStyle w:val="8"/>
        <w:spacing w:line="1000" w:lineRule="exact"/>
        <w:jc w:val="center"/>
        <w:rPr>
          <w:rFonts w:hint="eastAsia" w:ascii="方正小标宋简体" w:hAnsi="楷体" w:eastAsia="方正小标宋简体" w:cs="宋体"/>
          <w:spacing w:val="20"/>
          <w:sz w:val="36"/>
          <w:szCs w:val="36"/>
        </w:rPr>
      </w:pPr>
      <w:r>
        <w:rPr>
          <w:rFonts w:hint="eastAsia" w:ascii="方正小标宋简体" w:hAnsi="楷体" w:eastAsia="方正小标宋简体" w:cs="宋体"/>
          <w:spacing w:val="20"/>
          <w:sz w:val="36"/>
          <w:szCs w:val="36"/>
        </w:rPr>
        <w:t>（2025年版）</w:t>
      </w:r>
    </w:p>
    <w:p>
      <w:pPr>
        <w:pStyle w:val="8"/>
        <w:spacing w:line="420" w:lineRule="exact"/>
        <w:jc w:val="center"/>
        <w:rPr>
          <w:rFonts w:hint="eastAsia" w:ascii="楷体" w:hAnsi="楷体" w:eastAsia="楷体" w:cs="宋体"/>
          <w:sz w:val="24"/>
          <w:szCs w:val="24"/>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楷体" w:hAnsi="楷体" w:eastAsia="楷体" w:cs="宋体"/>
          <w:b/>
          <w:bCs/>
          <w:sz w:val="28"/>
          <w:szCs w:val="28"/>
        </w:rPr>
      </w:pPr>
    </w:p>
    <w:p>
      <w:pPr>
        <w:pStyle w:val="8"/>
        <w:spacing w:after="156" w:afterLines="50" w:line="420" w:lineRule="exact"/>
        <w:jc w:val="center"/>
        <w:rPr>
          <w:rFonts w:hint="eastAsia" w:ascii="黑体" w:hAnsi="黑体" w:eastAsia="黑体" w:cs="宋体"/>
          <w:sz w:val="36"/>
          <w:szCs w:val="36"/>
        </w:rPr>
      </w:pPr>
      <w:r>
        <w:rPr>
          <w:rFonts w:hint="eastAsia" w:ascii="黑体" w:hAnsi="黑体" w:eastAsia="黑体" w:cs="宋体"/>
          <w:sz w:val="36"/>
          <w:szCs w:val="36"/>
        </w:rPr>
        <w:t>北京市应急管理局</w:t>
      </w:r>
    </w:p>
    <w:p>
      <w:pPr>
        <w:pStyle w:val="8"/>
        <w:spacing w:after="156" w:afterLines="50" w:line="420" w:lineRule="exact"/>
        <w:jc w:val="center"/>
        <w:rPr>
          <w:rFonts w:hint="eastAsia" w:ascii="楷体" w:hAnsi="楷体" w:eastAsia="楷体" w:cs="宋体"/>
          <w:b/>
          <w:bCs/>
          <w:sz w:val="28"/>
          <w:szCs w:val="28"/>
        </w:rPr>
      </w:pPr>
    </w:p>
    <w:p>
      <w:pPr>
        <w:widowControl/>
        <w:jc w:val="left"/>
        <w:rPr>
          <w:rFonts w:hint="eastAsia" w:ascii="方正小标宋简体" w:hAnsi="黑体" w:eastAsia="方正小标宋简体"/>
          <w:sz w:val="36"/>
          <w:szCs w:val="28"/>
        </w:rPr>
        <w:sectPr>
          <w:footerReference r:id="rId5" w:type="first"/>
          <w:footerReference r:id="rId3" w:type="default"/>
          <w:footerReference r:id="rId4" w:type="even"/>
          <w:pgSz w:w="10490" w:h="14742"/>
          <w:pgMar w:top="1418" w:right="1247" w:bottom="1134" w:left="1247" w:header="851" w:footer="1077" w:gutter="0"/>
          <w:pgNumType w:start="1"/>
          <w:cols w:space="720" w:num="1"/>
          <w:docGrid w:type="lines" w:linePitch="312" w:charSpace="0"/>
        </w:sectPr>
      </w:pPr>
    </w:p>
    <w:p>
      <w:pPr>
        <w:widowControl/>
        <w:jc w:val="center"/>
        <w:rPr>
          <w:rFonts w:hint="eastAsia" w:ascii="方正小标宋简体" w:hAnsi="黑体" w:eastAsia="方正小标宋简体"/>
          <w:sz w:val="36"/>
          <w:szCs w:val="28"/>
        </w:rPr>
      </w:pPr>
    </w:p>
    <w:sdt>
      <w:sdtPr>
        <w:rPr>
          <w:rFonts w:ascii="Times New Roman" w:hAnsi="Times New Roman" w:eastAsia="宋体" w:cs="Times New Roman"/>
          <w:color w:val="auto"/>
          <w:kern w:val="2"/>
          <w:sz w:val="21"/>
          <w:szCs w:val="20"/>
          <w:lang w:val="zh-CN"/>
        </w:rPr>
        <w:id w:val="790404369"/>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41"/>
            <w:jc w:val="center"/>
            <w:rPr>
              <w:rFonts w:hint="eastAsia" w:ascii="黑体" w:hAnsi="黑体" w:eastAsia="黑体" w:cs="黑体"/>
              <w:color w:val="auto"/>
            </w:rPr>
          </w:pPr>
          <w:r>
            <w:rPr>
              <w:rFonts w:hint="eastAsia" w:ascii="黑体" w:hAnsi="黑体" w:eastAsia="黑体" w:cs="黑体"/>
              <w:color w:val="auto"/>
              <w:lang w:val="zh-CN"/>
            </w:rPr>
            <w:t>目  录</w:t>
          </w:r>
        </w:p>
        <w:p>
          <w:pPr>
            <w:pStyle w:val="12"/>
            <w:tabs>
              <w:tab w:val="right" w:leader="dot" w:pos="7986"/>
            </w:tabs>
            <w:rPr>
              <w:rFonts w:hint="eastAsia" w:asciiTheme="minorHAnsi" w:hAnsiTheme="minorHAnsi" w:eastAsiaTheme="minorEastAsia" w:cstheme="minorBidi"/>
              <w:sz w:val="22"/>
              <w:szCs w:val="24"/>
              <w14:ligatures w14:val="standardContextual"/>
            </w:rPr>
          </w:pPr>
          <w:r>
            <w:fldChar w:fldCharType="begin"/>
          </w:r>
          <w:r>
            <w:instrText xml:space="preserve"> TOC \o "1-3" \h \z \u </w:instrText>
          </w:r>
          <w:r>
            <w:fldChar w:fldCharType="separate"/>
          </w:r>
          <w:r>
            <w:fldChar w:fldCharType="begin"/>
          </w:r>
          <w:r>
            <w:instrText xml:space="preserve"> HYPERLINK \l "_Toc204864556" </w:instrText>
          </w:r>
          <w:r>
            <w:fldChar w:fldCharType="separate"/>
          </w:r>
          <w:r>
            <w:rPr>
              <w:rStyle w:val="21"/>
              <w:rFonts w:hint="eastAsia" w:ascii="方正小标宋简体" w:hAnsi="楷体" w:eastAsia="方正小标宋简体" w:cs="宋体"/>
              <w:spacing w:val="20"/>
            </w:rPr>
            <w:t>第一章   总   则</w:t>
          </w:r>
          <w:r>
            <w:rPr>
              <w:rFonts w:hint="eastAsia"/>
            </w:rPr>
            <w:tab/>
          </w:r>
          <w:r>
            <w:rPr>
              <w:rFonts w:hint="eastAsia"/>
            </w:rPr>
            <w:fldChar w:fldCharType="begin"/>
          </w:r>
          <w:r>
            <w:rPr>
              <w:rFonts w:hint="eastAsia"/>
            </w:rPr>
            <w:instrText xml:space="preserve"> </w:instrText>
          </w:r>
          <w:r>
            <w:instrText xml:space="preserve">PAGEREF _Toc204864556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2"/>
            <w:tabs>
              <w:tab w:val="right" w:leader="dot" w:pos="7986"/>
            </w:tabs>
            <w:rPr>
              <w:rFonts w:hint="eastAsia" w:asciiTheme="minorHAnsi" w:hAnsiTheme="minorHAnsi" w:eastAsiaTheme="minorEastAsia" w:cstheme="minorBidi"/>
              <w:sz w:val="22"/>
              <w:szCs w:val="24"/>
              <w14:ligatures w14:val="standardContextual"/>
            </w:rPr>
          </w:pPr>
          <w:r>
            <w:fldChar w:fldCharType="begin"/>
          </w:r>
          <w:r>
            <w:instrText xml:space="preserve"> HYPERLINK \l "_Toc204864557" </w:instrText>
          </w:r>
          <w:r>
            <w:fldChar w:fldCharType="separate"/>
          </w:r>
          <w:r>
            <w:rPr>
              <w:rStyle w:val="21"/>
              <w:rFonts w:hint="eastAsia" w:ascii="方正小标宋简体" w:hAnsi="楷体" w:eastAsia="方正小标宋简体" w:cs="宋体"/>
              <w:spacing w:val="20"/>
            </w:rPr>
            <w:t>第二章  违法行为裁量权基准</w:t>
          </w:r>
          <w:r>
            <w:rPr>
              <w:rFonts w:hint="eastAsia"/>
            </w:rPr>
            <w:tab/>
          </w:r>
          <w:r>
            <w:rPr>
              <w:rFonts w:hint="eastAsia"/>
            </w:rPr>
            <w:fldChar w:fldCharType="begin"/>
          </w:r>
          <w:r>
            <w:rPr>
              <w:rFonts w:hint="eastAsia"/>
            </w:rPr>
            <w:instrText xml:space="preserve"> </w:instrText>
          </w:r>
          <w:r>
            <w:instrText xml:space="preserve">PAGEREF _Toc204864557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7"/>
            <w:spacing w:after="156"/>
            <w:rPr>
              <w:rFonts w:hint="eastAsia" w:asciiTheme="minorHAnsi" w:hAnsiTheme="minorHAnsi" w:eastAsiaTheme="minorEastAsia" w:cstheme="minorBidi"/>
              <w:sz w:val="22"/>
              <w:szCs w:val="24"/>
              <w14:ligatures w14:val="standardContextual"/>
            </w:rPr>
          </w:pPr>
          <w:r>
            <w:fldChar w:fldCharType="begin"/>
          </w:r>
          <w:r>
            <w:instrText xml:space="preserve"> HYPERLINK \l "_Toc204864558" </w:instrText>
          </w:r>
          <w:r>
            <w:fldChar w:fldCharType="separate"/>
          </w:r>
          <w:r>
            <w:rPr>
              <w:rStyle w:val="21"/>
              <w:rFonts w:hint="eastAsia" w:ascii="黑体" w:hAnsi="黑体" w:eastAsia="黑体" w:cs="宋体"/>
            </w:rPr>
            <w:t>一、《北京市安全生产条例》相关规定裁量权基准</w:t>
          </w:r>
          <w:r>
            <w:rPr>
              <w:rFonts w:hint="eastAsia"/>
            </w:rPr>
            <w:tab/>
          </w:r>
          <w:r>
            <w:rPr>
              <w:rFonts w:hint="eastAsia"/>
            </w:rPr>
            <w:fldChar w:fldCharType="begin"/>
          </w:r>
          <w:r>
            <w:rPr>
              <w:rFonts w:hint="eastAsia"/>
            </w:rPr>
            <w:instrText xml:space="preserve"> </w:instrText>
          </w:r>
          <w:r>
            <w:instrText xml:space="preserve">PAGEREF _Toc204864558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7"/>
            <w:spacing w:after="156"/>
            <w:rPr>
              <w:rFonts w:hint="eastAsia" w:asciiTheme="minorHAnsi" w:hAnsiTheme="minorHAnsi" w:eastAsiaTheme="minorEastAsia" w:cstheme="minorBidi"/>
              <w:sz w:val="22"/>
              <w:szCs w:val="24"/>
              <w14:ligatures w14:val="standardContextual"/>
            </w:rPr>
          </w:pPr>
          <w:r>
            <w:fldChar w:fldCharType="begin"/>
          </w:r>
          <w:r>
            <w:instrText xml:space="preserve"> HYPERLINK \l "_Toc204864559" </w:instrText>
          </w:r>
          <w:r>
            <w:fldChar w:fldCharType="separate"/>
          </w:r>
          <w:r>
            <w:rPr>
              <w:rStyle w:val="21"/>
              <w:rFonts w:hint="eastAsia" w:ascii="黑体" w:hAnsi="黑体" w:eastAsia="黑体" w:cs="宋体"/>
            </w:rPr>
            <w:t>二、《北京市燃气管理条例》 相关规定裁量权基准</w:t>
          </w:r>
          <w:r>
            <w:rPr>
              <w:rFonts w:hint="eastAsia"/>
            </w:rPr>
            <w:tab/>
          </w:r>
          <w:r>
            <w:rPr>
              <w:rFonts w:hint="eastAsia"/>
            </w:rPr>
            <w:fldChar w:fldCharType="begin"/>
          </w:r>
          <w:r>
            <w:rPr>
              <w:rFonts w:hint="eastAsia"/>
            </w:rPr>
            <w:instrText xml:space="preserve"> </w:instrText>
          </w:r>
          <w:r>
            <w:instrText xml:space="preserve">PAGEREF _Toc204864559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7"/>
            <w:spacing w:after="156"/>
            <w:rPr>
              <w:rFonts w:hint="eastAsia" w:asciiTheme="minorHAnsi" w:hAnsiTheme="minorHAnsi" w:eastAsiaTheme="minorEastAsia" w:cstheme="minorBidi"/>
              <w:sz w:val="22"/>
              <w:szCs w:val="24"/>
              <w14:ligatures w14:val="standardContextual"/>
            </w:rPr>
          </w:pPr>
          <w:r>
            <w:fldChar w:fldCharType="begin"/>
          </w:r>
          <w:r>
            <w:instrText xml:space="preserve"> HYPERLINK \l "_Toc204864560" </w:instrText>
          </w:r>
          <w:r>
            <w:fldChar w:fldCharType="separate"/>
          </w:r>
          <w:r>
            <w:rPr>
              <w:rStyle w:val="21"/>
              <w:rFonts w:hint="eastAsia" w:ascii="黑体" w:hAnsi="黑体" w:eastAsia="黑体" w:cs="宋体"/>
            </w:rPr>
            <w:t>三、《北京市生产安全事故报告和调查处理办法》 相关规定裁量权基准</w:t>
          </w:r>
          <w:r>
            <w:rPr>
              <w:rFonts w:hint="eastAsia"/>
            </w:rPr>
            <w:tab/>
          </w:r>
          <w:r>
            <w:rPr>
              <w:rFonts w:hint="eastAsia"/>
            </w:rPr>
            <w:fldChar w:fldCharType="begin"/>
          </w:r>
          <w:r>
            <w:rPr>
              <w:rFonts w:hint="eastAsia"/>
            </w:rPr>
            <w:instrText xml:space="preserve"> </w:instrText>
          </w:r>
          <w:r>
            <w:instrText xml:space="preserve">PAGEREF _Toc204864560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7"/>
            <w:spacing w:after="156"/>
            <w:rPr>
              <w:rFonts w:hint="eastAsia" w:asciiTheme="minorHAnsi" w:hAnsiTheme="minorHAnsi" w:eastAsiaTheme="minorEastAsia" w:cstheme="minorBidi"/>
              <w:sz w:val="22"/>
              <w:szCs w:val="24"/>
              <w14:ligatures w14:val="standardContextual"/>
            </w:rPr>
          </w:pPr>
          <w:r>
            <w:fldChar w:fldCharType="begin"/>
          </w:r>
          <w:r>
            <w:instrText xml:space="preserve"> HYPERLINK \l "_Toc204864561" </w:instrText>
          </w:r>
          <w:r>
            <w:fldChar w:fldCharType="separate"/>
          </w:r>
          <w:r>
            <w:rPr>
              <w:rStyle w:val="21"/>
              <w:rFonts w:hint="eastAsia" w:ascii="黑体" w:hAnsi="黑体" w:eastAsia="黑体" w:cs="宋体"/>
            </w:rPr>
            <w:t>四、《北京市生产安全事故隐患排查治理办法》 相关规定裁量权基准</w:t>
          </w:r>
          <w:r>
            <w:rPr>
              <w:rFonts w:hint="eastAsia"/>
            </w:rPr>
            <w:tab/>
          </w:r>
          <w:r>
            <w:rPr>
              <w:rFonts w:hint="eastAsia"/>
            </w:rPr>
            <w:fldChar w:fldCharType="begin"/>
          </w:r>
          <w:r>
            <w:rPr>
              <w:rFonts w:hint="eastAsia"/>
            </w:rPr>
            <w:instrText xml:space="preserve"> </w:instrText>
          </w:r>
          <w:r>
            <w:instrText xml:space="preserve">PAGEREF _Toc204864561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7"/>
            <w:spacing w:after="156"/>
            <w:rPr>
              <w:rFonts w:hint="eastAsia" w:asciiTheme="minorHAnsi" w:hAnsiTheme="minorHAnsi" w:eastAsiaTheme="minorEastAsia" w:cstheme="minorBidi"/>
              <w:sz w:val="22"/>
              <w:szCs w:val="24"/>
              <w14:ligatures w14:val="standardContextual"/>
            </w:rPr>
          </w:pPr>
          <w:r>
            <w:fldChar w:fldCharType="begin"/>
          </w:r>
          <w:r>
            <w:instrText xml:space="preserve"> HYPERLINK \l "_Toc204864562" </w:instrText>
          </w:r>
          <w:r>
            <w:fldChar w:fldCharType="separate"/>
          </w:r>
          <w:r>
            <w:rPr>
              <w:rStyle w:val="21"/>
              <w:rFonts w:hint="eastAsia" w:ascii="黑体" w:hAnsi="黑体" w:eastAsia="黑体" w:cs="宋体"/>
            </w:rPr>
            <w:t>五、《北京市生产经营单位安全生产主体责任规定》 相关规定裁量权基准</w:t>
          </w:r>
          <w:r>
            <w:rPr>
              <w:rFonts w:hint="eastAsia"/>
            </w:rPr>
            <w:tab/>
          </w:r>
          <w:r>
            <w:rPr>
              <w:rFonts w:hint="eastAsia"/>
            </w:rPr>
            <w:fldChar w:fldCharType="begin"/>
          </w:r>
          <w:r>
            <w:rPr>
              <w:rFonts w:hint="eastAsia"/>
            </w:rPr>
            <w:instrText xml:space="preserve"> </w:instrText>
          </w:r>
          <w:r>
            <w:instrText xml:space="preserve">PAGEREF _Toc204864562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12"/>
            <w:tabs>
              <w:tab w:val="right" w:leader="dot" w:pos="7986"/>
            </w:tabs>
            <w:rPr>
              <w:rFonts w:hint="eastAsia" w:asciiTheme="minorHAnsi" w:hAnsiTheme="minorHAnsi" w:eastAsiaTheme="minorEastAsia" w:cstheme="minorBidi"/>
              <w:sz w:val="22"/>
              <w:szCs w:val="24"/>
              <w14:ligatures w14:val="standardContextual"/>
            </w:rPr>
          </w:pPr>
          <w:r>
            <w:fldChar w:fldCharType="begin"/>
          </w:r>
          <w:r>
            <w:instrText xml:space="preserve"> HYPERLINK \l "_Toc204864563" </w:instrText>
          </w:r>
          <w:r>
            <w:fldChar w:fldCharType="separate"/>
          </w:r>
          <w:r>
            <w:rPr>
              <w:rStyle w:val="21"/>
              <w:rFonts w:hint="eastAsia" w:ascii="方正小标宋简体" w:hAnsi="楷体" w:eastAsia="方正小标宋简体" w:cs="宋体"/>
              <w:spacing w:val="20"/>
            </w:rPr>
            <w:t>第三章  北京市应急管理轻微违法行为不予行政处罚事项清单</w:t>
          </w:r>
          <w:r>
            <w:rPr>
              <w:rFonts w:hint="eastAsia"/>
            </w:rPr>
            <w:tab/>
          </w:r>
          <w:r>
            <w:rPr>
              <w:rFonts w:hint="eastAsia"/>
            </w:rPr>
            <w:fldChar w:fldCharType="begin"/>
          </w:r>
          <w:r>
            <w:rPr>
              <w:rFonts w:hint="eastAsia"/>
            </w:rPr>
            <w:instrText xml:space="preserve"> </w:instrText>
          </w:r>
          <w:r>
            <w:instrText xml:space="preserve">PAGEREF _Toc204864563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r>
            <w:rPr>
              <w:b/>
              <w:bCs/>
              <w:lang w:val="zh-CN"/>
            </w:rPr>
            <w:fldChar w:fldCharType="end"/>
          </w:r>
        </w:p>
      </w:sdtContent>
    </w:sdt>
    <w:p>
      <w:pPr>
        <w:widowControl/>
        <w:jc w:val="left"/>
        <w:rPr>
          <w:rFonts w:hint="eastAsia" w:ascii="楷体" w:hAnsi="楷体" w:eastAsia="楷体" w:cs="宋体"/>
          <w:b/>
          <w:bCs/>
          <w:sz w:val="28"/>
          <w:szCs w:val="28"/>
        </w:rPr>
      </w:pPr>
      <w:r>
        <w:rPr>
          <w:rFonts w:ascii="楷体" w:hAnsi="楷体" w:eastAsia="楷体" w:cs="宋体"/>
          <w:b/>
          <w:bCs/>
          <w:sz w:val="28"/>
          <w:szCs w:val="28"/>
        </w:rPr>
        <w:br w:type="page"/>
      </w:r>
    </w:p>
    <w:p>
      <w:pPr>
        <w:pStyle w:val="8"/>
        <w:spacing w:after="156" w:afterLines="50" w:line="900" w:lineRule="exact"/>
        <w:jc w:val="center"/>
        <w:rPr>
          <w:rFonts w:hint="eastAsia" w:ascii="楷体" w:hAnsi="楷体" w:eastAsia="楷体" w:cs="宋体"/>
          <w:b/>
          <w:bCs/>
          <w:sz w:val="28"/>
          <w:szCs w:val="28"/>
        </w:rPr>
      </w:pPr>
    </w:p>
    <w:p>
      <w:pPr>
        <w:pStyle w:val="8"/>
        <w:spacing w:after="156" w:afterLines="50" w:line="800" w:lineRule="exact"/>
        <w:jc w:val="center"/>
        <w:outlineLvl w:val="0"/>
        <w:rPr>
          <w:rFonts w:hint="eastAsia" w:ascii="方正小标宋简体" w:hAnsi="楷体" w:eastAsia="方正小标宋简体" w:cs="宋体"/>
          <w:spacing w:val="20"/>
          <w:sz w:val="52"/>
          <w:szCs w:val="52"/>
        </w:rPr>
      </w:pPr>
      <w:bookmarkStart w:id="0" w:name="_Toc204864556"/>
      <w:bookmarkStart w:id="1" w:name="_Toc53175438"/>
      <w:r>
        <w:rPr>
          <w:rFonts w:hint="eastAsia" w:ascii="方正小标宋简体" w:hAnsi="楷体" w:eastAsia="方正小标宋简体" w:cs="宋体"/>
          <w:spacing w:val="20"/>
          <w:sz w:val="52"/>
          <w:szCs w:val="52"/>
        </w:rPr>
        <w:t>第一章   总   则</w:t>
      </w:r>
      <w:bookmarkEnd w:id="0"/>
      <w:bookmarkEnd w:id="1"/>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52"/>
          <w:szCs w:val="52"/>
        </w:rPr>
      </w:pPr>
      <w:r>
        <w:rPr>
          <w:rFonts w:ascii="方正小标宋简体" w:hAnsi="楷体" w:eastAsia="方正小标宋简体" w:cs="宋体"/>
          <w:sz w:val="52"/>
          <w:szCs w:val="52"/>
        </w:rPr>
        <w:br w:type="page"/>
      </w:r>
    </w:p>
    <w:p>
      <w:pPr>
        <w:widowControl/>
        <w:spacing w:line="420" w:lineRule="exact"/>
        <w:ind w:firstLine="480" w:firstLineChars="200"/>
        <w:rPr>
          <w:rFonts w:cs="宋体"/>
          <w:sz w:val="24"/>
          <w:szCs w:val="24"/>
        </w:rPr>
      </w:pPr>
      <w:r>
        <w:rPr>
          <w:rFonts w:hint="eastAsia" w:cs="宋体"/>
          <w:sz w:val="24"/>
          <w:szCs w:val="24"/>
        </w:rPr>
        <w:t>一、为规范实施北京市应急管理违法行为的行政处罚裁量权，根据国家和本市相关应急管理法律、法规和规章，以及《</w:t>
      </w:r>
      <w:r>
        <w:rPr>
          <w:rFonts w:cs="宋体"/>
          <w:sz w:val="24"/>
          <w:szCs w:val="24"/>
        </w:rPr>
        <w:t>应急管理行政裁量权基准暂行规定</w:t>
      </w:r>
      <w:r>
        <w:rPr>
          <w:rFonts w:hint="eastAsia" w:cs="宋体"/>
          <w:sz w:val="24"/>
          <w:szCs w:val="24"/>
        </w:rPr>
        <w:t>》（应急管理部令第12号）、《关于规范实施行政处罚裁量基准制度的若干指导意见》（京政法制发〔</w:t>
      </w:r>
      <w:r>
        <w:rPr>
          <w:rFonts w:cs="宋体"/>
          <w:sz w:val="24"/>
          <w:szCs w:val="24"/>
        </w:rPr>
        <w:t>2015</w:t>
      </w:r>
      <w:r>
        <w:rPr>
          <w:rFonts w:hint="eastAsia" w:cs="宋体"/>
          <w:sz w:val="24"/>
          <w:szCs w:val="24"/>
        </w:rPr>
        <w:t>〕</w:t>
      </w:r>
      <w:r>
        <w:rPr>
          <w:rFonts w:cs="宋体"/>
          <w:sz w:val="24"/>
          <w:szCs w:val="24"/>
        </w:rPr>
        <w:t>16</w:t>
      </w:r>
      <w:r>
        <w:rPr>
          <w:rFonts w:hint="eastAsia" w:cs="宋体"/>
          <w:sz w:val="24"/>
          <w:szCs w:val="24"/>
        </w:rPr>
        <w:t>号）有关要求，制定《北京市应急管理行政处罚裁量权基准》（以下简称《基准》）。</w:t>
      </w:r>
    </w:p>
    <w:p>
      <w:pPr>
        <w:spacing w:line="420" w:lineRule="exact"/>
        <w:ind w:firstLine="480" w:firstLineChars="200"/>
        <w:rPr>
          <w:rFonts w:cs="宋体"/>
          <w:sz w:val="24"/>
          <w:szCs w:val="24"/>
        </w:rPr>
      </w:pPr>
      <w:r>
        <w:rPr>
          <w:rFonts w:hint="eastAsia" w:cs="宋体"/>
          <w:sz w:val="24"/>
          <w:szCs w:val="24"/>
        </w:rPr>
        <w:t>二、本《基准》适用于依据北京市地方性法规、地方政府规章对本市应急管理违法行为进行行政处罚的裁量；本《基准》未涉及的应急管理违法行为的行政处罚裁量适用应急管理部印发的《应急管理行政处罚裁量权基准》（应急[2024]90号）。</w:t>
      </w:r>
    </w:p>
    <w:p>
      <w:pPr>
        <w:spacing w:line="420" w:lineRule="exact"/>
        <w:ind w:firstLine="480" w:firstLineChars="200"/>
        <w:rPr>
          <w:sz w:val="24"/>
          <w:szCs w:val="24"/>
        </w:rPr>
      </w:pPr>
      <w:r>
        <w:rPr>
          <w:rFonts w:hint="eastAsia" w:cs="宋体"/>
          <w:sz w:val="24"/>
          <w:szCs w:val="24"/>
        </w:rPr>
        <w:t>三、本《基准》综合考虑了违法的事实、性质、手段、后果、情节等因素，对具体条文采取分级原则进行裁量。各类应急管理违法行为依据社会危害性、情节严重性等划定为</w:t>
      </w:r>
      <w:r>
        <w:rPr>
          <w:sz w:val="24"/>
          <w:szCs w:val="24"/>
        </w:rPr>
        <w:t>A</w:t>
      </w:r>
      <w:r>
        <w:rPr>
          <w:rFonts w:hint="eastAsia" w:cs="宋体"/>
          <w:sz w:val="24"/>
          <w:szCs w:val="24"/>
        </w:rPr>
        <w:t>、</w:t>
      </w:r>
      <w:r>
        <w:rPr>
          <w:sz w:val="24"/>
          <w:szCs w:val="24"/>
        </w:rPr>
        <w:t>B</w:t>
      </w:r>
      <w:r>
        <w:rPr>
          <w:rFonts w:hint="eastAsia" w:cs="宋体"/>
          <w:sz w:val="24"/>
          <w:szCs w:val="24"/>
        </w:rPr>
        <w:t>、</w:t>
      </w:r>
      <w:r>
        <w:rPr>
          <w:sz w:val="24"/>
          <w:szCs w:val="24"/>
        </w:rPr>
        <w:t>C</w:t>
      </w:r>
      <w:r>
        <w:rPr>
          <w:rFonts w:hint="eastAsia" w:cs="宋体"/>
          <w:sz w:val="24"/>
          <w:szCs w:val="24"/>
        </w:rPr>
        <w:t>三个基础裁量档次。其中“违法行为本身社会危害性、情节严重的”对应</w:t>
      </w:r>
      <w:r>
        <w:rPr>
          <w:sz w:val="24"/>
          <w:szCs w:val="24"/>
        </w:rPr>
        <w:t>A</w:t>
      </w:r>
      <w:r>
        <w:rPr>
          <w:rFonts w:hint="eastAsia" w:cs="宋体"/>
          <w:sz w:val="24"/>
          <w:szCs w:val="24"/>
        </w:rPr>
        <w:t>档；“违法行为本身社会危害性、情节较一般的”对应</w:t>
      </w:r>
      <w:r>
        <w:rPr>
          <w:sz w:val="24"/>
          <w:szCs w:val="24"/>
        </w:rPr>
        <w:t>B</w:t>
      </w:r>
      <w:r>
        <w:rPr>
          <w:rFonts w:hint="eastAsia" w:cs="宋体"/>
          <w:sz w:val="24"/>
          <w:szCs w:val="24"/>
        </w:rPr>
        <w:t>档；“违法行为本身社会危害性、情节轻微的”对应</w:t>
      </w:r>
      <w:r>
        <w:rPr>
          <w:sz w:val="24"/>
          <w:szCs w:val="24"/>
        </w:rPr>
        <w:t>C</w:t>
      </w:r>
      <w:r>
        <w:rPr>
          <w:rFonts w:hint="eastAsia" w:cs="宋体"/>
          <w:sz w:val="24"/>
          <w:szCs w:val="24"/>
        </w:rPr>
        <w:t>档。</w:t>
      </w:r>
    </w:p>
    <w:p>
      <w:pPr>
        <w:spacing w:line="420" w:lineRule="exact"/>
        <w:ind w:firstLine="480" w:firstLineChars="200"/>
        <w:rPr>
          <w:sz w:val="24"/>
          <w:szCs w:val="24"/>
        </w:rPr>
      </w:pPr>
      <w:r>
        <w:rPr>
          <w:rFonts w:hint="eastAsia" w:cs="宋体"/>
          <w:sz w:val="24"/>
          <w:szCs w:val="24"/>
        </w:rPr>
        <w:t>四、本《基准》中，罚款为一定幅度数额的，按照最高额与最低额比值进行划分。</w:t>
      </w:r>
    </w:p>
    <w:p>
      <w:pPr>
        <w:spacing w:line="420" w:lineRule="exact"/>
        <w:ind w:firstLine="480" w:firstLineChars="200"/>
        <w:rPr>
          <w:rFonts w:cs="宋体"/>
          <w:sz w:val="24"/>
          <w:szCs w:val="24"/>
        </w:rPr>
      </w:pPr>
      <w:r>
        <w:rPr>
          <w:rFonts w:hint="eastAsia" w:cs="宋体"/>
          <w:sz w:val="24"/>
          <w:szCs w:val="24"/>
        </w:rPr>
        <w:t>五、生产经营单位及其有关人员有下列情形之一的，不予处罚：（一）不满</w:t>
      </w:r>
      <w:r>
        <w:rPr>
          <w:rFonts w:hint="eastAsia"/>
          <w:sz w:val="24"/>
          <w:szCs w:val="24"/>
        </w:rPr>
        <w:t>十四</w:t>
      </w:r>
      <w:r>
        <w:rPr>
          <w:rFonts w:hint="eastAsia" w:cs="宋体"/>
          <w:sz w:val="24"/>
          <w:szCs w:val="24"/>
        </w:rPr>
        <w:t>周岁的未成年人有违法行为的；（二）精神病人、智力残疾人在不能辨认或者不能控制自己行为时有违法行为的；（三）违法行为轻微并及时改正，没有造成危害后果的；（四）当事人有证据足以证明没有主观过错的；（五）违法事实不能成立的；（六）法律、法规、规章规定的其他情形的。</w:t>
      </w:r>
    </w:p>
    <w:p>
      <w:pPr>
        <w:spacing w:line="420" w:lineRule="exact"/>
        <w:ind w:firstLine="480" w:firstLineChars="200"/>
        <w:rPr>
          <w:rFonts w:cs="宋体"/>
          <w:sz w:val="24"/>
          <w:szCs w:val="24"/>
        </w:rPr>
      </w:pPr>
      <w:r>
        <w:rPr>
          <w:rFonts w:hint="eastAsia" w:cs="宋体"/>
          <w:sz w:val="24"/>
          <w:szCs w:val="24"/>
        </w:rPr>
        <w:t>初次违法且危害后果轻微并及时改正的，可以不予行政处罚。本《基准》将《北京市应急管理轻微违法行为依法不予行政处罚事项清单》一并列明。</w:t>
      </w:r>
    </w:p>
    <w:p>
      <w:pPr>
        <w:spacing w:line="420" w:lineRule="exact"/>
        <w:ind w:firstLine="480" w:firstLineChars="200"/>
        <w:rPr>
          <w:rFonts w:cs="宋体"/>
          <w:sz w:val="24"/>
          <w:szCs w:val="24"/>
        </w:rPr>
      </w:pPr>
      <w:r>
        <w:rPr>
          <w:rFonts w:hint="eastAsia" w:cs="宋体"/>
          <w:sz w:val="24"/>
          <w:szCs w:val="24"/>
        </w:rPr>
        <w:t>对当事人的违法行为依法不予行政处罚的，应急管理部门应当通过批评教育、约谈警示、指导服务、普法宣传等措施，教育、督促生产经营单位及其相关人员依法依规开展生产经营活动。</w:t>
      </w:r>
    </w:p>
    <w:p>
      <w:pPr>
        <w:spacing w:line="420" w:lineRule="exact"/>
        <w:ind w:firstLine="480" w:firstLineChars="200"/>
        <w:rPr>
          <w:rFonts w:cs="宋体"/>
          <w:sz w:val="24"/>
          <w:szCs w:val="24"/>
        </w:rPr>
      </w:pPr>
      <w:r>
        <w:rPr>
          <w:rFonts w:hint="eastAsia" w:cs="宋体"/>
          <w:sz w:val="24"/>
          <w:szCs w:val="24"/>
        </w:rPr>
        <w:t>六、</w:t>
      </w:r>
      <w:bookmarkStart w:id="2" w:name="_Hlk40344488"/>
      <w:bookmarkStart w:id="3" w:name="_Hlk80780308"/>
      <w:r>
        <w:rPr>
          <w:rFonts w:hint="eastAsia" w:cs="宋体"/>
          <w:sz w:val="24"/>
          <w:szCs w:val="24"/>
        </w:rPr>
        <w:t>生产经营单位及其有关人员</w:t>
      </w:r>
      <w:bookmarkEnd w:id="2"/>
      <w:r>
        <w:rPr>
          <w:rFonts w:hint="eastAsia" w:cs="宋体"/>
          <w:sz w:val="24"/>
          <w:szCs w:val="24"/>
        </w:rPr>
        <w:t>有下列情形之一的，应当依法从轻或者减轻行政处罚：（一）已满</w:t>
      </w:r>
      <w:r>
        <w:rPr>
          <w:rFonts w:hint="eastAsia"/>
          <w:sz w:val="24"/>
          <w:szCs w:val="24"/>
        </w:rPr>
        <w:t>十四</w:t>
      </w:r>
      <w:r>
        <w:rPr>
          <w:rFonts w:hint="eastAsia" w:cs="宋体"/>
          <w:sz w:val="24"/>
          <w:szCs w:val="24"/>
        </w:rPr>
        <w:t>周岁不满</w:t>
      </w:r>
      <w:r>
        <w:rPr>
          <w:rFonts w:hint="eastAsia"/>
          <w:sz w:val="24"/>
          <w:szCs w:val="24"/>
        </w:rPr>
        <w:t>十八</w:t>
      </w:r>
      <w:r>
        <w:rPr>
          <w:rFonts w:hint="eastAsia" w:cs="宋体"/>
          <w:sz w:val="24"/>
          <w:szCs w:val="24"/>
        </w:rPr>
        <w:t>周岁的未成年人有违法行为的；（二）主动消除或者减轻违法行为或者事故危害后果的；（三）受他人胁迫或者诱骗实施违法行为的；（四）配合应急管理部门查处违法行为或者进行事故调查有立功表现的；（五）主动供述应急管理部门及其他行政机关尚未掌握的违法行为的；（六）具有法律、法规、规章规定的其他应当从轻处罚情形的。</w:t>
      </w:r>
    </w:p>
    <w:p>
      <w:pPr>
        <w:spacing w:line="420" w:lineRule="exact"/>
        <w:ind w:firstLine="480" w:firstLineChars="200"/>
        <w:rPr>
          <w:rFonts w:cs="宋体"/>
          <w:sz w:val="24"/>
          <w:szCs w:val="24"/>
        </w:rPr>
      </w:pPr>
      <w:r>
        <w:rPr>
          <w:rFonts w:hint="eastAsia" w:cs="宋体"/>
          <w:sz w:val="24"/>
          <w:szCs w:val="24"/>
        </w:rPr>
        <w:t>有从轻处罚情节的，处以罚款时，应当在法定处罚幅度内适用较低的处罚幅度，但不得低于法定处罚幅度的最低罚款限值。有减轻处罚情节的，应当在法定处罚幅度</w:t>
      </w:r>
      <w:r>
        <w:rPr>
          <w:rFonts w:cs="宋体"/>
          <w:sz w:val="24"/>
          <w:szCs w:val="24"/>
        </w:rPr>
        <w:t>最低罚款限值以下确定罚款数额</w:t>
      </w:r>
      <w:r>
        <w:rPr>
          <w:rFonts w:hint="eastAsia" w:cs="宋体"/>
          <w:sz w:val="24"/>
          <w:szCs w:val="24"/>
        </w:rPr>
        <w:t>。</w:t>
      </w:r>
    </w:p>
    <w:p>
      <w:pPr>
        <w:spacing w:line="420" w:lineRule="exact"/>
        <w:ind w:firstLine="480" w:firstLineChars="200"/>
        <w:rPr>
          <w:rFonts w:cs="宋体"/>
          <w:sz w:val="24"/>
          <w:szCs w:val="24"/>
        </w:rPr>
      </w:pPr>
      <w:r>
        <w:rPr>
          <w:rFonts w:hint="eastAsia" w:cs="宋体"/>
          <w:sz w:val="24"/>
          <w:szCs w:val="24"/>
        </w:rPr>
        <w:t>七、生产经营单位及其有关人员有下列情形之一的，应当依法从重处罚：（一）因同一违法行为受过刑事处罚，或者一年内因同一种违法行为受过行政处罚的；（二）拒绝、阻碍或者以暴力方式威胁行政执法人员执行职务的；（三）伪造、隐匿、毁灭证据的；（四）对举报人、证人和行政执法人员打击报复的；（五）法律、法规、规章规定其他应当从重处罚的。</w:t>
      </w:r>
    </w:p>
    <w:p>
      <w:pPr>
        <w:spacing w:line="420" w:lineRule="exact"/>
        <w:ind w:firstLine="480" w:firstLineChars="200"/>
        <w:rPr>
          <w:rFonts w:cs="宋体"/>
          <w:sz w:val="24"/>
          <w:szCs w:val="24"/>
        </w:rPr>
      </w:pPr>
      <w:r>
        <w:rPr>
          <w:rFonts w:hint="eastAsia" w:cs="宋体"/>
          <w:sz w:val="24"/>
          <w:szCs w:val="24"/>
        </w:rPr>
        <w:t>发生自然灾害、事故灾难等突发事件，为了控制、减轻和消除突发事件引起的社会危害，对违反突发事件应对措施的行为，应当依法快速、从重处罚。</w:t>
      </w:r>
    </w:p>
    <w:p>
      <w:pPr>
        <w:spacing w:line="420" w:lineRule="exact"/>
        <w:ind w:firstLine="480" w:firstLineChars="200"/>
        <w:rPr>
          <w:rFonts w:cs="宋体"/>
          <w:sz w:val="24"/>
          <w:szCs w:val="24"/>
        </w:rPr>
      </w:pPr>
      <w:r>
        <w:rPr>
          <w:rFonts w:hint="eastAsia" w:cs="宋体"/>
          <w:sz w:val="24"/>
          <w:szCs w:val="24"/>
        </w:rPr>
        <w:t>有从重处罚情节的，处以罚款时，应当在法定处罚幅度内适用较高的处罚幅度，但不得高于法定处罚幅度的最高罚款限值。</w:t>
      </w:r>
      <w:bookmarkEnd w:id="3"/>
    </w:p>
    <w:p>
      <w:pPr>
        <w:spacing w:line="420" w:lineRule="exact"/>
        <w:ind w:firstLine="480" w:firstLineChars="200"/>
        <w:rPr>
          <w:rFonts w:cs="宋体"/>
          <w:sz w:val="24"/>
          <w:szCs w:val="24"/>
        </w:rPr>
      </w:pPr>
      <w:r>
        <w:rPr>
          <w:rFonts w:hint="eastAsia" w:cs="宋体"/>
          <w:sz w:val="24"/>
          <w:szCs w:val="24"/>
        </w:rPr>
        <w:t>八、本《基准》中，对同一类违法主体实施的性质相同、情节相近或者相似、危害后果基本相当的违法行为，在行使行政处罚裁量权时，适用的法律依据、处罚种类应当基本一致，处罚幅度应当基本相当。两种以上违法行为需要给予不同行政处罚的，分别裁量后合并给予行政处罚；两种以上违法行为具有吸收关系的，择一重处罚。</w:t>
      </w:r>
    </w:p>
    <w:p>
      <w:pPr>
        <w:spacing w:line="420" w:lineRule="exact"/>
        <w:ind w:firstLine="480" w:firstLineChars="200"/>
        <w:rPr>
          <w:sz w:val="24"/>
          <w:szCs w:val="24"/>
        </w:rPr>
      </w:pPr>
      <w:r>
        <w:rPr>
          <w:rFonts w:hint="eastAsia" w:cs="宋体"/>
          <w:sz w:val="24"/>
          <w:szCs w:val="24"/>
        </w:rPr>
        <w:t>九、本《基准》中，针对一个违法行为所规定的不同裁量阶次对应的情节并存时，应适用较高裁量阶次所对应的裁量幅度进行行政处罚。</w:t>
      </w:r>
    </w:p>
    <w:p>
      <w:pPr>
        <w:spacing w:line="420" w:lineRule="exact"/>
        <w:ind w:firstLine="480" w:firstLineChars="200"/>
        <w:rPr>
          <w:sz w:val="24"/>
          <w:szCs w:val="24"/>
        </w:rPr>
      </w:pPr>
      <w:r>
        <w:rPr>
          <w:rFonts w:hint="eastAsia" w:cs="宋体"/>
          <w:sz w:val="24"/>
          <w:szCs w:val="24"/>
        </w:rPr>
        <w:t>十、本《基准》中，处罚依据规定“警告”“责令停产停业”等行政处罚的，依处罚依据作出行政处罚；本《基准》只针对“罚款”划分裁量阶次。</w:t>
      </w:r>
    </w:p>
    <w:p>
      <w:pPr>
        <w:spacing w:line="420" w:lineRule="exact"/>
        <w:ind w:firstLine="480" w:firstLineChars="200"/>
        <w:rPr>
          <w:rFonts w:cs="宋体"/>
          <w:sz w:val="24"/>
          <w:szCs w:val="24"/>
        </w:rPr>
      </w:pPr>
      <w:r>
        <w:rPr>
          <w:rFonts w:hint="eastAsia" w:cs="宋体"/>
          <w:sz w:val="24"/>
          <w:szCs w:val="24"/>
        </w:rPr>
        <w:t>十一、本《基准》中，难以划分裁量阶次的违法行为，只列出裁量项目，不予设定裁量阶次，由执法单位在执法过程中根据具体情况研究确定。</w:t>
      </w:r>
    </w:p>
    <w:p>
      <w:pPr>
        <w:spacing w:line="420" w:lineRule="exact"/>
        <w:ind w:firstLine="480" w:firstLineChars="200"/>
        <w:rPr>
          <w:sz w:val="24"/>
          <w:szCs w:val="24"/>
        </w:rPr>
      </w:pPr>
      <w:r>
        <w:rPr>
          <w:rFonts w:hint="eastAsia"/>
          <w:sz w:val="24"/>
          <w:szCs w:val="24"/>
        </w:rPr>
        <w:t>十二、</w:t>
      </w:r>
      <w:r>
        <w:rPr>
          <w:rFonts w:hint="eastAsia" w:cs="宋体"/>
          <w:sz w:val="24"/>
          <w:szCs w:val="24"/>
        </w:rPr>
        <w:t>本《基准》所称的小型或者微型企业，按照国家有关中小企业划型标准执行。</w:t>
      </w:r>
    </w:p>
    <w:p>
      <w:pPr>
        <w:spacing w:line="420" w:lineRule="exact"/>
        <w:ind w:firstLine="480" w:firstLineChars="200"/>
        <w:rPr>
          <w:rFonts w:cs="宋体"/>
          <w:sz w:val="24"/>
          <w:szCs w:val="24"/>
        </w:rPr>
      </w:pPr>
      <w:r>
        <w:rPr>
          <w:rFonts w:hint="eastAsia" w:cs="宋体"/>
          <w:sz w:val="24"/>
          <w:szCs w:val="24"/>
        </w:rPr>
        <w:t>十三、本《基准》确定的裁量阶次，所称“以上”包含本数、“以下”除法律规定的自然包含本数和最高档的“以下”包含本数外，其余均不包含本数。</w:t>
      </w:r>
    </w:p>
    <w:p>
      <w:pPr>
        <w:spacing w:line="420" w:lineRule="exact"/>
        <w:ind w:firstLine="480" w:firstLineChars="200"/>
        <w:rPr>
          <w:sz w:val="24"/>
          <w:szCs w:val="24"/>
        </w:rPr>
      </w:pPr>
      <w:r>
        <w:rPr>
          <w:rFonts w:hint="eastAsia" w:cs="宋体"/>
          <w:sz w:val="24"/>
          <w:szCs w:val="24"/>
        </w:rPr>
        <w:t>十四、本《基准》执行过程中，相关法律、法规、规章发生变化的，或者规章、规范性文件就裁量权基准另有规定的，从其规定。</w:t>
      </w:r>
    </w:p>
    <w:p>
      <w:pPr>
        <w:pStyle w:val="8"/>
        <w:spacing w:line="420" w:lineRule="exact"/>
        <w:rPr>
          <w:rFonts w:hint="eastAsia" w:hAnsi="宋体" w:cs="宋体"/>
          <w:sz w:val="24"/>
          <w:szCs w:val="24"/>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pStyle w:val="8"/>
        <w:spacing w:after="156" w:afterLines="50" w:line="420" w:lineRule="exact"/>
        <w:ind w:right="210" w:rightChars="100"/>
        <w:jc w:val="center"/>
        <w:rPr>
          <w:rFonts w:hint="eastAsia" w:ascii="楷体" w:hAnsi="楷体" w:eastAsia="楷体" w:cs="宋体"/>
          <w:b/>
          <w:bCs/>
          <w:sz w:val="28"/>
          <w:szCs w:val="28"/>
        </w:rPr>
      </w:pPr>
    </w:p>
    <w:p>
      <w:pPr>
        <w:widowControl/>
        <w:jc w:val="left"/>
        <w:rPr>
          <w:rFonts w:hint="eastAsia" w:ascii="楷体" w:hAnsi="楷体" w:eastAsia="楷体" w:cs="宋体"/>
          <w:b/>
          <w:bCs/>
          <w:sz w:val="28"/>
          <w:szCs w:val="28"/>
        </w:rPr>
      </w:pPr>
      <w:r>
        <w:rPr>
          <w:rFonts w:ascii="楷体" w:hAnsi="楷体" w:eastAsia="楷体" w:cs="宋体"/>
          <w:b/>
          <w:bCs/>
          <w:sz w:val="28"/>
          <w:szCs w:val="28"/>
        </w:rPr>
        <w:br w:type="page"/>
      </w:r>
    </w:p>
    <w:p>
      <w:pPr>
        <w:pStyle w:val="8"/>
        <w:spacing w:after="156" w:afterLines="50" w:line="900" w:lineRule="exact"/>
        <w:jc w:val="center"/>
        <w:rPr>
          <w:rFonts w:hint="eastAsia" w:ascii="楷体" w:hAnsi="楷体" w:eastAsia="楷体" w:cs="宋体"/>
          <w:b/>
          <w:bCs/>
          <w:sz w:val="28"/>
          <w:szCs w:val="28"/>
        </w:rPr>
      </w:pPr>
    </w:p>
    <w:p>
      <w:pPr>
        <w:pStyle w:val="8"/>
        <w:spacing w:after="156" w:afterLines="50" w:line="800" w:lineRule="exact"/>
        <w:jc w:val="center"/>
        <w:outlineLvl w:val="0"/>
        <w:rPr>
          <w:rFonts w:hint="eastAsia" w:ascii="方正小标宋简体" w:hAnsi="楷体" w:eastAsia="方正小标宋简体" w:cs="宋体"/>
          <w:spacing w:val="20"/>
          <w:sz w:val="52"/>
          <w:szCs w:val="52"/>
        </w:rPr>
      </w:pPr>
      <w:bookmarkStart w:id="4" w:name="_Toc53175439"/>
      <w:bookmarkStart w:id="5" w:name="_Toc204864557"/>
      <w:r>
        <w:rPr>
          <w:rFonts w:hint="eastAsia" w:ascii="方正小标宋简体" w:hAnsi="楷体" w:eastAsia="方正小标宋简体" w:cs="宋体"/>
          <w:spacing w:val="20"/>
          <w:sz w:val="52"/>
          <w:szCs w:val="52"/>
        </w:rPr>
        <w:t xml:space="preserve">第二章 </w:t>
      </w:r>
      <w:r>
        <w:rPr>
          <w:rFonts w:ascii="方正小标宋简体" w:hAnsi="楷体" w:eastAsia="方正小标宋简体" w:cs="宋体"/>
          <w:spacing w:val="20"/>
          <w:sz w:val="52"/>
          <w:szCs w:val="52"/>
        </w:rPr>
        <w:t xml:space="preserve"> </w:t>
      </w:r>
      <w:r>
        <w:rPr>
          <w:rFonts w:hint="eastAsia" w:ascii="方正小标宋简体" w:hAnsi="楷体" w:eastAsia="方正小标宋简体" w:cs="宋体"/>
          <w:spacing w:val="20"/>
          <w:sz w:val="52"/>
          <w:szCs w:val="52"/>
        </w:rPr>
        <w:t>违法行为裁量权基准</w:t>
      </w:r>
      <w:bookmarkEnd w:id="4"/>
      <w:bookmarkEnd w:id="5"/>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48"/>
          <w:szCs w:val="48"/>
        </w:rPr>
      </w:pPr>
      <w:r>
        <w:rPr>
          <w:rFonts w:ascii="方正小标宋简体" w:hAnsi="楷体" w:eastAsia="方正小标宋简体" w:cs="宋体"/>
          <w:sz w:val="52"/>
          <w:szCs w:val="52"/>
        </w:rPr>
        <w:br w:type="page"/>
      </w:r>
    </w:p>
    <w:p>
      <w:pPr>
        <w:spacing w:line="420" w:lineRule="exact"/>
        <w:rPr>
          <w:rFonts w:hint="eastAsia" w:ascii="宋体" w:hAnsi="宋体" w:cs="宋体"/>
          <w:sz w:val="24"/>
          <w:szCs w:val="24"/>
        </w:rPr>
      </w:pPr>
      <w:bookmarkStart w:id="6" w:name="tiao_45_kuan_1"/>
      <w:bookmarkEnd w:id="6"/>
    </w:p>
    <w:p>
      <w:pPr>
        <w:pStyle w:val="8"/>
        <w:spacing w:after="156" w:afterLines="50" w:line="420" w:lineRule="exact"/>
        <w:jc w:val="center"/>
        <w:outlineLvl w:val="2"/>
        <w:rPr>
          <w:rFonts w:hint="eastAsia" w:ascii="黑体" w:hAnsi="黑体" w:eastAsia="黑体" w:cs="宋体"/>
          <w:sz w:val="30"/>
          <w:szCs w:val="30"/>
        </w:rPr>
      </w:pPr>
      <w:bookmarkStart w:id="7" w:name="_Toc204864558"/>
      <w:bookmarkStart w:id="8" w:name="_Toc53175456"/>
      <w:r>
        <w:rPr>
          <w:rFonts w:hint="eastAsia" w:ascii="黑体" w:hAnsi="黑体" w:eastAsia="黑体" w:cs="宋体"/>
          <w:sz w:val="30"/>
          <w:szCs w:val="30"/>
        </w:rPr>
        <w:t>一、《北京市安全生产条例》相关规定裁量权基准</w:t>
      </w:r>
      <w:bookmarkEnd w:id="7"/>
    </w:p>
    <w:p>
      <w:pPr>
        <w:spacing w:line="420" w:lineRule="exact"/>
        <w:ind w:firstLine="480" w:firstLineChars="200"/>
        <w:rPr>
          <w:rFonts w:hint="eastAsia" w:ascii="宋体" w:hAnsi="宋体" w:cs="宋体"/>
          <w:b/>
          <w:bCs/>
          <w:sz w:val="24"/>
          <w:szCs w:val="24"/>
        </w:rPr>
      </w:pPr>
      <w:r>
        <w:rPr>
          <w:rFonts w:hint="eastAsia" w:ascii="黑体" w:hAnsi="黑体" w:eastAsia="黑体" w:cs="宋体"/>
          <w:sz w:val="24"/>
          <w:szCs w:val="24"/>
        </w:rPr>
        <w:t>（一）违法行为：生产经营单位未按照规定设置安全生产管理机构或者配备安全生产管理人员的。</w:t>
      </w:r>
    </w:p>
    <w:p>
      <w:pPr>
        <w:pStyle w:val="8"/>
        <w:spacing w:line="420" w:lineRule="exact"/>
        <w:ind w:firstLine="480" w:firstLineChars="200"/>
        <w:rPr>
          <w:rFonts w:hint="eastAsia"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《北京市安全生产条例》第十九条规定：</w:t>
      </w:r>
    </w:p>
    <w:p>
      <w:pPr>
        <w:pStyle w:val="8"/>
        <w:spacing w:line="420" w:lineRule="exact"/>
        <w:ind w:firstLine="480"/>
        <w:rPr>
          <w:rFonts w:hint="eastAsia" w:ascii="STKaiti" w:hAnsi="STKaiti" w:eastAsia="STKaiti" w:cs="宋体"/>
          <w:sz w:val="24"/>
          <w:szCs w:val="24"/>
        </w:rPr>
      </w:pPr>
      <w:r>
        <w:rPr>
          <w:rFonts w:hint="eastAsia" w:ascii="STKaiti" w:hAnsi="STKaiti" w:eastAsia="STKaiti" w:cs="宋体"/>
          <w:sz w:val="24"/>
          <w:szCs w:val="24"/>
        </w:rPr>
        <w:t>矿山、金属冶炼、建筑施工、运输单位和危险物品的生产、经营、储存、装卸单位，除国家另有规定外，应当按照市人民政府规定的比例、人数设置安全生产管理机构，配备专职安全生产管理人员。</w:t>
      </w:r>
    </w:p>
    <w:p>
      <w:pPr>
        <w:pStyle w:val="8"/>
        <w:spacing w:line="420" w:lineRule="exact"/>
        <w:ind w:firstLine="480"/>
        <w:rPr>
          <w:rFonts w:hint="eastAsia" w:hAnsi="宋体" w:cs="宋体"/>
          <w:sz w:val="24"/>
          <w:szCs w:val="24"/>
        </w:rPr>
      </w:pPr>
      <w:r>
        <w:rPr>
          <w:rFonts w:hint="eastAsia" w:hAnsi="宋体" w:cs="宋体"/>
          <w:sz w:val="24"/>
          <w:szCs w:val="24"/>
        </w:rPr>
        <w:t>《北京市安全生产条例》第二十条规定：</w:t>
      </w:r>
    </w:p>
    <w:p>
      <w:pPr>
        <w:pStyle w:val="8"/>
        <w:spacing w:line="420" w:lineRule="exact"/>
        <w:ind w:firstLine="480"/>
        <w:rPr>
          <w:rFonts w:hint="eastAsia" w:ascii="STKaiti" w:hAnsi="STKaiti" w:eastAsia="STKaiti" w:cs="宋体"/>
          <w:sz w:val="24"/>
          <w:szCs w:val="24"/>
        </w:rPr>
      </w:pPr>
      <w:r>
        <w:rPr>
          <w:rFonts w:hint="eastAsia" w:ascii="STKaiti" w:hAnsi="STKaiti" w:eastAsia="STKaiti" w:cs="宋体"/>
          <w:sz w:val="24"/>
          <w:szCs w:val="24"/>
        </w:rPr>
        <w:t>本条例第十九条规定以外行业的生产经营单位，从业人员超过一百人的，应当设置安全生产管理机构或者配备专职安全生产管理人员；从业人员在一百人以下的，应当配备专职或者兼职的安全生产管理人员。</w:t>
      </w:r>
    </w:p>
    <w:p>
      <w:pPr>
        <w:pStyle w:val="8"/>
        <w:spacing w:line="420" w:lineRule="exact"/>
        <w:rPr>
          <w:rFonts w:hint="eastAsia"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】《北京市安全生产条例》第五十八条第一项规定：</w:t>
      </w:r>
    </w:p>
    <w:p>
      <w:pPr>
        <w:pStyle w:val="8"/>
        <w:spacing w:line="420" w:lineRule="exact"/>
        <w:ind w:firstLine="480" w:firstLineChars="200"/>
        <w:rPr>
          <w:rFonts w:hint="eastAsia"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本条例第十九条或者第二十条规定，设置安全生产管理机构或者配备安全生产管理人员的；……。</w:t>
      </w:r>
    </w:p>
    <w:p>
      <w:pPr>
        <w:pStyle w:val="8"/>
        <w:spacing w:line="420" w:lineRule="exact"/>
        <w:ind w:firstLine="480" w:firstLineChars="200"/>
        <w:rPr>
          <w:rFonts w:hint="eastAsia" w:hAnsi="宋体" w:cs="宋体"/>
          <w:sz w:val="24"/>
          <w:szCs w:val="24"/>
        </w:rPr>
      </w:pPr>
      <w:r>
        <w:rPr>
          <w:rFonts w:hint="eastAsia" w:hAnsi="宋体" w:cs="宋体"/>
          <w:sz w:val="24"/>
          <w:szCs w:val="24"/>
        </w:rPr>
        <w:t>【裁量阶次】违反前款规定的违法行为，属于基础裁量A档，按照以下裁量阶次处以罚款：</w:t>
      </w:r>
    </w:p>
    <w:p>
      <w:pPr>
        <w:pStyle w:val="8"/>
        <w:spacing w:line="420" w:lineRule="exact"/>
        <w:ind w:firstLine="480" w:firstLineChars="200"/>
        <w:rPr>
          <w:rFonts w:hint="eastAsia" w:ascii="Times New Roman" w:hAnsi="宋体" w:cs="宋体"/>
          <w:sz w:val="24"/>
          <w:szCs w:val="24"/>
        </w:rPr>
      </w:pPr>
      <w:r>
        <w:rPr>
          <w:rFonts w:hint="eastAsia" w:ascii="Times New Roman" w:hAnsi="宋体" w:cs="宋体"/>
          <w:sz w:val="24"/>
          <w:szCs w:val="24"/>
        </w:rPr>
        <w:t>1.从业人员在30人以下的矿山、金属冶炼和危险物品的生产、经营、储存、装卸单位，未按照规定设置安全生产管理机构或者配备专职安全生产管理人员；从业人员在100人以下的其他生产经营单位，未按照规定配备专职或者兼职的安全生产管理人员的，责令限期改正，处3万元以下的罚款；逾期未改正的，责令停产停业整顿，并处10万元以上13万元以下的罚款，对其直接负责的主管人员和其他直接责任人员处2万元以上3万元以下的罚款；</w:t>
      </w:r>
    </w:p>
    <w:p>
      <w:pPr>
        <w:pStyle w:val="8"/>
        <w:spacing w:line="420" w:lineRule="exact"/>
        <w:ind w:firstLine="480" w:firstLineChars="200"/>
        <w:rPr>
          <w:rFonts w:hint="eastAsia" w:ascii="Times New Roman" w:hAnsi="宋体" w:cs="宋体"/>
          <w:sz w:val="24"/>
          <w:szCs w:val="24"/>
        </w:rPr>
      </w:pPr>
      <w:r>
        <w:rPr>
          <w:rFonts w:hint="eastAsia" w:ascii="Times New Roman" w:hAnsi="宋体" w:cs="宋体"/>
          <w:sz w:val="24"/>
          <w:szCs w:val="24"/>
        </w:rPr>
        <w:t>2.从业人员在30人以上100人以下的矿山、金属冶炼和危险物品的生产、经营、储存、装卸单位，或从业人员在100人以上300人以下的其他生产经营单位，未按照规定设置安全生产管理机构或者配备专职安全生产管理人员的，</w:t>
      </w:r>
      <w:r>
        <w:rPr>
          <w:rFonts w:hint="eastAsia" w:hAnsi="宋体" w:cs="宋体"/>
          <w:sz w:val="24"/>
          <w:szCs w:val="24"/>
        </w:rPr>
        <w:t>或者虽设置有安全生产管理机构但配备的专职安全生产管理人员数量、比例不符合市人民政府规定的，</w:t>
      </w:r>
      <w:r>
        <w:rPr>
          <w:rFonts w:hint="eastAsia" w:ascii="Times New Roman" w:hAnsi="宋体" w:cs="宋体"/>
          <w:sz w:val="24"/>
          <w:szCs w:val="24"/>
        </w:rPr>
        <w:t>责令限期改正，处3万元以上7万元以下的罚款；逾期未改正的，责令停产停业整顿，并处13万元以上17万元以下的罚款，对其直接负责的主管人员和其他直接责任人员处3万元以上4万元以下的罚款；</w:t>
      </w:r>
    </w:p>
    <w:p>
      <w:pPr>
        <w:pStyle w:val="8"/>
        <w:spacing w:line="420" w:lineRule="exact"/>
        <w:ind w:firstLine="480" w:firstLineChars="200"/>
        <w:rPr>
          <w:rFonts w:hint="eastAsia" w:ascii="Times New Roman" w:hAnsi="宋体" w:cs="宋体"/>
          <w:sz w:val="24"/>
          <w:szCs w:val="24"/>
        </w:rPr>
      </w:pPr>
      <w:r>
        <w:rPr>
          <w:rFonts w:hint="eastAsia" w:ascii="Times New Roman" w:hAnsi="宋体" w:cs="宋体"/>
          <w:sz w:val="24"/>
          <w:szCs w:val="24"/>
        </w:rPr>
        <w:t>3.从业人员在100人以上的矿山、金属冶炼和危险物品的生产、经营、储存、装卸单位，或从业人员在300人以上的其他生产经营单位，未按照规定设置安全生产管理机构或者配备专职安全生产管理人员的，</w:t>
      </w:r>
      <w:r>
        <w:rPr>
          <w:rFonts w:hint="eastAsia" w:hAnsi="宋体" w:cs="宋体"/>
          <w:sz w:val="24"/>
          <w:szCs w:val="24"/>
        </w:rPr>
        <w:t>或者虽设置有安全生产管理机构但配备的专职安全生产管理人员数量、比例不符合市人民政府规定的，</w:t>
      </w:r>
      <w:r>
        <w:rPr>
          <w:rFonts w:hint="eastAsia" w:ascii="Times New Roman" w:hAnsi="宋体" w:cs="宋体"/>
          <w:sz w:val="24"/>
          <w:szCs w:val="24"/>
        </w:rPr>
        <w:t>责令限期改正，处7万元以上10万元以下的罚款；逾期未改正的，责令停产停业整顿，并处17万元以上20万元以下的罚款，对其直接负责的主管人员和其他直接责任人员处4万元以上5万元以下的罚款。</w:t>
      </w:r>
    </w:p>
    <w:p>
      <w:pPr>
        <w:pStyle w:val="8"/>
        <w:spacing w:line="420" w:lineRule="exact"/>
        <w:ind w:firstLine="480" w:firstLineChars="200"/>
        <w:rPr>
          <w:rFonts w:hint="eastAsia" w:hAnsi="宋体" w:cs="宋体"/>
          <w:sz w:val="24"/>
          <w:szCs w:val="24"/>
        </w:rPr>
      </w:pPr>
      <w:r>
        <w:rPr>
          <w:rFonts w:hint="eastAsia" w:ascii="黑体" w:hAnsi="黑体" w:eastAsia="黑体" w:cs="宋体"/>
          <w:sz w:val="24"/>
          <w:szCs w:val="24"/>
        </w:rPr>
        <w:t>（二）违法行为：生产经营单位未按照规定对从业人员、被派遣劳动者、实习学生进行安全生产教育和培训的。</w:t>
      </w:r>
    </w:p>
    <w:p>
      <w:pPr>
        <w:pStyle w:val="8"/>
        <w:spacing w:line="420" w:lineRule="exact"/>
        <w:ind w:firstLine="480" w:firstLineChars="200"/>
        <w:rPr>
          <w:rFonts w:hint="eastAsia"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《北京市安全生产条例》第二十二条规定：</w:t>
      </w:r>
    </w:p>
    <w:p>
      <w:pPr>
        <w:pStyle w:val="8"/>
        <w:spacing w:line="420" w:lineRule="exact"/>
        <w:ind w:firstLine="480" w:firstLineChars="200"/>
        <w:rPr>
          <w:rFonts w:hint="eastAsia" w:ascii="STKaiti" w:hAnsi="STKaiti" w:eastAsia="STKaiti" w:cs="宋体"/>
          <w:sz w:val="24"/>
          <w:szCs w:val="24"/>
        </w:rPr>
      </w:pPr>
      <w:r>
        <w:rPr>
          <w:rFonts w:hint="eastAsia" w:ascii="STKaiti" w:hAnsi="STKaiti" w:eastAsia="STKaiti" w:cs="宋体"/>
          <w:sz w:val="24"/>
          <w:szCs w:val="24"/>
        </w:rPr>
        <w:t>生产经营单位应当依照安全生产法的规定，开展或者委托第三方对从业人员开展安全生产教育和培训。安全生产教育和培训主要包括下列内容：（一）安全生产法律、法规、规章和相关标准；（二）安全生产规章制度和操作规程；（三）岗位安全操作技能；（四）安全设备、设施、工具、劳动防护用品的使用、维护和保管知识；（五）生产安全事故防范和应急措施、自救互救知识，生产安全事故案例；（六）其他需要培训的内容。</w:t>
      </w:r>
    </w:p>
    <w:p>
      <w:pPr>
        <w:pStyle w:val="8"/>
        <w:spacing w:line="420" w:lineRule="exact"/>
        <w:rPr>
          <w:rFonts w:hint="eastAsia"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】《北京市安全生产条例》第五十八条第二项规定：</w:t>
      </w:r>
    </w:p>
    <w:p>
      <w:pPr>
        <w:pStyle w:val="8"/>
        <w:spacing w:line="420" w:lineRule="exact"/>
        <w:ind w:firstLine="480" w:firstLineChars="200"/>
        <w:rPr>
          <w:rFonts w:hint="eastAsia" w:ascii="STKaiti" w:hAnsi="STKaiti" w:eastAsia="STKaiti" w:cs="宋体"/>
          <w:sz w:val="24"/>
          <w:szCs w:val="24"/>
        </w:rPr>
      </w:pPr>
      <w:r>
        <w:rPr>
          <w:rFonts w:hint="eastAsia" w:ascii="STKaiti" w:hAnsi="STKaiti" w:eastAsia="STKaiti" w:cs="宋体"/>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未按照本条例第二十二条规定，对从业人员进行安全生产教育和培训的。</w:t>
      </w:r>
    </w:p>
    <w:p>
      <w:pPr>
        <w:pStyle w:val="8"/>
        <w:spacing w:line="420" w:lineRule="exact"/>
        <w:ind w:firstLine="420"/>
        <w:rPr>
          <w:rFonts w:hint="eastAsia"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20"/>
        <w:rPr>
          <w:rFonts w:hint="eastAsia" w:hAnsi="宋体" w:cs="宋体"/>
          <w:sz w:val="24"/>
          <w:szCs w:val="24"/>
        </w:rPr>
      </w:pPr>
      <w:r>
        <w:rPr>
          <w:rFonts w:hint="eastAsia" w:hAnsi="宋体" w:cs="宋体"/>
          <w:sz w:val="24"/>
          <w:szCs w:val="24"/>
        </w:rPr>
        <w:t>1.未按规定对从业人员、被派遣劳动者、实习学生进行安全生产教育和培训，涉及人数3人以下的，责令限期改正，处3万元以下的罚款；逾期未改正的，责令停产停业整顿，并处10万元以上13万元以下的罚款，对其直接负责的主管人员和其他直接责任人员处2万元以上3万元以下的罚款；</w:t>
      </w:r>
    </w:p>
    <w:p>
      <w:pPr>
        <w:pStyle w:val="8"/>
        <w:spacing w:line="420" w:lineRule="exact"/>
        <w:ind w:firstLine="420"/>
        <w:rPr>
          <w:rFonts w:hint="eastAsia" w:hAnsi="宋体" w:cs="宋体"/>
          <w:sz w:val="24"/>
          <w:szCs w:val="24"/>
        </w:rPr>
      </w:pPr>
      <w:r>
        <w:rPr>
          <w:rFonts w:hint="eastAsia" w:hAnsi="宋体" w:cs="宋体"/>
          <w:sz w:val="24"/>
          <w:szCs w:val="24"/>
        </w:rPr>
        <w:t>2.未按规定对从业人员、被派遣劳动者、实习学生进行安全生产教育和培训，涉及人数3人以上10人以下的，责令限期改正，处3万元以上7万元以下的罚款；逾期未改正的，责令停产停业整顿，并处13万元以上17万元以下的罚款，对其直接负责的主管人员和其他直接责任人员处3万元以上4万元以下的罚款；</w:t>
      </w:r>
    </w:p>
    <w:p>
      <w:pPr>
        <w:pStyle w:val="8"/>
        <w:spacing w:line="420" w:lineRule="exact"/>
        <w:ind w:firstLine="420"/>
        <w:rPr>
          <w:rFonts w:hint="eastAsia" w:hAnsi="宋体" w:cs="宋体"/>
          <w:sz w:val="24"/>
          <w:szCs w:val="24"/>
        </w:rPr>
      </w:pPr>
      <w:r>
        <w:rPr>
          <w:rFonts w:hint="eastAsia" w:hAnsi="宋体" w:cs="宋体"/>
          <w:sz w:val="24"/>
          <w:szCs w:val="24"/>
        </w:rPr>
        <w:t>3.未按规定对从业人员、被派遣劳动者、实习学生进行安全生产教育和培训，涉及人数10人以上的，责令限期改正，处7万元以上10万元以下的罚款；逾期未改正的，责令停产停业整顿，并处17万元以上20万元以下的罚款，对其直接负责的主管人员和其他直接责任人员处4万元以上5万元以下的罚款。</w:t>
      </w:r>
    </w:p>
    <w:p>
      <w:pPr>
        <w:pStyle w:val="8"/>
        <w:spacing w:line="420" w:lineRule="exact"/>
        <w:ind w:firstLine="480" w:firstLineChars="200"/>
        <w:rPr>
          <w:rFonts w:hint="eastAsia" w:hAnsi="宋体" w:cs="宋体"/>
          <w:sz w:val="24"/>
          <w:szCs w:val="24"/>
        </w:rPr>
      </w:pPr>
      <w:r>
        <w:rPr>
          <w:rFonts w:hint="eastAsia" w:ascii="黑体" w:hAnsi="黑体" w:eastAsia="黑体" w:cs="宋体"/>
          <w:sz w:val="24"/>
          <w:szCs w:val="24"/>
        </w:rPr>
        <w:t>（三）违法行为：生产经营单位未按照规定如实向从业人员告知有关的安全生产事项的。</w:t>
      </w:r>
    </w:p>
    <w:p>
      <w:pPr>
        <w:pStyle w:val="8"/>
        <w:spacing w:line="420" w:lineRule="exact"/>
        <w:ind w:firstLine="480" w:firstLineChars="200"/>
        <w:rPr>
          <w:rFonts w:hint="eastAsia"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《北京市安全生产条例》第三十七条第一款规定：</w:t>
      </w:r>
    </w:p>
    <w:p>
      <w:pPr>
        <w:pStyle w:val="8"/>
        <w:spacing w:line="420" w:lineRule="exact"/>
        <w:ind w:firstLine="480" w:firstLineChars="200"/>
        <w:rPr>
          <w:rFonts w:hint="eastAsia" w:ascii="楷体" w:hAnsi="楷体" w:eastAsia="楷体" w:cs="宋体"/>
          <w:sz w:val="24"/>
          <w:szCs w:val="24"/>
        </w:rPr>
      </w:pPr>
      <w:r>
        <w:rPr>
          <w:rFonts w:hint="eastAsia" w:ascii="STKaiti" w:hAnsi="STKaiti" w:eastAsia="STKaiti" w:cs="宋体"/>
          <w:sz w:val="24"/>
          <w:szCs w:val="24"/>
        </w:rPr>
        <w:t>生产经营单位应当通过作业场所公示、书面告知、答复、教育培训等方式将涉及安全生产的下列事项告知从业人员：（一）作业场所和工作岗位存在的危险因素；（二）已采取的防范生产安全事故的技术措施和管理措施；（三）发生直接危及人身安全的紧急情况时的应急措施。</w:t>
      </w:r>
    </w:p>
    <w:p>
      <w:pPr>
        <w:pStyle w:val="8"/>
        <w:spacing w:line="420" w:lineRule="exact"/>
        <w:ind w:firstLine="480" w:firstLineChars="200"/>
        <w:rPr>
          <w:rFonts w:hint="eastAsia" w:hAnsi="宋体" w:cs="宋体"/>
          <w:sz w:val="24"/>
          <w:szCs w:val="24"/>
        </w:rPr>
      </w:pPr>
      <w:r>
        <w:rPr>
          <w:rFonts w:hint="eastAsia" w:hAnsi="宋体" w:cs="宋体"/>
          <w:sz w:val="24"/>
          <w:szCs w:val="24"/>
        </w:rPr>
        <w:t>【</w:t>
      </w:r>
      <w:r>
        <w:rPr>
          <w:rFonts w:hint="eastAsia" w:ascii="黑体" w:hAnsi="黑体" w:eastAsia="黑体" w:cs="宋体"/>
          <w:sz w:val="24"/>
          <w:szCs w:val="24"/>
        </w:rPr>
        <w:t>处罚依据</w:t>
      </w:r>
      <w:r>
        <w:rPr>
          <w:rFonts w:hint="eastAsia" w:hAnsi="宋体" w:cs="宋体"/>
          <w:sz w:val="24"/>
          <w:szCs w:val="24"/>
        </w:rPr>
        <w:t>】《北京市安全生产条例》第六十条规定：</w:t>
      </w:r>
    </w:p>
    <w:p>
      <w:pPr>
        <w:pStyle w:val="8"/>
        <w:spacing w:line="420" w:lineRule="exact"/>
        <w:ind w:firstLine="480" w:firstLineChars="200"/>
        <w:rPr>
          <w:rFonts w:hint="eastAsia" w:ascii="STKaiti" w:hAnsi="STKaiti" w:eastAsia="STKaiti" w:cs="宋体"/>
          <w:sz w:val="24"/>
          <w:szCs w:val="24"/>
        </w:rPr>
      </w:pPr>
      <w:r>
        <w:rPr>
          <w:rFonts w:hint="eastAsia" w:ascii="STKaiti" w:hAnsi="STKaiti" w:eastAsia="STKaiti" w:cs="宋体"/>
          <w:sz w:val="24"/>
          <w:szCs w:val="24"/>
        </w:rPr>
        <w:t>生产经营单位违反本条例第三十七条第一款规定，未履行告知义务的，责令限期改正，处十万元以下的罚款；逾期未改正的，责令停产停业整顿，并处十万元以上二十万元以下的罚款，对其直接负责的主管人员和其他直接责任人员处二万元以上五万元以下的罚款。</w:t>
      </w:r>
    </w:p>
    <w:p>
      <w:pPr>
        <w:pStyle w:val="8"/>
        <w:spacing w:line="420" w:lineRule="exact"/>
        <w:ind w:firstLine="420"/>
        <w:rPr>
          <w:rFonts w:hint="eastAsia" w:hAnsi="宋体" w:cs="宋体"/>
          <w:sz w:val="24"/>
          <w:szCs w:val="24"/>
        </w:rPr>
      </w:pPr>
      <w:r>
        <w:rPr>
          <w:rFonts w:hint="eastAsia" w:hAnsi="宋体" w:cs="宋体"/>
          <w:sz w:val="24"/>
          <w:szCs w:val="24"/>
        </w:rPr>
        <w:t>【裁量阶次】违反前款规定的违法行为，属于基础裁量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ind w:firstLine="420"/>
        <w:rPr>
          <w:rFonts w:hint="eastAsia" w:hAnsi="宋体" w:cs="宋体"/>
          <w:sz w:val="24"/>
          <w:szCs w:val="24"/>
        </w:rPr>
      </w:pPr>
      <w:r>
        <w:rPr>
          <w:rFonts w:hint="eastAsia" w:hAnsi="宋体" w:cs="宋体"/>
          <w:sz w:val="24"/>
          <w:szCs w:val="24"/>
        </w:rPr>
        <w:t>1.未按照规定如实告知有关的安全生产事项，涉及人数3人以下的，责令限期改正，处3万元以下的罚款；逾期未改正的，责令停产停业整顿，并处10万元以上13万元以下的罚款，对其直接负责的主管人员和其他直接责任人员处2万元以上3万元以下的罚款；</w:t>
      </w:r>
    </w:p>
    <w:p>
      <w:pPr>
        <w:pStyle w:val="8"/>
        <w:spacing w:line="420" w:lineRule="exact"/>
        <w:ind w:firstLine="420"/>
        <w:rPr>
          <w:rFonts w:hint="eastAsia" w:hAnsi="宋体" w:cs="宋体"/>
          <w:sz w:val="24"/>
          <w:szCs w:val="24"/>
        </w:rPr>
      </w:pPr>
      <w:r>
        <w:rPr>
          <w:rFonts w:hint="eastAsia" w:hAnsi="宋体" w:cs="宋体"/>
          <w:sz w:val="24"/>
          <w:szCs w:val="24"/>
        </w:rPr>
        <w:t>2.未按照规定如实告知有关的安全生产事项，涉及人数3人以上10人以下的，责令限期改正，处3万元以上7万元以下的罚款；逾期未改正的，责令停产停业整顿，并处13万元以上17万元以下的罚款，对其直接负责的主管人员和其他直接责任人员处3万元以上4万元以下的罚款；</w:t>
      </w:r>
    </w:p>
    <w:p>
      <w:pPr>
        <w:pStyle w:val="8"/>
        <w:spacing w:line="420" w:lineRule="exact"/>
        <w:ind w:firstLine="420"/>
        <w:rPr>
          <w:rFonts w:hint="eastAsia" w:hAnsi="宋体" w:cs="宋体"/>
          <w:sz w:val="24"/>
          <w:szCs w:val="24"/>
        </w:rPr>
      </w:pPr>
      <w:r>
        <w:rPr>
          <w:rFonts w:hint="eastAsia" w:hAnsi="宋体" w:cs="宋体"/>
          <w:sz w:val="24"/>
          <w:szCs w:val="24"/>
        </w:rPr>
        <w:t>3.未按照规定如实告知有关的安全生产事项，涉及人数10人以上的，责令限期改正，处7万元以上10万元以下的罚款；逾期未改正的，责令停产停业整顿，并处17万元以上20万元以下的罚款，对其直接负责的主管人员和其他直接责任人员处4万元以上5万元以下的罚款。</w:t>
      </w:r>
    </w:p>
    <w:p>
      <w:pPr>
        <w:pStyle w:val="8"/>
        <w:spacing w:line="420" w:lineRule="exact"/>
        <w:ind w:firstLine="480" w:firstLineChars="200"/>
        <w:rPr>
          <w:rFonts w:hint="eastAsia"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四）违法行为：高危行业、领域的生产经营单位未按照国家规定投保安全生产责任保险的。</w:t>
      </w:r>
    </w:p>
    <w:p>
      <w:pPr>
        <w:pStyle w:val="8"/>
        <w:spacing w:line="420" w:lineRule="exact"/>
        <w:ind w:firstLine="480" w:firstLineChars="200"/>
        <w:rPr>
          <w:rFonts w:hint="eastAsia"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《北京市安全生产条例》第三十六条第二款规定：</w:t>
      </w:r>
    </w:p>
    <w:p>
      <w:pPr>
        <w:pStyle w:val="8"/>
        <w:spacing w:line="420" w:lineRule="exact"/>
        <w:ind w:firstLine="480" w:firstLineChars="200"/>
        <w:rPr>
          <w:rFonts w:hint="eastAsia" w:ascii="楷体" w:hAnsi="楷体" w:eastAsia="楷体" w:cs="宋体"/>
          <w:sz w:val="24"/>
          <w:szCs w:val="24"/>
        </w:rPr>
      </w:pPr>
      <w:r>
        <w:rPr>
          <w:rFonts w:hint="eastAsia" w:ascii="STKaiti" w:hAnsi="STKaiti" w:eastAsia="STKaiti" w:cs="宋体"/>
          <w:sz w:val="24"/>
          <w:szCs w:val="24"/>
        </w:rPr>
        <w:t>本市按照国家有关规定建立安全生产责任保险制度，发挥保险机构参与风险评估管控和事故预防的功能。矿山、危险化学品、烟花爆竹、交通运输、建筑施工、民用爆炸物品、金属冶炼等国家规定的高危行业、领域的生产经营单位，应当投保安全生产责任保险。鼓励其他生产经营单位投保安全生产责任保险。</w:t>
      </w:r>
    </w:p>
    <w:p>
      <w:pPr>
        <w:pStyle w:val="8"/>
        <w:spacing w:line="420" w:lineRule="exact"/>
        <w:rPr>
          <w:rFonts w:hint="eastAsia"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】《北京市安全生产条例》第五十九条规定：</w:t>
      </w:r>
    </w:p>
    <w:p>
      <w:pPr>
        <w:pStyle w:val="8"/>
        <w:spacing w:line="420" w:lineRule="exact"/>
        <w:ind w:firstLine="480" w:firstLineChars="200"/>
        <w:rPr>
          <w:rFonts w:hint="eastAsia" w:ascii="楷体" w:hAnsi="楷体" w:eastAsia="楷体" w:cs="宋体"/>
          <w:sz w:val="24"/>
          <w:szCs w:val="24"/>
        </w:rPr>
      </w:pPr>
      <w:r>
        <w:rPr>
          <w:rFonts w:hint="eastAsia" w:ascii="STKaiti" w:hAnsi="STKaiti" w:eastAsia="STKaiti" w:cs="宋体"/>
          <w:sz w:val="24"/>
          <w:szCs w:val="24"/>
        </w:rPr>
        <w:t>生产经营单位违反本条例第三十六条第二款规定，未投保安全生产责任保险的，责令限期改正，处五万元以上十万元以下的罚款；逾期未改正的，处十万元以上二十万元以下的罚款。</w:t>
      </w:r>
    </w:p>
    <w:p>
      <w:pPr>
        <w:pStyle w:val="8"/>
        <w:spacing w:line="420" w:lineRule="exact"/>
        <w:rPr>
          <w:rFonts w:hint="eastAsia"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int="eastAsia" w:hAnsi="宋体" w:cs="宋体"/>
          <w:sz w:val="24"/>
          <w:szCs w:val="24"/>
        </w:rPr>
      </w:pPr>
      <w:r>
        <w:rPr>
          <w:rFonts w:hint="eastAsia" w:hAnsi="宋体" w:cs="宋体"/>
          <w:sz w:val="24"/>
          <w:szCs w:val="24"/>
        </w:rPr>
        <w:t>1.高危行业、领域的生产经营单位未按照国家规定投保安全生产责任保险，未投保人数3人以下或占应投保总人数比例在20%以下的，责令限期改正，处5万元以上7万元以下的罚款；逾期未改正的，处10万元以上13万元以下的罚款；</w:t>
      </w:r>
    </w:p>
    <w:p>
      <w:pPr>
        <w:pStyle w:val="8"/>
        <w:spacing w:line="420" w:lineRule="exact"/>
        <w:ind w:firstLine="480" w:firstLineChars="200"/>
        <w:rPr>
          <w:rFonts w:hint="eastAsia" w:hAnsi="宋体" w:cs="宋体"/>
          <w:sz w:val="24"/>
          <w:szCs w:val="24"/>
        </w:rPr>
      </w:pPr>
      <w:r>
        <w:rPr>
          <w:rFonts w:hint="eastAsia" w:hAnsi="宋体" w:cs="宋体"/>
          <w:sz w:val="24"/>
          <w:szCs w:val="24"/>
        </w:rPr>
        <w:t>2.高危行业、领域的生产经营单位未按照国家规定投保安全生产责任保险，未投保人数3人以上10人以下或占应投保总人数比例在20%以上50%以下的，责令限期改正，处7万元以上9万元以下的罚款；逾期未改正的，处13万元以上17万元以下的罚款；</w:t>
      </w:r>
    </w:p>
    <w:p>
      <w:pPr>
        <w:pStyle w:val="8"/>
        <w:spacing w:line="420" w:lineRule="exact"/>
        <w:ind w:firstLine="480" w:firstLineChars="200"/>
        <w:rPr>
          <w:rFonts w:hint="eastAsia" w:hAnsi="宋体" w:cs="宋体"/>
          <w:sz w:val="24"/>
          <w:szCs w:val="24"/>
        </w:rPr>
      </w:pPr>
      <w:r>
        <w:rPr>
          <w:rFonts w:hint="eastAsia" w:hAnsi="宋体" w:cs="宋体"/>
          <w:sz w:val="24"/>
          <w:szCs w:val="24"/>
        </w:rPr>
        <w:t>3.高危行业、领域的生产经营单位未按照国家规定投保安全生产责任保险，未投保人数10人以上或占应投保总人数比例在50%以上的，责令限期改正，处9万元以上10万元以下的罚款；逾期未改正的，处17万元以上20万元以下的罚款。</w:t>
      </w:r>
    </w:p>
    <w:p>
      <w:pPr>
        <w:pStyle w:val="8"/>
        <w:spacing w:line="420" w:lineRule="exact"/>
        <w:ind w:firstLine="480" w:firstLineChars="200"/>
        <w:rPr>
          <w:rFonts w:hint="eastAsia" w:ascii="黑体" w:hAnsi="黑体" w:eastAsia="黑体" w:cs="宋体"/>
          <w:sz w:val="24"/>
          <w:szCs w:val="24"/>
        </w:rPr>
      </w:pPr>
      <w:r>
        <w:rPr>
          <w:rFonts w:hint="eastAsia" w:hAnsi="宋体" w:cs="宋体"/>
          <w:sz w:val="24"/>
          <w:szCs w:val="24"/>
        </w:rPr>
        <w:t>（</w:t>
      </w:r>
      <w:r>
        <w:rPr>
          <w:rFonts w:hint="eastAsia" w:ascii="黑体" w:hAnsi="黑体" w:eastAsia="黑体" w:cs="宋体"/>
          <w:sz w:val="24"/>
          <w:szCs w:val="24"/>
        </w:rPr>
        <w:t>五）违法行为：生产经营单位开展危险化学品生产经营活动未执行本市危险化学品禁止、限制、控制措施，拒不改正的。</w:t>
      </w:r>
    </w:p>
    <w:p>
      <w:pPr>
        <w:pStyle w:val="8"/>
        <w:spacing w:line="420" w:lineRule="exact"/>
        <w:ind w:firstLine="480" w:firstLineChars="200"/>
        <w:rPr>
          <w:rFonts w:hint="eastAsia" w:hAnsi="宋体" w:cs="宋体"/>
          <w:sz w:val="24"/>
          <w:szCs w:val="24"/>
        </w:rPr>
      </w:pPr>
      <w:r>
        <w:rPr>
          <w:rFonts w:hint="eastAsia" w:hAnsi="宋体" w:eastAsia="黑体" w:cs="宋体"/>
          <w:sz w:val="24"/>
          <w:szCs w:val="24"/>
        </w:rPr>
        <w:t>【违法依据】</w:t>
      </w:r>
      <w:r>
        <w:rPr>
          <w:rFonts w:hint="eastAsia" w:hAnsi="宋体" w:cs="宋体"/>
          <w:sz w:val="24"/>
          <w:szCs w:val="24"/>
        </w:rPr>
        <w:t>《北京市安全生产条例》第四十七条第二款规定：</w:t>
      </w:r>
    </w:p>
    <w:p>
      <w:pPr>
        <w:pStyle w:val="8"/>
        <w:spacing w:line="420" w:lineRule="exact"/>
        <w:ind w:firstLine="480" w:firstLineChars="200"/>
        <w:rPr>
          <w:rFonts w:hint="eastAsia" w:ascii="楷体" w:hAnsi="楷体" w:eastAsia="楷体" w:cs="宋体"/>
          <w:sz w:val="24"/>
          <w:szCs w:val="24"/>
        </w:rPr>
      </w:pPr>
      <w:r>
        <w:rPr>
          <w:rFonts w:hint="eastAsia" w:ascii="STKaiti" w:hAnsi="STKaiti" w:eastAsia="STKaiti" w:cs="宋体"/>
          <w:sz w:val="24"/>
          <w:szCs w:val="24"/>
        </w:rPr>
        <w:t>生产经营单位开展危险化学品生产经营活动，应当执行本市危险化学品禁止、限制、控制措施。</w:t>
      </w:r>
    </w:p>
    <w:p>
      <w:pPr>
        <w:pStyle w:val="8"/>
        <w:spacing w:line="420" w:lineRule="exact"/>
        <w:rPr>
          <w:rFonts w:hint="eastAsia" w:hAnsi="宋体" w:cs="宋体"/>
          <w:sz w:val="24"/>
          <w:szCs w:val="24"/>
        </w:rPr>
      </w:pPr>
      <w:r>
        <w:rPr>
          <w:rFonts w:hint="eastAsia" w:hAnsi="宋体" w:cs="宋体"/>
          <w:sz w:val="24"/>
          <w:szCs w:val="24"/>
        </w:rPr>
        <w:t xml:space="preserve">    【</w:t>
      </w:r>
      <w:r>
        <w:rPr>
          <w:rFonts w:hint="eastAsia" w:ascii="黑体" w:hAnsi="黑体" w:eastAsia="黑体" w:cs="宋体"/>
          <w:sz w:val="24"/>
          <w:szCs w:val="24"/>
        </w:rPr>
        <w:t>处罚依据</w:t>
      </w:r>
      <w:r>
        <w:rPr>
          <w:rFonts w:hint="eastAsia" w:hAnsi="宋体" w:cs="宋体"/>
          <w:sz w:val="24"/>
          <w:szCs w:val="24"/>
        </w:rPr>
        <w:t>】《北京市安全生产条例》第六十二条规定：</w:t>
      </w:r>
    </w:p>
    <w:p>
      <w:pPr>
        <w:pStyle w:val="8"/>
        <w:spacing w:line="420" w:lineRule="exact"/>
        <w:ind w:firstLine="480" w:firstLineChars="200"/>
        <w:rPr>
          <w:rFonts w:hint="eastAsia" w:ascii="楷体" w:hAnsi="楷体" w:eastAsia="楷体" w:cs="宋体"/>
          <w:sz w:val="24"/>
          <w:szCs w:val="24"/>
        </w:rPr>
      </w:pPr>
      <w:r>
        <w:rPr>
          <w:rFonts w:hint="eastAsia" w:ascii="STKaiti" w:hAnsi="STKaiti" w:eastAsia="STKaiti" w:cs="宋体"/>
          <w:sz w:val="24"/>
          <w:szCs w:val="24"/>
        </w:rPr>
        <w:t>生产经营单位违反本条例第四十七条第二款规定，未执行本市危险化学品禁止、限制、控制措施的，责令改正；拒不改正的，处二万元以上十万元以下的罚款。</w:t>
      </w:r>
    </w:p>
    <w:p>
      <w:pPr>
        <w:pStyle w:val="8"/>
        <w:spacing w:line="420" w:lineRule="exact"/>
        <w:rPr>
          <w:rFonts w:hint="eastAsia" w:hAnsi="宋体" w:cs="宋体"/>
          <w:sz w:val="24"/>
          <w:szCs w:val="24"/>
        </w:rPr>
      </w:pPr>
      <w:r>
        <w:rPr>
          <w:rFonts w:hint="eastAsia" w:hAnsi="宋体" w:cs="宋体"/>
          <w:sz w:val="24"/>
          <w:szCs w:val="24"/>
        </w:rPr>
        <w:t xml:space="preserve">    【裁量阶次】违反前款规定的违法行为，属于基础裁量A档，按照以下裁量阶次处以罚款：</w:t>
      </w:r>
    </w:p>
    <w:p>
      <w:pPr>
        <w:pStyle w:val="8"/>
        <w:spacing w:line="420" w:lineRule="exact"/>
        <w:ind w:firstLine="480" w:firstLineChars="200"/>
        <w:rPr>
          <w:rFonts w:hint="eastAsia"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从业人员在50人以下的生产经营单位开展危险化学品生产经营活动未执行本市危险化学品禁止、限制、控制措施，拒不改正的，处二万元以上五万元以下的罚款；</w:t>
      </w:r>
    </w:p>
    <w:p>
      <w:pPr>
        <w:pStyle w:val="8"/>
        <w:spacing w:line="420" w:lineRule="exact"/>
        <w:ind w:firstLine="480" w:firstLineChars="200"/>
        <w:rPr>
          <w:rFonts w:hint="eastAsia"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从业人员在50人以上100人以下的生产经营单位开展危险化学品生产经营活动未执行本市危险化学品禁止、限制、控制措施，拒不改正的，处五万元以上八万元以下的罚款；</w:t>
      </w:r>
    </w:p>
    <w:p>
      <w:pPr>
        <w:pStyle w:val="8"/>
        <w:spacing w:line="420" w:lineRule="exact"/>
        <w:ind w:firstLine="480" w:firstLineChars="200"/>
        <w:rPr>
          <w:rFonts w:hint="eastAsia" w:hAnsi="宋体" w:cs="宋体"/>
          <w:sz w:val="24"/>
          <w:szCs w:val="24"/>
        </w:rPr>
      </w:pPr>
      <w:r>
        <w:rPr>
          <w:rFonts w:hint="eastAsia" w:hAnsi="宋体" w:cs="宋体"/>
          <w:sz w:val="24"/>
          <w:szCs w:val="24"/>
        </w:rPr>
        <w:t>3.从业人员在100人以上的生产经营单位开展危险化学品生产经营活动未执行本市危险化学品禁止、限制、控制措施，拒不改正的，处八万元以上十万元以下的罚款。</w:t>
      </w:r>
    </w:p>
    <w:p>
      <w:pPr>
        <w:pStyle w:val="8"/>
        <w:spacing w:line="420" w:lineRule="exact"/>
        <w:ind w:firstLine="600" w:firstLineChars="200"/>
        <w:rPr>
          <w:rFonts w:hint="eastAsia" w:ascii="黑体" w:hAnsi="黑体" w:eastAsia="黑体" w:cs="宋体"/>
          <w:sz w:val="30"/>
          <w:szCs w:val="30"/>
        </w:rPr>
      </w:pPr>
    </w:p>
    <w:p>
      <w:pPr>
        <w:spacing w:line="420" w:lineRule="exact"/>
        <w:jc w:val="center"/>
        <w:outlineLvl w:val="2"/>
        <w:rPr>
          <w:rFonts w:hint="eastAsia" w:ascii="黑体" w:hAnsi="黑体" w:eastAsia="黑体" w:cs="宋体"/>
          <w:sz w:val="30"/>
          <w:szCs w:val="30"/>
        </w:rPr>
      </w:pPr>
      <w:bookmarkStart w:id="9" w:name="_Toc204864559"/>
      <w:r>
        <w:rPr>
          <w:rFonts w:hint="eastAsia" w:ascii="黑体" w:hAnsi="黑体" w:eastAsia="黑体" w:cs="宋体"/>
          <w:sz w:val="30"/>
          <w:szCs w:val="30"/>
        </w:rPr>
        <w:t>二、《北京市燃气管理条例》</w:t>
      </w:r>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9"/>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违法行为：燃气供应企业未按照安全监护协议的约定履行监护职责并进行现场指导的。</w:t>
      </w:r>
    </w:p>
    <w:p>
      <w:pPr>
        <w:spacing w:line="420" w:lineRule="exact"/>
        <w:ind w:firstLine="480" w:firstLineChars="200"/>
        <w:rPr>
          <w:sz w:val="24"/>
          <w:szCs w:val="24"/>
        </w:rPr>
      </w:pPr>
      <w:r>
        <w:rPr>
          <w:rFonts w:hint="eastAsia" w:ascii="黑体" w:hAnsi="黑体" w:eastAsia="黑体"/>
          <w:sz w:val="24"/>
          <w:szCs w:val="24"/>
        </w:rPr>
        <w:t>【违法依据】</w:t>
      </w:r>
      <w:r>
        <w:rPr>
          <w:rFonts w:hint="eastAsia"/>
          <w:sz w:val="24"/>
          <w:szCs w:val="24"/>
        </w:rPr>
        <w:t>《北京市燃气管理条例》第三十九条第一款规定：</w:t>
      </w:r>
    </w:p>
    <w:p>
      <w:pPr>
        <w:spacing w:line="420" w:lineRule="exact"/>
        <w:ind w:firstLine="480" w:firstLineChars="200"/>
        <w:rPr>
          <w:rFonts w:hint="eastAsia" w:ascii="宋体" w:hAnsi="宋体"/>
          <w:b/>
          <w:sz w:val="24"/>
          <w:szCs w:val="24"/>
        </w:rPr>
      </w:pPr>
      <w:r>
        <w:rPr>
          <w:rFonts w:hint="eastAsia" w:ascii="STKaiti" w:hAnsi="STKaiti" w:eastAsia="STKaiti"/>
          <w:sz w:val="24"/>
          <w:szCs w:val="24"/>
          <w:shd w:val="clear" w:color="auto" w:fill="FFFFFF"/>
        </w:rPr>
        <w:t>建设工程施工范围内有地下管道燃气设施的，燃气供应企业应当按照安全监护协议的约定履行监护职责，并进行现场指导。</w:t>
      </w:r>
    </w:p>
    <w:p>
      <w:pPr>
        <w:spacing w:line="420" w:lineRule="exact"/>
        <w:ind w:firstLine="480" w:firstLineChars="200"/>
        <w:rPr>
          <w:sz w:val="24"/>
          <w:szCs w:val="24"/>
        </w:rPr>
      </w:pPr>
      <w:r>
        <w:rPr>
          <w:rFonts w:hint="eastAsia" w:ascii="黑体" w:hAnsi="黑体" w:eastAsia="黑体"/>
          <w:sz w:val="24"/>
          <w:szCs w:val="24"/>
        </w:rPr>
        <w:t>【处罚依据】</w:t>
      </w:r>
      <w:r>
        <w:rPr>
          <w:rFonts w:hint="eastAsia"/>
          <w:sz w:val="24"/>
          <w:szCs w:val="24"/>
        </w:rPr>
        <w:t>《北京市燃气管理条例》第六十五条规定：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违反本条例第三十九条第一款规定，燃气供应企业未按照安全监护协议的约定履行监护职责并进行现场指导的，由应急管理部门责令限期改正，处五万元以上十万元以下罚款。</w:t>
      </w:r>
    </w:p>
    <w:p>
      <w:pPr>
        <w:widowControl/>
        <w:adjustRightInd w:val="0"/>
        <w:snapToGrid w:val="0"/>
        <w:spacing w:line="420" w:lineRule="exact"/>
        <w:ind w:firstLine="480" w:firstLineChars="200"/>
        <w:rPr>
          <w:rFonts w:hint="eastAsia"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违反前款规定的违法行为，属于基础裁量A档，按照以下裁量阶次处以罚款：</w:t>
      </w:r>
    </w:p>
    <w:p>
      <w:pPr>
        <w:pStyle w:val="8"/>
        <w:spacing w:line="460" w:lineRule="exact"/>
        <w:ind w:firstLine="480" w:firstLineChars="200"/>
        <w:rPr>
          <w:rFonts w:hint="eastAsia" w:hAnsi="宋体"/>
          <w:sz w:val="24"/>
          <w:szCs w:val="24"/>
        </w:rPr>
      </w:pPr>
      <w:r>
        <w:rPr>
          <w:rFonts w:hint="eastAsia" w:hAnsi="宋体"/>
          <w:sz w:val="24"/>
          <w:szCs w:val="24"/>
        </w:rPr>
        <w:t>1.</w:t>
      </w:r>
      <w:r>
        <w:rPr>
          <w:rFonts w:hint="eastAsia" w:hAnsi="宋体" w:cs="宋体"/>
          <w:sz w:val="24"/>
          <w:szCs w:val="24"/>
        </w:rPr>
        <w:t>从业人员在50人以下的</w:t>
      </w:r>
      <w:r>
        <w:rPr>
          <w:rFonts w:hint="eastAsia" w:hAnsi="宋体"/>
          <w:sz w:val="24"/>
          <w:szCs w:val="24"/>
        </w:rPr>
        <w:t>燃气供应企业，未按照安全监护协议的约定履行监护职责并进行现场指导的，处</w:t>
      </w:r>
      <w:r>
        <w:rPr>
          <w:rFonts w:hAnsi="宋体"/>
          <w:sz w:val="24"/>
          <w:szCs w:val="24"/>
        </w:rPr>
        <w:t>5</w:t>
      </w:r>
      <w:r>
        <w:rPr>
          <w:rFonts w:hint="eastAsia" w:hAnsi="宋体"/>
          <w:sz w:val="24"/>
          <w:szCs w:val="24"/>
        </w:rPr>
        <w:t>万元以上</w:t>
      </w:r>
      <w:r>
        <w:rPr>
          <w:rFonts w:hAnsi="宋体"/>
          <w:sz w:val="24"/>
          <w:szCs w:val="24"/>
        </w:rPr>
        <w:t>7</w:t>
      </w:r>
      <w:r>
        <w:rPr>
          <w:rFonts w:hint="eastAsia" w:hAnsi="宋体"/>
          <w:sz w:val="24"/>
          <w:szCs w:val="24"/>
        </w:rPr>
        <w:t>万元以下的罚款；</w:t>
      </w:r>
    </w:p>
    <w:p>
      <w:pPr>
        <w:pStyle w:val="8"/>
        <w:spacing w:line="460" w:lineRule="exact"/>
        <w:ind w:firstLine="480" w:firstLineChars="200"/>
        <w:rPr>
          <w:rFonts w:hint="eastAsia" w:hAnsi="宋体"/>
          <w:sz w:val="24"/>
          <w:szCs w:val="24"/>
        </w:rPr>
      </w:pPr>
      <w:r>
        <w:rPr>
          <w:rFonts w:hint="eastAsia" w:hAnsi="宋体"/>
          <w:sz w:val="24"/>
          <w:szCs w:val="24"/>
        </w:rPr>
        <w:t>2.从业人员在50人以上100人以下的燃气供应企业，未按照安全监护协议的约定履行监护职责并进行现场指导的，处7万元以上9万元以下的罚款；</w:t>
      </w:r>
    </w:p>
    <w:p>
      <w:pPr>
        <w:spacing w:line="420" w:lineRule="exact"/>
        <w:ind w:firstLine="480" w:firstLineChars="200"/>
        <w:rPr>
          <w:rFonts w:hint="eastAsia" w:ascii="宋体" w:hAnsi="宋体" w:cs="宋体"/>
          <w:sz w:val="24"/>
          <w:szCs w:val="24"/>
        </w:rPr>
      </w:pPr>
      <w:r>
        <w:rPr>
          <w:rFonts w:hint="eastAsia" w:ascii="宋体" w:hAnsi="宋体"/>
          <w:sz w:val="24"/>
          <w:szCs w:val="24"/>
        </w:rPr>
        <w:t>3</w:t>
      </w:r>
      <w:r>
        <w:rPr>
          <w:rFonts w:hint="eastAsia" w:hAnsi="宋体"/>
          <w:sz w:val="24"/>
          <w:szCs w:val="24"/>
        </w:rPr>
        <w:t>.从业人员在100人以上的燃气供应企业，未按照安全监护协议的约定履行监护职责并进行现场指导的，处9万元以上10万元以下的罚款</w:t>
      </w:r>
      <w:r>
        <w:rPr>
          <w:rFonts w:hint="eastAsia" w:ascii="宋体" w:hAnsi="宋体"/>
          <w:sz w:val="24"/>
          <w:szCs w:val="24"/>
        </w:rPr>
        <w:t>。</w:t>
      </w:r>
    </w:p>
    <w:p>
      <w:pPr>
        <w:spacing w:line="420" w:lineRule="exact"/>
        <w:ind w:firstLine="470" w:firstLineChars="196"/>
        <w:rPr>
          <w:rFonts w:ascii="宋体"/>
          <w:sz w:val="24"/>
          <w:szCs w:val="24"/>
        </w:rPr>
      </w:pPr>
    </w:p>
    <w:p>
      <w:pPr>
        <w:spacing w:line="420" w:lineRule="exact"/>
        <w:jc w:val="center"/>
        <w:outlineLvl w:val="2"/>
        <w:rPr>
          <w:rFonts w:hint="eastAsia" w:ascii="黑体" w:hAnsi="黑体" w:eastAsia="黑体" w:cs="宋体"/>
          <w:sz w:val="30"/>
          <w:szCs w:val="30"/>
        </w:rPr>
      </w:pPr>
      <w:bookmarkStart w:id="10" w:name="_Toc204864560"/>
      <w:r>
        <w:rPr>
          <w:rFonts w:hint="eastAsia" w:ascii="黑体" w:hAnsi="黑体" w:eastAsia="黑体" w:cs="宋体"/>
          <w:sz w:val="30"/>
          <w:szCs w:val="30"/>
        </w:rPr>
        <w:t>三、《北京市生产安全事故报告和调查处理办法》</w:t>
      </w:r>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0"/>
    </w:p>
    <w:p>
      <w:pPr>
        <w:spacing w:line="420" w:lineRule="exact"/>
        <w:ind w:firstLine="480" w:firstLineChars="200"/>
        <w:rPr>
          <w:rFonts w:hint="eastAsia" w:ascii="黑体" w:hAnsi="黑体" w:eastAsia="黑体" w:cs="宋体"/>
          <w:sz w:val="24"/>
          <w:szCs w:val="24"/>
        </w:rPr>
      </w:pPr>
      <w:r>
        <w:rPr>
          <w:rFonts w:hint="eastAsia" w:ascii="黑体" w:hAnsi="黑体" w:eastAsia="黑体" w:cs="宋体"/>
          <w:sz w:val="24"/>
          <w:szCs w:val="24"/>
        </w:rPr>
        <w:t>（一）违法行为：事故发生单位和相关责任单位逾期未按照北京市生产安全事故报告和调查处理办法第二十条规定处理责任人员，落实整改措施的或未在规定时限内将落实人民政府的批复情况报告安全生产监督管理部门逾期不改正的。</w:t>
      </w:r>
    </w:p>
    <w:p>
      <w:pPr>
        <w:spacing w:line="420" w:lineRule="exact"/>
        <w:ind w:firstLine="480" w:firstLineChars="200"/>
        <w:rPr>
          <w:rFonts w:ascii="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《北京市生产安全事故报告和调查处理办法》第二十条规定：</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事故发生单位和相关责任单位应当认真吸取事故教训，落实整改措施，严肃处理本单位负有事故责任的人员；在事故处理工作完成之日起10个工作日内，将落实人民政府批复的情况报告组织事故调查处理的安全生产监督管理部门。</w:t>
      </w:r>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《北京市生产安全事故报告和调查处理办法》第二十五条规定：</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事故发生单位和相关责任单位未按照本办法第二十条规定处理责任人员，落实整改措施的，由安全生产监督管理部门责令限期改正，逾期不改正的，处1万元以上3万元以下罚款；未在规定时限内将落实人民政府的批复情况报告安全生产监督管理部门的，由安全生产监督管理部门责令限期改正，逾期不改正的，处5000元罚款。</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违反前款规定的违法行为，属于基础裁量C档，按照以下裁量阶次处以罚款：</w:t>
      </w:r>
    </w:p>
    <w:p>
      <w:pPr>
        <w:spacing w:line="420" w:lineRule="exact"/>
        <w:ind w:firstLine="470" w:firstLineChars="196"/>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一般事故的事故发生单位和相关责任单位，未按照《北京市生产安全事故报告和调查处理办法》第二十条规定处理责任人员，落实整改措施，经应急管理部门责令限期改正后，逾期不改正的，处1万元以上2万元以下的罚款；未在规定时限内将落实人民政府的批复情况报告安全生产监督管理部门，经应急管理部门责令限期改正后，逾期不改正的，处5000元罚款；</w:t>
      </w:r>
    </w:p>
    <w:p>
      <w:pPr>
        <w:spacing w:line="420" w:lineRule="exact"/>
        <w:ind w:firstLine="470" w:firstLineChars="19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较大事故的事故发生单位和相关责任单位，未按照《北京市生产安全事故报告和调查处理办法》第二十条规定处理责任人员，落实整改措施，经应急管理部门责令限期改正后，逾期不改正的，处2万元以上2.5万元以下的罚款；未在规定时限内将落实人民政府的批复情况报告安全生产监督管理部门，经应急管理部门责令限期改正后，逾期不改正的，处5000元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3.重大事故的事故发生单位和相关责任单位，未按照《北京市生产安全事故报告和调查处理办法》第二十条规定处理责任人员，落实整改措施，经应急管理部门责令限期改正后，逾期不改正的，处2.5万元以上3万元以下的罚款；未在规定时限内将落实人民政府的批复情况报告安全生产监督管理部门，经应急管理部门责令限期改正后，逾期不改正的，处5000元罚款。</w:t>
      </w:r>
    </w:p>
    <w:p>
      <w:pPr>
        <w:spacing w:line="420" w:lineRule="exact"/>
        <w:ind w:firstLine="480" w:firstLineChars="200"/>
        <w:rPr>
          <w:rFonts w:hint="eastAsia" w:ascii="黑体" w:hAnsi="黑体" w:eastAsia="黑体" w:cs="宋体"/>
          <w:sz w:val="24"/>
          <w:szCs w:val="24"/>
        </w:rPr>
      </w:pPr>
      <w:r>
        <w:rPr>
          <w:rFonts w:hint="eastAsia" w:ascii="黑体" w:hAnsi="黑体" w:eastAsia="黑体" w:cs="宋体"/>
          <w:sz w:val="24"/>
          <w:szCs w:val="24"/>
        </w:rPr>
        <w:t>（二）违法行为：生产经营单位未对直接经济损失10万元（含本数）以上100万元以下且未造成人员死亡或者重伤的一般事故进行调查处理的。</w:t>
      </w:r>
    </w:p>
    <w:p>
      <w:pPr>
        <w:spacing w:line="420" w:lineRule="exact"/>
        <w:ind w:firstLine="480" w:firstLineChars="200"/>
        <w:rPr>
          <w:rFonts w:ascii="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《北京市生产安全事故报告和调查处理办法》第二十一条规定：</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由生产经营单位负责组织调查的直接经济损失在10万元(含本数)以上100万元以下且未造成人员死亡或者重伤的一般事故，应当在《条例》规定的时限内完成事故调查处理工作；并在事故处理工作完成之日起10个工作日内，将调查处理情况报告事故发生地安全生产监督管理部门。</w:t>
      </w:r>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《北京市生产安全事故报告和调查处理办法》第二十四条规定：</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生产经营单位未对直接经济损失10万元(含本数)以上100万元以下且未造成人员死亡或者重伤的一般事故进行调查处理的，由安全生产监督管理部门责令限期改正，并可处1万元以上3万元以下罚款。</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违反前款规定的违法行为，属于基础裁量C档，按照以下裁量阶次处以罚款：</w:t>
      </w:r>
    </w:p>
    <w:p>
      <w:pPr>
        <w:spacing w:line="420" w:lineRule="exact"/>
        <w:ind w:firstLine="470" w:firstLineChars="196"/>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生产经营单位未对直接经济损失10万元(含本数)以上40万元以下且未造成人员死亡或者重伤的一般事故进行调查处理的，由应急管理部门责令限期改正，并可处1万元以上2万元以下罚款；</w:t>
      </w:r>
    </w:p>
    <w:p>
      <w:pPr>
        <w:spacing w:line="420" w:lineRule="exact"/>
        <w:ind w:firstLine="470" w:firstLineChars="19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生产经营单位未对直接经济损失40万元以上70万元以下且未造成人员死亡或者重伤的一般事故进行调查处理的，由应急管理部门责令限期改正，并可处2万元以上2.5万元以下罚款；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生产经营单位未对直接经济损失70万元以上100万元以下且未造成人员死亡或者重伤的一般事故进行调查处理的，由应急管理部门责令限期改正，并可处2.5万元以上3万元以下罚款。</w:t>
      </w:r>
    </w:p>
    <w:p>
      <w:pPr>
        <w:spacing w:line="420" w:lineRule="exact"/>
        <w:ind w:firstLine="470" w:firstLineChars="196"/>
        <w:rPr>
          <w:rFonts w:ascii="宋体"/>
          <w:sz w:val="24"/>
          <w:szCs w:val="24"/>
        </w:rPr>
      </w:pPr>
    </w:p>
    <w:p>
      <w:pPr>
        <w:spacing w:line="420" w:lineRule="exact"/>
        <w:jc w:val="center"/>
        <w:outlineLvl w:val="2"/>
        <w:rPr>
          <w:rFonts w:hint="eastAsia" w:ascii="黑体" w:hAnsi="黑体" w:eastAsia="黑体" w:cs="宋体"/>
          <w:sz w:val="30"/>
          <w:szCs w:val="30"/>
        </w:rPr>
      </w:pPr>
      <w:bookmarkStart w:id="11" w:name="_Toc204864561"/>
      <w:r>
        <w:rPr>
          <w:rFonts w:hint="eastAsia" w:ascii="黑体" w:hAnsi="黑体" w:eastAsia="黑体" w:cs="宋体"/>
          <w:sz w:val="30"/>
          <w:szCs w:val="30"/>
        </w:rPr>
        <w:t>四、《北京市生产安全事故隐患排查治理办法》</w:t>
      </w:r>
      <w:bookmarkEnd w:id="8"/>
      <w:bookmarkStart w:id="12" w:name="_Toc53175457"/>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11"/>
      <w:bookmarkEnd w:id="12"/>
    </w:p>
    <w:p>
      <w:pPr>
        <w:spacing w:line="420" w:lineRule="exact"/>
        <w:ind w:firstLine="480" w:firstLineChars="200"/>
        <w:rPr>
          <w:rFonts w:hint="eastAsia" w:ascii="黑体" w:hAnsi="黑体" w:eastAsia="黑体" w:cs="宋体"/>
          <w:sz w:val="24"/>
          <w:szCs w:val="24"/>
        </w:rPr>
      </w:pPr>
      <w:r>
        <w:rPr>
          <w:rFonts w:hint="eastAsia" w:ascii="黑体" w:hAnsi="黑体" w:eastAsia="黑体" w:cs="宋体"/>
          <w:sz w:val="24"/>
          <w:szCs w:val="24"/>
        </w:rPr>
        <w:t>（一）违法行为：生产经营单位的主要负责人未履行北京市生产安全事故隐患排查治理办法第七条规定的事故隐患排查治理职责，逾期未改正的。</w:t>
      </w:r>
    </w:p>
    <w:p>
      <w:pPr>
        <w:spacing w:line="420" w:lineRule="exact"/>
        <w:ind w:firstLine="480" w:firstLineChars="200"/>
        <w:rPr>
          <w:rFonts w:ascii="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《北京市生产安全事故隐患排查治理办法》第七条规定：</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生产经营单位的主要负责人对本单位事故隐患排查治理工作全面负责，履行下列职责：</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（一）组织制定本单位事故隐患排查治理制度；</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（二）督促、检查本单位事故隐患排查治理工作，及时消除事故隐患；</w:t>
      </w:r>
    </w:p>
    <w:p>
      <w:pPr>
        <w:spacing w:line="420" w:lineRule="exact"/>
        <w:ind w:firstLine="480" w:firstLineChars="200"/>
        <w:rPr>
          <w:rFonts w:hint="eastAsia" w:ascii="STKaiti" w:hAnsi="STKaiti" w:eastAsia="STKaiti"/>
          <w:sz w:val="24"/>
          <w:szCs w:val="24"/>
        </w:rPr>
      </w:pPr>
      <w:r>
        <w:rPr>
          <w:rFonts w:hint="eastAsia" w:ascii="STKaiti" w:hAnsi="STKaiti" w:eastAsia="STKaiti" w:cs="STKaiti"/>
          <w:sz w:val="24"/>
          <w:szCs w:val="24"/>
        </w:rPr>
        <w:t>（三）保证事故隐患排查治理投入的有效实施。</w:t>
      </w:r>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《北京市生产安全事故隐患排查治理办法》第二十六条规定：</w:t>
      </w:r>
    </w:p>
    <w:p>
      <w:pPr>
        <w:spacing w:line="420" w:lineRule="exact"/>
        <w:ind w:firstLine="480" w:firstLineChars="200"/>
        <w:rPr>
          <w:rFonts w:hint="eastAsia" w:ascii="STKaiti" w:hAnsi="STKaiti" w:eastAsia="STKaiti" w:cs="STKaiti"/>
          <w:sz w:val="24"/>
          <w:szCs w:val="24"/>
        </w:rPr>
      </w:pPr>
      <w:r>
        <w:rPr>
          <w:rFonts w:hint="eastAsia" w:ascii="STKaiti" w:hAnsi="STKaiti" w:eastAsia="STKaiti" w:cs="STKaiti"/>
          <w:sz w:val="24"/>
          <w:szCs w:val="24"/>
        </w:rPr>
        <w:t>生产经营单位的主要负责人未履行本办法第七条规定的事故隐患排查治理职责的，责令限期改正；逾期未改正的，处2万元以上5万元以下罚款。</w:t>
      </w:r>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B</w:t>
      </w:r>
      <w:r>
        <w:rPr>
          <w:rFonts w:hint="eastAsia" w:ascii="宋体" w:hAnsi="宋体" w:cs="宋体"/>
          <w:sz w:val="24"/>
          <w:szCs w:val="24"/>
        </w:rPr>
        <w:t>档，按照以下裁量阶次处以罚款：</w:t>
      </w:r>
    </w:p>
    <w:p>
      <w:pPr>
        <w:spacing w:line="420" w:lineRule="exact"/>
        <w:ind w:firstLine="470" w:firstLineChars="196"/>
        <w:rPr>
          <w:rFonts w:ascii="宋体"/>
          <w:sz w:val="24"/>
          <w:szCs w:val="24"/>
        </w:rPr>
      </w:pPr>
      <w:r>
        <w:rPr>
          <w:rFonts w:ascii="宋体" w:hAnsi="宋体" w:cs="宋体"/>
          <w:sz w:val="24"/>
          <w:szCs w:val="24"/>
        </w:rPr>
        <w:t>1.</w:t>
      </w:r>
      <w:r>
        <w:rPr>
          <w:rFonts w:hint="eastAsia" w:ascii="宋体" w:hAnsi="宋体" w:cs="宋体"/>
          <w:sz w:val="24"/>
          <w:szCs w:val="24"/>
        </w:rPr>
        <w:t>生产经营单位的主要负责人未履行北京市生产安全事故隐患排查治理办法第七条规定的事故隐患排查治理职责中任一项职责的，经责令限期改正，逾期未改的，对主要负责人处2万元以上3万元以下的罚款；</w:t>
      </w:r>
    </w:p>
    <w:p>
      <w:pPr>
        <w:spacing w:line="420" w:lineRule="exact"/>
        <w:ind w:firstLine="470" w:firstLineChars="19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生产经营单位的主要负责人未履行北京市生产安全事故隐患排查治理办法第七条规定的事故隐患排查治理职责中任两项职责的，对主要负责人处3万元以上4万元以下的罚款；</w:t>
      </w:r>
    </w:p>
    <w:p>
      <w:pPr>
        <w:spacing w:line="420" w:lineRule="exact"/>
        <w:ind w:firstLine="470" w:firstLineChars="196"/>
        <w:rPr>
          <w:rFonts w:ascii="宋体"/>
          <w:sz w:val="24"/>
          <w:szCs w:val="24"/>
        </w:rPr>
      </w:pPr>
      <w:r>
        <w:rPr>
          <w:rFonts w:hint="eastAsia" w:ascii="宋体" w:hAnsi="宋体" w:cs="宋体"/>
          <w:sz w:val="24"/>
          <w:szCs w:val="24"/>
        </w:rPr>
        <w:t>3.生产经营单位的主要负责人未履行北京市生产安全事故隐患排查治理办法第七条规定的事故隐患排查治理职责中全部职责的，对主要负责人处4万元以上5万元以下的罚款。</w:t>
      </w:r>
    </w:p>
    <w:p>
      <w:pPr>
        <w:spacing w:line="420" w:lineRule="exact"/>
        <w:ind w:firstLine="470" w:firstLineChars="196"/>
        <w:rPr>
          <w:rFonts w:hint="eastAsia" w:ascii="黑体" w:hAnsi="黑体" w:eastAsia="黑体" w:cs="宋体"/>
          <w:sz w:val="24"/>
          <w:szCs w:val="24"/>
        </w:rPr>
      </w:pPr>
      <w:r>
        <w:rPr>
          <w:rFonts w:hint="eastAsia" w:ascii="黑体" w:hAnsi="黑体" w:eastAsia="黑体" w:cs="宋体"/>
          <w:sz w:val="24"/>
          <w:szCs w:val="24"/>
        </w:rPr>
        <w:t>（二）违法行为：生产经营单位未定期通报事故隐患排查治理情况，或者未公示重大事故隐患的危害程度、影响范围和应急措施的。</w:t>
      </w:r>
    </w:p>
    <w:p>
      <w:pPr>
        <w:spacing w:line="420" w:lineRule="exact"/>
        <w:ind w:firstLine="480" w:firstLineChars="200"/>
        <w:rPr>
          <w:rFonts w:hint="eastAsia"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《北京市生产安全事故隐患排查治理办法》第十一条规定：</w:t>
      </w:r>
    </w:p>
    <w:p>
      <w:pPr>
        <w:spacing w:line="420" w:lineRule="exact"/>
        <w:ind w:firstLine="480" w:firstLineChars="200"/>
        <w:rPr>
          <w:rFonts w:hint="eastAsia" w:ascii="STKaiti" w:hAnsi="STKaiti" w:eastAsia="STKaiti"/>
          <w:sz w:val="24"/>
          <w:szCs w:val="24"/>
        </w:rPr>
      </w:pPr>
      <w:bookmarkStart w:id="13" w:name="_Toc53175460"/>
      <w:bookmarkStart w:id="14" w:name="_Toc53174835"/>
      <w:r>
        <w:rPr>
          <w:rFonts w:hint="eastAsia" w:ascii="STKaiti" w:hAnsi="STKaiti" w:eastAsia="STKaiti"/>
          <w:sz w:val="24"/>
          <w:szCs w:val="24"/>
        </w:rPr>
        <w:t>生产经营单位应当每月向从业人员通报事故隐患排查治理情况。</w:t>
      </w:r>
      <w:bookmarkEnd w:id="13"/>
      <w:bookmarkEnd w:id="14"/>
    </w:p>
    <w:p>
      <w:pPr>
        <w:spacing w:line="420" w:lineRule="exact"/>
        <w:ind w:firstLine="480" w:firstLineChars="200"/>
        <w:rPr>
          <w:rFonts w:hint="eastAsia" w:ascii="STKaiti" w:hAnsi="STKaiti" w:eastAsia="STKaiti"/>
          <w:sz w:val="24"/>
          <w:szCs w:val="24"/>
        </w:rPr>
      </w:pPr>
      <w:bookmarkStart w:id="15" w:name="_Toc53174836"/>
      <w:bookmarkStart w:id="16" w:name="_Toc53175461"/>
      <w:r>
        <w:rPr>
          <w:rFonts w:hint="eastAsia" w:ascii="STKaiti" w:hAnsi="STKaiti" w:eastAsia="STKaiti"/>
          <w:sz w:val="24"/>
          <w:szCs w:val="24"/>
        </w:rPr>
        <w:t>重大事故隐患消除前，生产经营单位应当向从业人员公示事故隐患的危害程度、影响范围和应急措施。</w:t>
      </w:r>
      <w:bookmarkEnd w:id="15"/>
      <w:bookmarkEnd w:id="16"/>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《北京市生产安全事故隐患排查治理办法》第二十八条规定：</w:t>
      </w:r>
    </w:p>
    <w:p>
      <w:pPr>
        <w:spacing w:line="420" w:lineRule="exact"/>
        <w:ind w:firstLine="480" w:firstLineChars="200"/>
        <w:rPr>
          <w:rFonts w:hint="eastAsia" w:ascii="STKaiti" w:hAnsi="STKaiti" w:eastAsia="STKaiti"/>
          <w:sz w:val="24"/>
          <w:szCs w:val="24"/>
        </w:rPr>
      </w:pPr>
      <w:bookmarkStart w:id="17" w:name="_Toc53174837"/>
      <w:bookmarkStart w:id="18" w:name="_Toc53175462"/>
      <w:r>
        <w:rPr>
          <w:rFonts w:hint="eastAsia" w:ascii="STKaiti" w:hAnsi="STKaiti" w:eastAsia="STKaiti"/>
          <w:sz w:val="24"/>
          <w:szCs w:val="24"/>
        </w:rPr>
        <w:t>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bookmarkEnd w:id="17"/>
      <w:bookmarkEnd w:id="18"/>
    </w:p>
    <w:p>
      <w:pPr>
        <w:spacing w:line="420" w:lineRule="exact"/>
        <w:ind w:firstLine="480" w:firstLineChars="200"/>
        <w:rPr>
          <w:rFonts w:ascii="宋体"/>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违反前款规定的违法行为，属于基础裁量A档，按照以下裁量阶次处以罚款：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1.生产经营单位未定期通报事故隐患排查治理情况累计3个月以下的，或者未公示重大事故隐患的危害程度、影响范围和应急措施中的任一项的，责令限期改正，可以处2万元以下罚款；逾期未改正的，责令停产停业整顿，并处5万元以上7万元以下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2.生产经营单位未定期通报事故隐患排查治理情况累计3个月以上6个月以下的，或者未公示重大事故隐患的危害程度、影响范围和应急措施中的任两项的，责令限期改正，可以处2万元以上4万元以下罚款；逾期未改正的，责令停产停业整顿，并处7万元以上9万元以下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3.生产经营单位未定期通报事故隐患排查治理情况累计6个月以上的，或者重大事故隐患的危害程度、影响范围和应急措施均未公示的，责令限期改正，可以处4万元以上5万元以下罚款；逾期未改正的，责令停产停业整顿，并处9万元以上10万元以下罚款。</w:t>
      </w:r>
    </w:p>
    <w:p>
      <w:pPr>
        <w:spacing w:line="420" w:lineRule="exact"/>
        <w:ind w:firstLine="480" w:firstLineChars="200"/>
        <w:rPr>
          <w:rFonts w:hint="eastAsia" w:ascii="黑体" w:hAnsi="黑体" w:eastAsia="黑体" w:cs="宋体"/>
          <w:sz w:val="24"/>
          <w:szCs w:val="24"/>
        </w:rPr>
      </w:pPr>
      <w:r>
        <w:rPr>
          <w:rFonts w:hint="eastAsia" w:ascii="黑体" w:hAnsi="黑体" w:eastAsia="黑体" w:cs="宋体"/>
          <w:sz w:val="24"/>
          <w:szCs w:val="24"/>
        </w:rPr>
        <w:t>（三）违法行为：生产经营单位未将无法及时消除并可能危及公共安全的事故隐患向所在地负有安全生产监督管理职责的部门报告的。</w:t>
      </w:r>
    </w:p>
    <w:p>
      <w:pPr>
        <w:spacing w:line="420" w:lineRule="exact"/>
        <w:ind w:firstLine="480" w:firstLineChars="200"/>
        <w:rPr>
          <w:rFonts w:hint="eastAsia" w:ascii="宋体" w:hAnsi="宋体" w:cs="宋体"/>
          <w:sz w:val="24"/>
          <w:szCs w:val="24"/>
        </w:rPr>
      </w:pPr>
      <w:r>
        <w:rPr>
          <w:rFonts w:hint="eastAsia" w:ascii="宋体" w:hAnsi="宋体" w:eastAsia="黑体" w:cs="宋体"/>
          <w:sz w:val="24"/>
          <w:szCs w:val="24"/>
        </w:rPr>
        <w:t>【违法依据】</w:t>
      </w:r>
      <w:r>
        <w:rPr>
          <w:rFonts w:hint="eastAsia" w:ascii="宋体" w:hAnsi="宋体" w:cs="宋体"/>
          <w:sz w:val="24"/>
          <w:szCs w:val="24"/>
        </w:rPr>
        <w:t>《</w:t>
      </w:r>
      <w:bookmarkStart w:id="19" w:name="_Hlk204845117"/>
      <w:r>
        <w:rPr>
          <w:rFonts w:hint="eastAsia" w:ascii="宋体" w:hAnsi="宋体" w:cs="宋体"/>
          <w:sz w:val="24"/>
          <w:szCs w:val="24"/>
        </w:rPr>
        <w:t>北京市生产安全事故隐患排查治理办法</w:t>
      </w:r>
      <w:bookmarkEnd w:id="19"/>
      <w:r>
        <w:rPr>
          <w:rFonts w:hint="eastAsia" w:ascii="宋体" w:hAnsi="宋体" w:cs="宋体"/>
          <w:sz w:val="24"/>
          <w:szCs w:val="24"/>
        </w:rPr>
        <w:t>》第十二条第一款第一项规定：</w:t>
      </w:r>
    </w:p>
    <w:p>
      <w:pPr>
        <w:spacing w:line="420" w:lineRule="exact"/>
        <w:ind w:firstLine="480" w:firstLineChars="200"/>
        <w:rPr>
          <w:rFonts w:hint="eastAsia" w:ascii="STKaiti" w:hAnsi="STKaiti" w:eastAsia="STKaiti"/>
          <w:sz w:val="24"/>
          <w:szCs w:val="24"/>
        </w:rPr>
      </w:pPr>
      <w:bookmarkStart w:id="20" w:name="_Toc53174838"/>
      <w:bookmarkStart w:id="21" w:name="_Toc53175463"/>
      <w:r>
        <w:rPr>
          <w:rFonts w:hint="eastAsia" w:ascii="STKaiti" w:hAnsi="STKaiti" w:eastAsia="STKaiti"/>
          <w:sz w:val="24"/>
          <w:szCs w:val="24"/>
        </w:rPr>
        <w:t>有下列情况之一的，生产经营单位应当及时向所在地负有安全生产监督管理职责的部门报告：</w:t>
      </w:r>
      <w:bookmarkEnd w:id="20"/>
      <w:bookmarkEnd w:id="21"/>
    </w:p>
    <w:p>
      <w:pPr>
        <w:spacing w:line="420" w:lineRule="exact"/>
        <w:ind w:firstLine="480" w:firstLineChars="200"/>
        <w:rPr>
          <w:rFonts w:hint="eastAsia" w:ascii="黑体" w:hAnsi="黑体" w:eastAsia="黑体"/>
          <w:sz w:val="24"/>
          <w:szCs w:val="24"/>
        </w:rPr>
      </w:pPr>
      <w:bookmarkStart w:id="22" w:name="_Toc53174839"/>
      <w:bookmarkStart w:id="23" w:name="_Toc53175464"/>
      <w:r>
        <w:rPr>
          <w:rFonts w:hint="eastAsia" w:ascii="STKaiti" w:hAnsi="STKaiti" w:eastAsia="STKaiti"/>
          <w:sz w:val="24"/>
          <w:szCs w:val="24"/>
        </w:rPr>
        <w:t>（一）事故隐患无法及时消除并可能危及公共安全的；……</w:t>
      </w:r>
      <w:bookmarkEnd w:id="22"/>
      <w:bookmarkEnd w:id="23"/>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《北京市生产安全事故隐患排查治理办法》第二十九条规定：</w:t>
      </w:r>
    </w:p>
    <w:p>
      <w:pPr>
        <w:spacing w:line="420" w:lineRule="exact"/>
        <w:ind w:firstLine="480" w:firstLineChars="200"/>
        <w:rPr>
          <w:rFonts w:hint="eastAsia" w:ascii="STKaiti" w:hAnsi="STKaiti" w:eastAsia="STKaiti"/>
          <w:sz w:val="24"/>
          <w:szCs w:val="24"/>
        </w:rPr>
      </w:pPr>
      <w:bookmarkStart w:id="24" w:name="_Toc53174840"/>
      <w:bookmarkStart w:id="25" w:name="_Toc53175465"/>
      <w:r>
        <w:rPr>
          <w:rFonts w:hint="eastAsia" w:ascii="STKaiti" w:hAnsi="STKaiti" w:eastAsia="STKaiti"/>
          <w:sz w:val="24"/>
          <w:szCs w:val="24"/>
        </w:rPr>
        <w:t>违反本办法第十二条第一款第一项规定，生产经营单位未将无法及时消除并可能危及公共安全的事故隐患，向所在地负有安全生产监督管理职责的部门报告的，处5万元以下罚款。</w:t>
      </w:r>
      <w:bookmarkEnd w:id="24"/>
      <w:bookmarkEnd w:id="25"/>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w:t>
      </w:r>
      <w:r>
        <w:rPr>
          <w:rFonts w:ascii="宋体" w:hAnsi="宋体" w:cs="宋体"/>
          <w:sz w:val="24"/>
          <w:szCs w:val="24"/>
        </w:rPr>
        <w:t>B</w:t>
      </w:r>
      <w:r>
        <w:rPr>
          <w:rFonts w:hint="eastAsia" w:ascii="宋体" w:hAnsi="宋体" w:cs="宋体"/>
          <w:sz w:val="24"/>
          <w:szCs w:val="24"/>
        </w:rPr>
        <w:t>档，按照以下裁量阶次处以罚款：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1.从业人员在50人以下的生产经营单位未将无法及时消除并可能危及公共安全的事故隐患，向所在地负有安全生产监督管理职责的部门报告的，处</w:t>
      </w:r>
      <w:r>
        <w:rPr>
          <w:rFonts w:ascii="宋体" w:hAnsi="宋体" w:cs="宋体"/>
          <w:sz w:val="24"/>
          <w:szCs w:val="24"/>
        </w:rPr>
        <w:t>2</w:t>
      </w:r>
      <w:r>
        <w:rPr>
          <w:rFonts w:hint="eastAsia" w:ascii="宋体" w:hAnsi="宋体" w:cs="宋体"/>
          <w:sz w:val="24"/>
          <w:szCs w:val="24"/>
        </w:rPr>
        <w:t>万元以下的罚款；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2.从业人员在50人以上100人以下的生产经营单位未将无法及时消除并可能危及公共安全的事故隐患，向所在地负有安全生产监督管理职责的部门报告的，处</w:t>
      </w:r>
      <w:r>
        <w:rPr>
          <w:rFonts w:ascii="宋体" w:hAnsi="宋体" w:cs="宋体"/>
          <w:sz w:val="24"/>
          <w:szCs w:val="24"/>
        </w:rPr>
        <w:t>2</w:t>
      </w:r>
      <w:r>
        <w:rPr>
          <w:rFonts w:hint="eastAsia" w:ascii="宋体" w:hAnsi="宋体" w:cs="宋体"/>
          <w:sz w:val="24"/>
          <w:szCs w:val="24"/>
        </w:rPr>
        <w:t>万元以上4万元以下的罚款；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3.从业人员在100人以上的生产经营单位未将无法及时消除并可能危及公共安全的事故隐患，向所在地负有安全生产监督管理职责的部门报告的，处4万元以上5万元以下的罚款。</w:t>
      </w:r>
    </w:p>
    <w:p>
      <w:pPr>
        <w:spacing w:line="420" w:lineRule="exact"/>
        <w:ind w:firstLine="480" w:firstLineChars="200"/>
        <w:rPr>
          <w:rFonts w:hint="eastAsia" w:ascii="黑体" w:hAnsi="黑体" w:eastAsia="黑体" w:cs="宋体"/>
          <w:sz w:val="24"/>
          <w:szCs w:val="24"/>
        </w:rPr>
      </w:pPr>
      <w:r>
        <w:rPr>
          <w:rFonts w:hint="eastAsia" w:ascii="黑体" w:hAnsi="黑体" w:eastAsia="黑体" w:cs="宋体"/>
          <w:sz w:val="24"/>
          <w:szCs w:val="24"/>
        </w:rPr>
        <w:t>（四）违法行为：生产经营单位未按照要求使用生产安全事故隐患排查治理信息系统，如实记录隐患排查治理情况的。</w:t>
      </w:r>
    </w:p>
    <w:p>
      <w:pPr>
        <w:spacing w:line="420" w:lineRule="exact"/>
        <w:ind w:firstLine="480" w:firstLineChars="200"/>
        <w:rPr>
          <w:rFonts w:hint="eastAsia" w:ascii="宋体" w:hAnsi="宋体" w:cs="宋体"/>
          <w:sz w:val="24"/>
          <w:szCs w:val="24"/>
        </w:rPr>
      </w:pPr>
      <w:r>
        <w:rPr>
          <w:rFonts w:hint="eastAsia" w:ascii="黑体" w:hAnsi="黑体" w:eastAsia="黑体"/>
          <w:sz w:val="24"/>
          <w:szCs w:val="24"/>
        </w:rPr>
        <w:t>【违法依据】</w:t>
      </w:r>
      <w:r>
        <w:rPr>
          <w:rFonts w:hint="eastAsia" w:ascii="宋体" w:hAnsi="宋体" w:cs="宋体"/>
          <w:sz w:val="24"/>
          <w:szCs w:val="24"/>
        </w:rPr>
        <w:t>《北京市生产安全事故隐患排查治理办法》第十六条规定：</w:t>
      </w:r>
    </w:p>
    <w:p>
      <w:pPr>
        <w:spacing w:line="420" w:lineRule="exact"/>
        <w:ind w:firstLine="480" w:firstLineChars="200"/>
        <w:rPr>
          <w:rFonts w:hint="eastAsia" w:ascii="STKaiti" w:hAnsi="STKaiti" w:eastAsia="STKaiti"/>
          <w:sz w:val="24"/>
          <w:szCs w:val="24"/>
        </w:rPr>
      </w:pPr>
      <w:bookmarkStart w:id="26" w:name="_Toc53174841"/>
      <w:bookmarkStart w:id="27" w:name="_Toc53175466"/>
      <w:r>
        <w:rPr>
          <w:rFonts w:hint="eastAsia" w:ascii="STKaiti" w:hAnsi="STKaiti" w:eastAsia="STKaiti"/>
          <w:sz w:val="24"/>
          <w:szCs w:val="24"/>
        </w:rPr>
        <w:t>生产经营单位应当按照要求使用生产安全事故隐患排查治理信息系统，如实记录事故隐患的排查时间、所属类型、所在位置、责任部门和责任人、治理措施及整改情况等内容。</w:t>
      </w:r>
      <w:bookmarkEnd w:id="26"/>
      <w:bookmarkEnd w:id="27"/>
    </w:p>
    <w:p>
      <w:pPr>
        <w:spacing w:line="420" w:lineRule="exact"/>
        <w:ind w:firstLine="480" w:firstLineChars="200"/>
        <w:rPr>
          <w:rFonts w:ascii="宋体"/>
          <w:sz w:val="24"/>
          <w:szCs w:val="24"/>
        </w:rPr>
      </w:pPr>
      <w:r>
        <w:rPr>
          <w:rFonts w:hint="eastAsia" w:ascii="黑体" w:hAnsi="黑体" w:eastAsia="黑体"/>
          <w:sz w:val="24"/>
          <w:szCs w:val="24"/>
        </w:rPr>
        <w:t>【处罚依据】</w:t>
      </w:r>
      <w:r>
        <w:rPr>
          <w:rFonts w:hint="eastAsia" w:ascii="宋体" w:hAnsi="宋体" w:cs="宋体"/>
          <w:sz w:val="24"/>
          <w:szCs w:val="24"/>
        </w:rPr>
        <w:t>《北京市生产安全事故隐患排查治理办法》第三十条规定：</w:t>
      </w:r>
    </w:p>
    <w:p>
      <w:pPr>
        <w:spacing w:line="420" w:lineRule="exact"/>
        <w:ind w:firstLine="480" w:firstLineChars="200"/>
        <w:rPr>
          <w:rFonts w:hint="eastAsia" w:ascii="STKaiti" w:hAnsi="STKaiti" w:eastAsia="STKaiti"/>
          <w:sz w:val="24"/>
          <w:szCs w:val="24"/>
        </w:rPr>
      </w:pPr>
      <w:bookmarkStart w:id="28" w:name="_Toc53175467"/>
      <w:bookmarkStart w:id="29" w:name="_Toc53174842"/>
      <w:r>
        <w:rPr>
          <w:rFonts w:hint="eastAsia" w:ascii="STKaiti" w:hAnsi="STKaiti" w:eastAsia="STKaiti"/>
          <w:sz w:val="24"/>
          <w:szCs w:val="24"/>
        </w:rPr>
        <w:t>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bookmarkEnd w:id="28"/>
      <w:bookmarkEnd w:id="29"/>
    </w:p>
    <w:p>
      <w:pPr>
        <w:spacing w:line="420" w:lineRule="exact"/>
        <w:ind w:firstLine="480" w:firstLineChars="200"/>
        <w:rPr>
          <w:rFonts w:ascii="宋体"/>
          <w:b/>
          <w:bCs/>
          <w:sz w:val="24"/>
          <w:szCs w:val="24"/>
        </w:rPr>
      </w:pPr>
      <w:r>
        <w:rPr>
          <w:rFonts w:hint="eastAsia" w:ascii="黑体" w:hAnsi="黑体" w:eastAsia="黑体"/>
          <w:sz w:val="24"/>
          <w:szCs w:val="24"/>
        </w:rPr>
        <w:t>【裁量阶次】</w:t>
      </w:r>
      <w:r>
        <w:rPr>
          <w:rFonts w:hint="eastAsia" w:ascii="宋体" w:hAnsi="宋体" w:cs="宋体"/>
          <w:sz w:val="24"/>
          <w:szCs w:val="24"/>
        </w:rPr>
        <w:t>违反前款规定的违法行为，属于基础裁量A档，按照以下裁量阶次处以罚款：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1.从业人员在50人以下的生产经营单位未按照要求使用生产安全事故隐患排查治理信息系统，如实记录隐患排查治理情况的，处</w:t>
      </w:r>
      <w:r>
        <w:rPr>
          <w:rFonts w:ascii="宋体" w:hAnsi="宋体" w:cs="宋体"/>
          <w:sz w:val="24"/>
          <w:szCs w:val="24"/>
        </w:rPr>
        <w:t>2</w:t>
      </w:r>
      <w:r>
        <w:rPr>
          <w:rFonts w:hint="eastAsia" w:ascii="宋体" w:hAnsi="宋体" w:cs="宋体"/>
          <w:sz w:val="24"/>
          <w:szCs w:val="24"/>
        </w:rPr>
        <w:t>万元以下的罚款；逾期未改正的，处5万元以上7万元以下的罚款；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2.从业人员在50人以上100人以下的生产经营单位未按照要求使用生产安全事故隐患排查治理信息系统，如实记录隐患排查治理情况的，处</w:t>
      </w:r>
      <w:r>
        <w:rPr>
          <w:rFonts w:ascii="宋体" w:hAnsi="宋体" w:cs="宋体"/>
          <w:sz w:val="24"/>
          <w:szCs w:val="24"/>
        </w:rPr>
        <w:t>2</w:t>
      </w:r>
      <w:r>
        <w:rPr>
          <w:rFonts w:hint="eastAsia" w:ascii="宋体" w:hAnsi="宋体" w:cs="宋体"/>
          <w:sz w:val="24"/>
          <w:szCs w:val="24"/>
        </w:rPr>
        <w:t>万元以上4万元以下的罚款；逾期未改正的，处7万元以上9万元以下的罚款；</w:t>
      </w:r>
    </w:p>
    <w:p>
      <w:pPr>
        <w:spacing w:line="420" w:lineRule="exact"/>
        <w:ind w:firstLine="470" w:firstLineChars="196"/>
        <w:rPr>
          <w:rFonts w:hint="eastAsia" w:ascii="宋体" w:hAnsi="宋体" w:cs="宋体"/>
          <w:sz w:val="24"/>
          <w:szCs w:val="24"/>
        </w:rPr>
      </w:pPr>
      <w:r>
        <w:rPr>
          <w:rFonts w:hint="eastAsia" w:ascii="宋体" w:hAnsi="宋体" w:cs="宋体"/>
          <w:sz w:val="24"/>
          <w:szCs w:val="24"/>
        </w:rPr>
        <w:t>3.从业人员在100人以上的生产经营单位未按照要求使用生产安全事故隐患排查治理信息系统，如实记录隐患排查治理情况的，处4万元以上5万元以下的罚款；逾期未改正的，处9万元以上10万元以下的罚款。</w:t>
      </w:r>
    </w:p>
    <w:p>
      <w:pPr>
        <w:spacing w:line="420" w:lineRule="exact"/>
        <w:ind w:firstLine="470" w:firstLineChars="196"/>
        <w:rPr>
          <w:rFonts w:hint="eastAsia" w:ascii="宋体" w:hAnsi="宋体" w:cs="宋体"/>
          <w:sz w:val="24"/>
          <w:szCs w:val="24"/>
        </w:rPr>
      </w:pPr>
    </w:p>
    <w:p>
      <w:pPr>
        <w:spacing w:after="156" w:line="420" w:lineRule="exact"/>
        <w:jc w:val="center"/>
        <w:outlineLvl w:val="2"/>
        <w:rPr>
          <w:rFonts w:hint="eastAsia" w:ascii="黑体" w:hAnsi="黑体" w:eastAsia="黑体" w:cs="宋体"/>
          <w:sz w:val="30"/>
          <w:szCs w:val="30"/>
        </w:rPr>
      </w:pPr>
      <w:bookmarkStart w:id="30" w:name="_Toc53175468"/>
      <w:bookmarkStart w:id="31" w:name="_Toc204864562"/>
      <w:r>
        <w:rPr>
          <w:rFonts w:hint="eastAsia" w:ascii="黑体" w:hAnsi="黑体" w:eastAsia="黑体" w:cs="宋体"/>
          <w:sz w:val="30"/>
          <w:szCs w:val="30"/>
        </w:rPr>
        <w:t>五、《北京市生产经营单位安全生产主体责任规定》</w:t>
      </w:r>
      <w:bookmarkEnd w:id="30"/>
      <w:bookmarkStart w:id="32" w:name="_Toc53175469"/>
      <w:r>
        <w:rPr>
          <w:rFonts w:ascii="黑体" w:hAnsi="黑体" w:eastAsia="黑体" w:cs="宋体"/>
          <w:sz w:val="30"/>
          <w:szCs w:val="30"/>
        </w:rPr>
        <w:br w:type="textWrapping"/>
      </w:r>
      <w:r>
        <w:rPr>
          <w:rFonts w:hint="eastAsia" w:ascii="黑体" w:hAnsi="黑体" w:eastAsia="黑体" w:cs="宋体"/>
          <w:sz w:val="30"/>
          <w:szCs w:val="30"/>
        </w:rPr>
        <w:t>相关规定裁量权基准</w:t>
      </w:r>
      <w:bookmarkEnd w:id="31"/>
      <w:bookmarkEnd w:id="32"/>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（一）违法行为：生产经营单位的主要负责人未履行本规定第四条规定的安全生产管理职责拒不改正的。</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《北京市生产经营单位安全生产主体责任规定》第四条第五项、第七项规定：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生产经营单位的主要负责人对本单位的安全生产工作全面负责，履行下列职责：……（五）每季度至少研究一次安全生产工作；……（七）每年向职工代表大会或者职工大会报告安全生产工作情况；依法不需要建立职工代表大会或者职工大会的小型或者微型企业等规模较小的生产经营单位，应当每年向从业人员通报安全生产工作情况；……。</w:t>
      </w:r>
    </w:p>
    <w:p>
      <w:pPr>
        <w:spacing w:line="420" w:lineRule="exact"/>
        <w:ind w:firstLine="480" w:firstLineChars="200"/>
        <w:rPr>
          <w:rFonts w:hint="eastAsia" w:ascii="宋体" w:hAnsi="宋体"/>
          <w:sz w:val="24"/>
          <w:szCs w:val="24"/>
        </w:rPr>
      </w:pPr>
      <w:r>
        <w:rPr>
          <w:rFonts w:hint="eastAsia"/>
          <w:sz w:val="24"/>
          <w:szCs w:val="24"/>
        </w:rPr>
        <w:t>【</w:t>
      </w:r>
      <w:r>
        <w:rPr>
          <w:rFonts w:hint="eastAsia" w:ascii="黑体" w:hAnsi="黑体" w:eastAsia="黑体"/>
          <w:sz w:val="24"/>
          <w:szCs w:val="24"/>
        </w:rPr>
        <w:t>处罚依据】</w:t>
      </w:r>
      <w:r>
        <w:rPr>
          <w:rFonts w:hint="eastAsia" w:ascii="宋体" w:hAnsi="宋体"/>
          <w:sz w:val="24"/>
          <w:szCs w:val="24"/>
        </w:rPr>
        <w:t>《北京市生产经营单位安全生产主体责任规定》第三十四条第一款、第三款规定：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生产经营单位的主要负责人未履行本规定第四条规定的安全生产管理职责，或者未组织制定本规定第七条规定所列安全生产规章制度之一的，由负有安全生产监督管理职责的部门责令改正；拒不改正的，责令停产停业整顿，并处2万元以上5万元以下罚款。</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生产经营单位的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w:t>
      </w:r>
    </w:p>
    <w:p>
      <w:pPr>
        <w:pStyle w:val="8"/>
        <w:spacing w:line="420" w:lineRule="exact"/>
        <w:ind w:firstLine="480" w:firstLineChars="200"/>
        <w:rPr>
          <w:rFonts w:hint="eastAsia"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w:t>
      </w:r>
      <w:r>
        <w:rPr>
          <w:rFonts w:hAnsi="宋体" w:cs="宋体"/>
          <w:sz w:val="24"/>
          <w:szCs w:val="24"/>
        </w:rPr>
        <w:t>A</w:t>
      </w:r>
      <w:r>
        <w:rPr>
          <w:rFonts w:hint="eastAsia" w:hAnsi="宋体" w:cs="宋体"/>
          <w:sz w:val="24"/>
          <w:szCs w:val="24"/>
        </w:rPr>
        <w:t>档，按照以下裁量阶次处以罚款：</w:t>
      </w:r>
    </w:p>
    <w:p>
      <w:pPr>
        <w:pStyle w:val="8"/>
        <w:spacing w:line="420" w:lineRule="exact"/>
        <w:rPr>
          <w:rFonts w:hint="eastAsia" w:hAnsi="宋体" w:cs="宋体"/>
          <w:sz w:val="24"/>
          <w:szCs w:val="24"/>
        </w:rPr>
      </w:pPr>
      <w:r>
        <w:rPr>
          <w:rFonts w:hint="eastAsia" w:hAnsi="宋体" w:cs="宋体"/>
          <w:sz w:val="24"/>
          <w:szCs w:val="24"/>
        </w:rPr>
        <w:t xml:space="preserve">    1.违反第五项、第七项中任一项职责的，并处2万元以上3万元以下的罚款；</w:t>
      </w:r>
    </w:p>
    <w:p>
      <w:pPr>
        <w:pStyle w:val="8"/>
        <w:spacing w:line="420" w:lineRule="exact"/>
        <w:rPr>
          <w:rFonts w:hint="eastAsia" w:hAnsi="宋体" w:cs="宋体"/>
          <w:sz w:val="24"/>
          <w:szCs w:val="24"/>
        </w:rPr>
      </w:pPr>
      <w:r>
        <w:rPr>
          <w:rFonts w:hint="eastAsia" w:hAnsi="宋体" w:cs="宋体"/>
          <w:sz w:val="24"/>
          <w:szCs w:val="24"/>
        </w:rPr>
        <w:t xml:space="preserve">    2.同时违反第五项、第七项两项职责的，并处3万元以上</w:t>
      </w:r>
      <w:r>
        <w:rPr>
          <w:rFonts w:hAnsi="宋体" w:cs="宋体"/>
          <w:sz w:val="24"/>
          <w:szCs w:val="24"/>
        </w:rPr>
        <w:t>5</w:t>
      </w:r>
      <w:r>
        <w:rPr>
          <w:rFonts w:hint="eastAsia" w:hAnsi="宋体" w:cs="宋体"/>
          <w:sz w:val="24"/>
          <w:szCs w:val="24"/>
        </w:rPr>
        <w:t>万元以下的罚款。</w:t>
      </w:r>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（二）违法行为：矿山、金属冶炼、危险物品的生产经营单位未按照规定配备注册安全工程师的。</w:t>
      </w:r>
    </w:p>
    <w:p>
      <w:pPr>
        <w:spacing w:line="420" w:lineRule="exact"/>
        <w:ind w:firstLine="480" w:firstLineChars="200"/>
        <w:rPr>
          <w:rFonts w:hint="eastAsia" w:ascii="宋体" w:hAnsi="宋体"/>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《北京市生产经营单位安全生产主体责任规定》第十四条第一款规定：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矿山、金属冶炼、危险物品的生产经营单位配备的安全生产管理人员中，具有相应类别的注册安全工程师的数量，不得少于安全生产管理人员总数的15%，且最低不得少于1人。</w:t>
      </w:r>
    </w:p>
    <w:p>
      <w:pPr>
        <w:spacing w:line="420" w:lineRule="exact"/>
        <w:ind w:firstLine="480" w:firstLineChars="200"/>
        <w:rPr>
          <w:rFonts w:hint="eastAsia" w:ascii="宋体" w:hAnsi="宋体"/>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《北京市生产经营单位安全生产主体责任规定》第三十七条规定：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违反本规定第十四条第一款规定，生产经营单位未按照规定配备注册安全工程师的，由负有安全生产监督管理职责的部门责令改正，可以处5000元以上2万元以下罚款。</w:t>
      </w:r>
    </w:p>
    <w:p>
      <w:pPr>
        <w:pStyle w:val="8"/>
        <w:spacing w:line="420" w:lineRule="exact"/>
        <w:ind w:firstLine="480" w:firstLineChars="200"/>
        <w:rPr>
          <w:rFonts w:hint="eastAsia"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违反前款规定的违法行为，属于基础裁量C档，按照以下裁量阶次处以罚款：</w:t>
      </w:r>
    </w:p>
    <w:p>
      <w:pPr>
        <w:pStyle w:val="8"/>
        <w:spacing w:line="420" w:lineRule="exact"/>
        <w:rPr>
          <w:rFonts w:hint="eastAsia" w:hAnsi="宋体" w:cs="宋体"/>
          <w:sz w:val="24"/>
          <w:szCs w:val="24"/>
        </w:rPr>
      </w:pPr>
      <w:r>
        <w:rPr>
          <w:rFonts w:hint="eastAsia" w:hAnsi="宋体" w:cs="宋体"/>
          <w:sz w:val="24"/>
          <w:szCs w:val="24"/>
        </w:rPr>
        <w:t xml:space="preserve">    1.从业人员在30人以下的矿山、金属冶炼、危险物品的生产经营单位违反本北京市生产经营单位安全生产主体责任规定第十四条第一款规定的，可以处5000元以上1万元以下的罚款；</w:t>
      </w:r>
    </w:p>
    <w:p>
      <w:pPr>
        <w:pStyle w:val="8"/>
        <w:spacing w:line="420" w:lineRule="exact"/>
        <w:rPr>
          <w:rFonts w:hint="eastAsia" w:hAnsi="宋体" w:cs="宋体"/>
          <w:sz w:val="24"/>
          <w:szCs w:val="24"/>
        </w:rPr>
      </w:pPr>
      <w:r>
        <w:rPr>
          <w:rFonts w:hint="eastAsia" w:hAnsi="宋体" w:cs="宋体"/>
          <w:sz w:val="24"/>
          <w:szCs w:val="24"/>
        </w:rPr>
        <w:t xml:space="preserve">    2.从业人员在30人以上100人以下的矿山、金属冶炼、危险物品的生产经营单位违反本北京市生产经营单位安全生产主体责任规定第十四条第一款规定的，可以处1万元以上1.5万元以下的罚款；</w:t>
      </w:r>
    </w:p>
    <w:p>
      <w:pPr>
        <w:spacing w:line="420" w:lineRule="exact"/>
        <w:ind w:firstLine="480" w:firstLineChars="200"/>
        <w:rPr>
          <w:rFonts w:hint="eastAsia" w:hAnsi="宋体" w:cs="宋体"/>
          <w:sz w:val="24"/>
          <w:szCs w:val="24"/>
        </w:rPr>
      </w:pPr>
      <w:r>
        <w:rPr>
          <w:rFonts w:hint="eastAsia" w:hAnsi="宋体" w:cs="宋体"/>
          <w:sz w:val="24"/>
          <w:szCs w:val="24"/>
        </w:rPr>
        <w:t>3.</w:t>
      </w:r>
      <w:r>
        <w:rPr>
          <w:rFonts w:hint="eastAsia" w:ascii="宋体" w:hAnsi="宋体" w:cs="宋体"/>
          <w:sz w:val="24"/>
          <w:szCs w:val="24"/>
        </w:rPr>
        <w:t>从业人员在100人以上的矿山、金属冶炼、危险物品的生产经营单位违反本北京市生产经营单位安全生产主体责任规定第十四条第一款规定的，可以处1.5元以上2万元以下的罚款</w:t>
      </w:r>
      <w:r>
        <w:rPr>
          <w:rFonts w:hint="eastAsia" w:hAnsi="宋体" w:cs="宋体"/>
          <w:sz w:val="24"/>
          <w:szCs w:val="24"/>
        </w:rPr>
        <w:t>。</w:t>
      </w:r>
    </w:p>
    <w:p>
      <w:pPr>
        <w:spacing w:line="420" w:lineRule="exact"/>
        <w:ind w:firstLine="480" w:firstLineChars="200"/>
        <w:rPr>
          <w:rFonts w:hint="eastAsia" w:ascii="黑体" w:hAnsi="黑体" w:eastAsia="黑体"/>
          <w:bCs/>
          <w:sz w:val="24"/>
          <w:szCs w:val="24"/>
        </w:rPr>
      </w:pPr>
      <w:bookmarkStart w:id="33" w:name="_Hlk167701139"/>
      <w:r>
        <w:rPr>
          <w:rFonts w:hint="eastAsia" w:ascii="黑体" w:hAnsi="黑体" w:eastAsia="黑体"/>
          <w:bCs/>
          <w:sz w:val="24"/>
          <w:szCs w:val="24"/>
        </w:rPr>
        <w:t>（三）违法行为：生产经营单位未履行安全生产资金投入责任，致使生产经营单位不具备安全生产条件，导致发生生产安全事故的。</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《北京市生产经营单位安全生产主体责任规定》第九条规定：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生产经营单位应当履行下列安全生产资金投入的责任：（一）保证具备安全生产条件所必需的资金投入；（二）安排用于配备劳动防护用品、进行安全生产教育和培训的经费；（三）有关生产经营单位应当按照国家规定提取和使用安全生产费用，专门用于改善安全生产条件。</w:t>
      </w:r>
    </w:p>
    <w:p>
      <w:pPr>
        <w:spacing w:line="420" w:lineRule="exact"/>
        <w:ind w:firstLine="480" w:firstLineChars="200"/>
        <w:rPr>
          <w:rFonts w:hint="eastAsia" w:ascii="宋体" w:hAnsi="宋体"/>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《北京市生产经营单位安全生产主体责任规定》第三十五条规定：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规定第九条规定，生产经营单位未履行安全生产资金投入责任，致使生产经营单位不具备安全生产条件的，由负有安全生产监督管理职责的部门责令改正，提供必需的资金；拒不改正的，责令停产停业整顿。</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有前款违法行为，导致发生生产安全事故的，对生产经营单位的主要负责人依法给予撤职处分，由负有安全生产监督管理职责的部门对个人经营的投资人处2万元以上20万元以下罚款；构成犯罪的，依法追究刑事责任。</w:t>
      </w:r>
    </w:p>
    <w:p>
      <w:pPr>
        <w:pStyle w:val="8"/>
        <w:spacing w:line="420" w:lineRule="exact"/>
        <w:ind w:firstLine="480" w:firstLineChars="200"/>
        <w:rPr>
          <w:rFonts w:hint="eastAsia" w:hAnsi="宋体" w:cs="宋体"/>
          <w:sz w:val="24"/>
          <w:szCs w:val="24"/>
        </w:rPr>
      </w:pPr>
      <w:r>
        <w:rPr>
          <w:rFonts w:hint="eastAsia" w:ascii="黑体" w:hAnsi="黑体" w:eastAsia="黑体"/>
          <w:sz w:val="24"/>
          <w:szCs w:val="24"/>
        </w:rPr>
        <w:t>【裁量阶次】</w:t>
      </w:r>
      <w:r>
        <w:rPr>
          <w:rFonts w:hint="eastAsia" w:hAnsi="宋体" w:cs="宋体"/>
          <w:sz w:val="24"/>
          <w:szCs w:val="24"/>
        </w:rPr>
        <w:t>违反前款规定导致发生生产安全事故的，属于基础裁量A档，对个人经营的投资人按以下裁量阶次处以罚款：</w:t>
      </w:r>
    </w:p>
    <w:p>
      <w:pPr>
        <w:pStyle w:val="8"/>
        <w:spacing w:line="420" w:lineRule="exact"/>
        <w:rPr>
          <w:rFonts w:hint="eastAsia" w:hAnsi="宋体" w:cs="宋体"/>
          <w:sz w:val="24"/>
          <w:szCs w:val="24"/>
        </w:rPr>
      </w:pPr>
      <w:r>
        <w:rPr>
          <w:rFonts w:hint="eastAsia" w:hAnsi="宋体" w:cs="宋体"/>
          <w:sz w:val="24"/>
          <w:szCs w:val="24"/>
        </w:rPr>
        <w:t xml:space="preserve">    1.发生一般事故的，处2万元以上5万元以下的罚款；</w:t>
      </w:r>
    </w:p>
    <w:p>
      <w:pPr>
        <w:pStyle w:val="8"/>
        <w:spacing w:line="420" w:lineRule="exact"/>
        <w:rPr>
          <w:rFonts w:hint="eastAsia" w:hAnsi="宋体" w:cs="宋体"/>
          <w:sz w:val="24"/>
          <w:szCs w:val="24"/>
        </w:rPr>
      </w:pPr>
      <w:r>
        <w:rPr>
          <w:rFonts w:hint="eastAsia" w:hAnsi="宋体" w:cs="宋体"/>
          <w:sz w:val="24"/>
          <w:szCs w:val="24"/>
        </w:rPr>
        <w:t xml:space="preserve">    2.发生较大事故的，处5万元以上10万元以下的罚款；</w:t>
      </w:r>
    </w:p>
    <w:p>
      <w:pPr>
        <w:pStyle w:val="8"/>
        <w:spacing w:line="420" w:lineRule="exact"/>
        <w:rPr>
          <w:rFonts w:hint="eastAsia" w:hAnsi="宋体" w:cs="宋体"/>
          <w:sz w:val="24"/>
          <w:szCs w:val="24"/>
        </w:rPr>
      </w:pPr>
      <w:r>
        <w:rPr>
          <w:rFonts w:hint="eastAsia" w:hAnsi="宋体" w:cs="宋体"/>
          <w:sz w:val="24"/>
          <w:szCs w:val="24"/>
        </w:rPr>
        <w:t xml:space="preserve">    3.发生重大事故的，处10万元以上15万元以下的罚款；</w:t>
      </w:r>
    </w:p>
    <w:p>
      <w:pPr>
        <w:spacing w:line="420" w:lineRule="exact"/>
        <w:ind w:firstLine="480" w:firstLineChars="200"/>
        <w:rPr>
          <w:rFonts w:hint="eastAsia" w:ascii="宋体" w:hAnsi="宋体"/>
          <w:b/>
          <w:sz w:val="24"/>
          <w:szCs w:val="24"/>
        </w:rPr>
      </w:pPr>
      <w:r>
        <w:rPr>
          <w:rFonts w:hint="eastAsia" w:hAnsi="宋体" w:cs="宋体"/>
          <w:sz w:val="24"/>
          <w:szCs w:val="24"/>
        </w:rPr>
        <w:t>4.发生特别重大事故的，处15万元以上20万元以下的罚款。</w:t>
      </w:r>
    </w:p>
    <w:bookmarkEnd w:id="33"/>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（四）违法行为：生产经营单位未建立或者健全安全生产教育和培训档案的。</w:t>
      </w:r>
    </w:p>
    <w:p>
      <w:pPr>
        <w:widowControl/>
        <w:spacing w:line="420" w:lineRule="exact"/>
        <w:ind w:firstLine="480" w:firstLineChars="200"/>
        <w:jc w:val="left"/>
        <w:textAlignment w:val="baseline"/>
        <w:rPr>
          <w:rFonts w:hint="eastAsia"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第十八条</w:t>
      </w:r>
      <w:r>
        <w:rPr>
          <w:rFonts w:hint="eastAsia" w:ascii="宋体" w:hAnsi="宋体"/>
          <w:sz w:val="24"/>
          <w:szCs w:val="24"/>
        </w:rPr>
        <w:t>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生产经营单位的安全生产教育和培训档案应当包括下列内容：</w:t>
      </w:r>
    </w:p>
    <w:p>
      <w:pPr>
        <w:widowControl/>
        <w:spacing w:line="420" w:lineRule="exact"/>
        <w:ind w:firstLine="240" w:firstLineChars="100"/>
        <w:jc w:val="left"/>
        <w:textAlignment w:val="baseline"/>
        <w:rPr>
          <w:rFonts w:hint="eastAsia" w:ascii="STKaiti" w:hAnsi="STKaiti" w:eastAsia="STKaiti"/>
          <w:sz w:val="24"/>
          <w:szCs w:val="24"/>
        </w:rPr>
      </w:pPr>
      <w:r>
        <w:rPr>
          <w:rFonts w:ascii="STKaiti" w:hAnsi="STKaiti" w:eastAsia="STKaiti"/>
          <w:sz w:val="24"/>
          <w:szCs w:val="24"/>
        </w:rPr>
        <w:t>（一）教育和培训的内容或者影像资料；</w:t>
      </w:r>
    </w:p>
    <w:p>
      <w:pPr>
        <w:widowControl/>
        <w:spacing w:line="420" w:lineRule="exact"/>
        <w:ind w:firstLine="240" w:firstLineChars="100"/>
        <w:jc w:val="left"/>
        <w:textAlignment w:val="baseline"/>
        <w:rPr>
          <w:rFonts w:hint="eastAsia" w:ascii="STKaiti" w:hAnsi="STKaiti" w:eastAsia="STKaiti"/>
          <w:sz w:val="24"/>
          <w:szCs w:val="24"/>
        </w:rPr>
      </w:pPr>
      <w:r>
        <w:rPr>
          <w:rFonts w:ascii="STKaiti" w:hAnsi="STKaiti" w:eastAsia="STKaiti"/>
          <w:sz w:val="24"/>
          <w:szCs w:val="24"/>
        </w:rPr>
        <w:t>（二）教育和培训的签到表和培训学时记录；</w:t>
      </w:r>
    </w:p>
    <w:p>
      <w:pPr>
        <w:widowControl/>
        <w:spacing w:line="420" w:lineRule="exact"/>
        <w:ind w:firstLine="240" w:firstLineChars="100"/>
        <w:jc w:val="left"/>
        <w:textAlignment w:val="baseline"/>
        <w:rPr>
          <w:rFonts w:hint="eastAsia" w:ascii="STKaiti" w:hAnsi="STKaiti" w:eastAsia="STKaiti"/>
          <w:sz w:val="24"/>
          <w:szCs w:val="24"/>
        </w:rPr>
      </w:pPr>
      <w:r>
        <w:rPr>
          <w:rFonts w:ascii="STKaiti" w:hAnsi="STKaiti" w:eastAsia="STKaiti"/>
          <w:sz w:val="24"/>
          <w:szCs w:val="24"/>
        </w:rPr>
        <w:t>（三）考试试卷或者从业人员本人签名的考核记录。</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小型或者微型企业等规模较小的生产经营单位的安全生产教育和培训档案，应当至少包括本条第一款第一项规定的内容。</w:t>
      </w:r>
    </w:p>
    <w:p>
      <w:pPr>
        <w:spacing w:line="420" w:lineRule="exact"/>
        <w:ind w:firstLine="480" w:firstLineChars="200"/>
        <w:rPr>
          <w:rFonts w:hint="eastAsia" w:ascii="微软雅黑" w:hAnsi="微软雅黑" w:eastAsia="微软雅黑"/>
          <w:sz w:val="24"/>
          <w:szCs w:val="24"/>
          <w:shd w:val="clear" w:color="auto" w:fill="FFFFFF"/>
        </w:rPr>
      </w:pPr>
      <w:r>
        <w:rPr>
          <w:rFonts w:hint="eastAsia" w:ascii="黑体" w:hAnsi="黑体" w:eastAsia="黑体"/>
          <w:sz w:val="24"/>
          <w:szCs w:val="24"/>
        </w:rPr>
        <w:t>【处罚依据】</w:t>
      </w:r>
      <w:r>
        <w:rPr>
          <w:rFonts w:hint="eastAsia" w:ascii="宋体" w:hAnsi="宋体"/>
          <w:sz w:val="24"/>
          <w:szCs w:val="24"/>
        </w:rPr>
        <w:t>《</w:t>
      </w:r>
      <w:bookmarkStart w:id="34" w:name="_Hlk43416374"/>
      <w:r>
        <w:rPr>
          <w:rFonts w:hint="eastAsia" w:ascii="宋体" w:hAnsi="宋体"/>
          <w:sz w:val="24"/>
          <w:szCs w:val="24"/>
        </w:rPr>
        <w:t>北京市生产经营单位安全生产主体责任规定</w:t>
      </w:r>
      <w:bookmarkEnd w:id="34"/>
      <w:r>
        <w:rPr>
          <w:rFonts w:hint="eastAsia" w:ascii="宋体" w:hAnsi="宋体"/>
          <w:sz w:val="24"/>
          <w:szCs w:val="24"/>
        </w:rPr>
        <w:t>》</w:t>
      </w:r>
      <w:r>
        <w:rPr>
          <w:rFonts w:ascii="宋体" w:hAnsi="宋体"/>
          <w:sz w:val="24"/>
          <w:szCs w:val="24"/>
        </w:rPr>
        <w:t>第四十条</w:t>
      </w:r>
      <w:r>
        <w:rPr>
          <w:rFonts w:hint="eastAsia" w:ascii="宋体" w:hAnsi="宋体"/>
          <w:sz w:val="24"/>
          <w:szCs w:val="24"/>
        </w:rPr>
        <w:t>规定：</w:t>
      </w:r>
    </w:p>
    <w:p>
      <w:pPr>
        <w:spacing w:line="420" w:lineRule="exact"/>
        <w:ind w:firstLine="480" w:firstLineChars="200"/>
        <w:rPr>
          <w:rFonts w:hint="eastAsia" w:ascii="STKaiti" w:hAnsi="STKaiti" w:eastAsia="STKaiti"/>
          <w:sz w:val="24"/>
          <w:szCs w:val="24"/>
        </w:rPr>
      </w:pPr>
      <w:bookmarkStart w:id="35" w:name="_Hlk39718482"/>
      <w:r>
        <w:rPr>
          <w:rFonts w:hint="eastAsia" w:ascii="STKaiti" w:hAnsi="STKaiti" w:eastAsia="STKaiti"/>
          <w:sz w:val="24"/>
          <w:szCs w:val="24"/>
        </w:rPr>
        <w:t>违反本规定第十八条规定，生产经营单位未建立或者健全安全生产教育和培训档案的，由负有安全生产监督管理职责的部门责令改正，可以处1000元以上1万元以下罚款。</w:t>
      </w:r>
    </w:p>
    <w:bookmarkEnd w:id="35"/>
    <w:p>
      <w:pPr>
        <w:widowControl/>
        <w:adjustRightInd w:val="0"/>
        <w:snapToGrid w:val="0"/>
        <w:spacing w:line="420" w:lineRule="exact"/>
        <w:ind w:firstLine="480" w:firstLineChars="200"/>
        <w:rPr>
          <w:rFonts w:hint="eastAsia"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违反前款规定的违法行为，属于基础裁量C档，按照以下裁量阶次处以罚款：</w:t>
      </w:r>
    </w:p>
    <w:p>
      <w:pPr>
        <w:spacing w:line="420" w:lineRule="exact"/>
        <w:ind w:firstLine="480" w:firstLineChars="200"/>
        <w:rPr>
          <w:rFonts w:hint="eastAsia" w:ascii="宋体" w:hAnsi="宋体"/>
          <w:sz w:val="24"/>
          <w:szCs w:val="24"/>
        </w:rPr>
      </w:pPr>
      <w:r>
        <w:rPr>
          <w:rFonts w:hint="eastAsia" w:ascii="宋体" w:hAnsi="宋体"/>
          <w:sz w:val="24"/>
          <w:szCs w:val="24"/>
        </w:rPr>
        <w:t>小型或者微型企业等规模较小的生产经营单位的安全生产教育和培训档案未包括教育和培训的内容或者影像资料的，以及除小型或者微型企业以外规模的生产经营单位违反本规定第十八条规定，未建立或者健全安全生产教育和培训档案的，由负有安全生产监督管理职责的部门责令改正，可以处1000元以上1万元以下罚款。</w:t>
      </w:r>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（五）违法行为：拆除或者停止使用安全防护装置的。</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第二十一条</w:t>
      </w:r>
      <w:r>
        <w:rPr>
          <w:rFonts w:hint="eastAsia" w:ascii="宋体" w:hAnsi="宋体"/>
          <w:sz w:val="24"/>
          <w:szCs w:val="24"/>
        </w:rPr>
        <w:t>第二款规定：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存在较大危险因素设备设施的安全防护装置，应当符合国家标准或者行业标准，不得违反规定拆除或者停止使用。</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第四十三条</w:t>
      </w:r>
      <w:r>
        <w:rPr>
          <w:rFonts w:hint="eastAsia" w:ascii="宋体" w:hAnsi="宋体"/>
          <w:sz w:val="24"/>
          <w:szCs w:val="24"/>
        </w:rPr>
        <w:t>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违反本规定第二十一条第二款规定，拆除或者停止使用安全防护装置的，由负有安全生产监督管理职责的部门责令改正，处5000元以上5万元以下罚款。</w:t>
      </w:r>
    </w:p>
    <w:p>
      <w:pPr>
        <w:widowControl/>
        <w:adjustRightInd w:val="0"/>
        <w:snapToGrid w:val="0"/>
        <w:spacing w:line="420" w:lineRule="exact"/>
        <w:ind w:firstLine="480" w:firstLineChars="200"/>
        <w:rPr>
          <w:rFonts w:hint="eastAsia"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B</w:t>
      </w:r>
      <w:r>
        <w:rPr>
          <w:rFonts w:hint="eastAsia" w:ascii="宋体" w:hAnsi="宋体"/>
          <w:bCs/>
          <w:sz w:val="24"/>
          <w:szCs w:val="24"/>
        </w:rPr>
        <w:t>档，按照以下裁量阶次处以罚款：</w:t>
      </w:r>
    </w:p>
    <w:p>
      <w:pPr>
        <w:spacing w:line="42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违反规定拆除或者停止使用3台（套）以下存在较大危险因素设备设施的安全防护装置的，处5</w:t>
      </w:r>
      <w:r>
        <w:rPr>
          <w:rFonts w:ascii="宋体" w:hAnsi="宋体"/>
          <w:sz w:val="24"/>
          <w:szCs w:val="24"/>
        </w:rPr>
        <w:t>000</w:t>
      </w:r>
      <w:r>
        <w:rPr>
          <w:rFonts w:hint="eastAsia" w:ascii="宋体" w:hAnsi="宋体"/>
          <w:sz w:val="24"/>
          <w:szCs w:val="24"/>
        </w:rPr>
        <w:t>元以上2万元以下的罚款；</w:t>
      </w:r>
    </w:p>
    <w:p>
      <w:pPr>
        <w:spacing w:line="42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违反规定拆除或者停止使用3台（套）以上5台（套）以下存在较大危险因素设备设施的安全防护装置的，处</w:t>
      </w:r>
      <w:r>
        <w:rPr>
          <w:rFonts w:ascii="宋体" w:hAnsi="宋体"/>
          <w:sz w:val="24"/>
          <w:szCs w:val="24"/>
        </w:rPr>
        <w:t>2</w:t>
      </w:r>
      <w:r>
        <w:rPr>
          <w:rFonts w:hint="eastAsia" w:ascii="宋体" w:hAnsi="宋体"/>
          <w:sz w:val="24"/>
          <w:szCs w:val="24"/>
        </w:rPr>
        <w:t>万元以上</w:t>
      </w:r>
      <w:r>
        <w:rPr>
          <w:rFonts w:ascii="宋体" w:hAnsi="宋体"/>
          <w:sz w:val="24"/>
          <w:szCs w:val="24"/>
        </w:rPr>
        <w:t>4</w:t>
      </w:r>
      <w:r>
        <w:rPr>
          <w:rFonts w:hint="eastAsia" w:ascii="宋体" w:hAnsi="宋体"/>
          <w:sz w:val="24"/>
          <w:szCs w:val="24"/>
        </w:rPr>
        <w:t>万元以下的罚款；</w:t>
      </w:r>
    </w:p>
    <w:p>
      <w:pPr>
        <w:spacing w:line="420" w:lineRule="exact"/>
        <w:ind w:firstLine="480" w:firstLineChars="200"/>
        <w:rPr>
          <w:rFonts w:hint="eastAsia" w:ascii="微软雅黑" w:hAnsi="微软雅黑" w:eastAsia="微软雅黑"/>
          <w:sz w:val="24"/>
          <w:szCs w:val="24"/>
          <w:shd w:val="clear" w:color="auto" w:fill="FFFFFF"/>
        </w:rPr>
      </w:pPr>
      <w:r>
        <w:rPr>
          <w:rFonts w:hint="eastAsia" w:ascii="宋体" w:hAnsi="宋体"/>
          <w:sz w:val="24"/>
          <w:szCs w:val="24"/>
        </w:rPr>
        <w:t>3</w:t>
      </w:r>
      <w:r>
        <w:rPr>
          <w:rFonts w:ascii="宋体" w:hAnsi="宋体"/>
          <w:sz w:val="24"/>
          <w:szCs w:val="24"/>
        </w:rPr>
        <w:t>.</w:t>
      </w:r>
      <w:r>
        <w:rPr>
          <w:rFonts w:hint="eastAsia" w:ascii="宋体" w:hAnsi="宋体"/>
          <w:sz w:val="24"/>
          <w:szCs w:val="24"/>
        </w:rPr>
        <w:t>违反规定拆除或者停止使用</w:t>
      </w:r>
      <w:r>
        <w:rPr>
          <w:rFonts w:ascii="宋体" w:hAnsi="宋体"/>
          <w:sz w:val="24"/>
          <w:szCs w:val="24"/>
        </w:rPr>
        <w:t>5</w:t>
      </w:r>
      <w:r>
        <w:rPr>
          <w:rFonts w:hint="eastAsia" w:ascii="宋体" w:hAnsi="宋体"/>
          <w:sz w:val="24"/>
          <w:szCs w:val="24"/>
        </w:rPr>
        <w:t>台（套）以上存在较大危险因素设备设施的安全防护装置的，处</w:t>
      </w:r>
      <w:r>
        <w:rPr>
          <w:rFonts w:ascii="宋体" w:hAnsi="宋体"/>
          <w:sz w:val="24"/>
          <w:szCs w:val="24"/>
        </w:rPr>
        <w:t>4</w:t>
      </w:r>
      <w:r>
        <w:rPr>
          <w:rFonts w:hint="eastAsia" w:ascii="宋体" w:hAnsi="宋体"/>
          <w:sz w:val="24"/>
          <w:szCs w:val="24"/>
        </w:rPr>
        <w:t>万元以上</w:t>
      </w:r>
      <w:r>
        <w:rPr>
          <w:rFonts w:ascii="宋体" w:hAnsi="宋体"/>
          <w:sz w:val="24"/>
          <w:szCs w:val="24"/>
        </w:rPr>
        <w:t>5</w:t>
      </w:r>
      <w:r>
        <w:rPr>
          <w:rFonts w:hint="eastAsia" w:ascii="宋体" w:hAnsi="宋体"/>
          <w:sz w:val="24"/>
          <w:szCs w:val="24"/>
        </w:rPr>
        <w:t>万元以下的罚款。</w:t>
      </w:r>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六）违法行为：生产经营单位进行爆破、吊装、挖掘、悬吊、建设工程拆除、油罐清洗等危险作业，以及在有限空间内作业、动火作业、高处作业、带电作业、临近高压输电线路作业时，未落实安全交底，向作业人员详细说明作业内容、主要危险因素、作业安全要求和应急措施等内容，拒不改正的。</w:t>
      </w:r>
    </w:p>
    <w:p>
      <w:pPr>
        <w:widowControl/>
        <w:spacing w:line="420" w:lineRule="exact"/>
        <w:ind w:left="210" w:leftChars="100" w:firstLine="240" w:firstLineChars="100"/>
        <w:jc w:val="left"/>
        <w:textAlignment w:val="baseline"/>
        <w:rPr>
          <w:rFonts w:hint="eastAsia"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第二十五条</w:t>
      </w:r>
      <w:r>
        <w:rPr>
          <w:rFonts w:hint="eastAsia" w:ascii="宋体" w:hAnsi="宋体"/>
          <w:sz w:val="24"/>
          <w:szCs w:val="24"/>
        </w:rPr>
        <w:t>第二项规定：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生产经营单位进行爆破、吊装、挖掘、悬吊、建设工程拆除、油罐清洗等危险作业，以及在有限空间内作业、动火作业、高处作业、带电作业、临近高压输电线路作业，应当遵守下列规定：</w:t>
      </w:r>
      <w:bookmarkStart w:id="36" w:name="tiao_25_kuan_1_xiang_1"/>
      <w:bookmarkEnd w:id="36"/>
      <w:bookmarkStart w:id="37" w:name="tiao_25_kuan_1_xiang_2"/>
      <w:bookmarkEnd w:id="37"/>
      <w:r>
        <w:rPr>
          <w:rFonts w:ascii="STKaiti" w:hAnsi="STKaiti" w:eastAsia="STKaiti"/>
          <w:sz w:val="24"/>
          <w:szCs w:val="24"/>
        </w:rPr>
        <w:t>（二）落实安全交底，向作业人员详细说明作业内容、主要危险因素、作业安全要求和应急措施等内容；</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第四十六条</w:t>
      </w:r>
      <w:r>
        <w:rPr>
          <w:rFonts w:hint="eastAsia" w:ascii="宋体" w:hAnsi="宋体"/>
          <w:sz w:val="24"/>
          <w:szCs w:val="24"/>
        </w:rPr>
        <w:t>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违反本规定第二十五条规定，生产经营单位未遵守作业规定之一的，由负有安全生产监督管理职责的部门责令改正；拒不改正的，责令停产停业整顿，可以处2万元以上10万元以下罚款。</w:t>
      </w:r>
    </w:p>
    <w:p>
      <w:pPr>
        <w:spacing w:line="420" w:lineRule="exact"/>
        <w:ind w:firstLine="480" w:firstLineChars="200"/>
        <w:rPr>
          <w:rFonts w:hint="eastAsia"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一项或任两项，拒不改正的，可以处2万元以上4万元以下的罚款；</w:t>
      </w:r>
    </w:p>
    <w:p>
      <w:pPr>
        <w:spacing w:line="42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三项或任三项以上，拒不改正的，可以处</w:t>
      </w:r>
      <w:r>
        <w:rPr>
          <w:rFonts w:ascii="宋体" w:hAnsi="宋体"/>
          <w:sz w:val="24"/>
          <w:szCs w:val="24"/>
        </w:rPr>
        <w:t>4</w:t>
      </w:r>
      <w:r>
        <w:rPr>
          <w:rFonts w:hint="eastAsia" w:ascii="宋体" w:hAnsi="宋体"/>
          <w:sz w:val="24"/>
          <w:szCs w:val="24"/>
        </w:rPr>
        <w:t>万元以上6万元以下的罚款；</w:t>
      </w:r>
    </w:p>
    <w:p>
      <w:pPr>
        <w:spacing w:line="42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一项或任两项，拒不改正的，可以处6万元以上8万元以下的罚款；</w:t>
      </w:r>
    </w:p>
    <w:p>
      <w:pPr>
        <w:spacing w:line="420" w:lineRule="exact"/>
        <w:ind w:firstLine="480" w:firstLineChars="200"/>
        <w:rPr>
          <w:rFonts w:hint="eastAsia" w:ascii="微软雅黑" w:hAnsi="微软雅黑" w:eastAsia="微软雅黑"/>
          <w:sz w:val="24"/>
          <w:szCs w:val="24"/>
          <w:shd w:val="clear" w:color="auto" w:fill="FFFFFF"/>
        </w:rPr>
      </w:pPr>
      <w:r>
        <w:rPr>
          <w:rFonts w:hint="eastAsia" w:ascii="宋体" w:hAnsi="宋体"/>
          <w:sz w:val="24"/>
          <w:szCs w:val="24"/>
        </w:rPr>
        <w:t>4.</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进行爆破、吊装、挖掘、悬吊、建设工程拆除、油罐清洗等危险作业，以及在有限空间内作业、动火作业、高处作业、带电作业、临近高压输电线路作业时，未落实安全交底，存在未向作业人员详细说明作业内容、主要危险因素、作业安全要求和应急措施等内容中的任三项或任三项以上，拒不改正的，可以处8万元以上10万元以下的罚款。</w:t>
      </w:r>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（七）违法行为：生产经营单位委托其他生产经营单位从事危险作业未签订安全生产管理协议，或者未在有关合同中明确各自的安全生产管理职责的。</w:t>
      </w:r>
    </w:p>
    <w:p>
      <w:pPr>
        <w:widowControl/>
        <w:spacing w:line="420" w:lineRule="exact"/>
        <w:ind w:firstLine="480" w:firstLineChars="200"/>
        <w:jc w:val="left"/>
        <w:textAlignment w:val="baseline"/>
        <w:rPr>
          <w:rFonts w:hint="eastAsia" w:ascii="STKaiti" w:hAnsi="STKaiti" w:eastAsia="STKaiti"/>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第二十五条</w:t>
      </w:r>
      <w:r>
        <w:rPr>
          <w:rFonts w:hint="eastAsia" w:ascii="宋体" w:hAnsi="宋体"/>
          <w:sz w:val="24"/>
          <w:szCs w:val="24"/>
        </w:rPr>
        <w:t>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生产经营单位进行爆破、吊装、挖掘、悬吊、建设工程拆除、油罐清洗等危险作业，以及在有限空间内作业、动火作业、高处作业、带电作业、临近高压输电线路作业，应当遵守下列规定：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（一）制定作业方案，按照本单位内部批准权限审批；</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（二）落实安全交底，向作业人员详细说明作业内容、主要危险因素、作业安全要求和应急措施等内容；</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（三）安排专门人员进行现场管理，确认现场作业条件、作业人员上岗资格、身体状况符合安全作业要求，监督作业人员遵守操作规程，落实安全措施；</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（四）配备与现场作业活动相适应的劳动防护用品，以及相应的安全警示标志、安全防护设备、应急救援装备；</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（五）发现直接危及人身安全的紧急情况，立即采取应急措施，停止作业或者撤出作业人员。</w:t>
      </w:r>
    </w:p>
    <w:p>
      <w:pPr>
        <w:widowControl/>
        <w:spacing w:line="420" w:lineRule="exact"/>
        <w:ind w:firstLine="480" w:firstLineChars="200"/>
        <w:jc w:val="left"/>
        <w:textAlignment w:val="baseline"/>
        <w:rPr>
          <w:rFonts w:hint="eastAsia" w:ascii="宋体" w:hAnsi="宋体"/>
          <w:sz w:val="24"/>
          <w:szCs w:val="24"/>
        </w:rPr>
      </w:pPr>
      <w:r>
        <w:rPr>
          <w:rFonts w:hint="eastAsia" w:ascii="宋体" w:hAnsi="宋体"/>
          <w:sz w:val="24"/>
          <w:szCs w:val="24"/>
        </w:rPr>
        <w:t>《北京市生产经营单位安全生产主体责任规定》</w:t>
      </w:r>
      <w:r>
        <w:rPr>
          <w:rFonts w:ascii="宋体" w:hAnsi="宋体"/>
          <w:sz w:val="24"/>
          <w:szCs w:val="24"/>
        </w:rPr>
        <w:t>第二十六条</w:t>
      </w:r>
      <w:r>
        <w:rPr>
          <w:rFonts w:hint="eastAsia" w:ascii="宋体" w:hAnsi="宋体"/>
          <w:sz w:val="24"/>
          <w:szCs w:val="24"/>
        </w:rPr>
        <w:t>第三项规定：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有下列情形之一的，生产经营单位应当签订安全生产管理协议，或者在有关合同中明确各自的安全生产管理职责：</w:t>
      </w:r>
      <w:r>
        <w:rPr>
          <w:rFonts w:hint="eastAsia" w:ascii="STKaiti" w:hAnsi="STKaiti" w:eastAsia="STKaiti"/>
          <w:sz w:val="24"/>
          <w:szCs w:val="24"/>
        </w:rPr>
        <w:t>……</w:t>
      </w:r>
      <w:r>
        <w:rPr>
          <w:rFonts w:ascii="STKaiti" w:hAnsi="STKaiti" w:eastAsia="STKaiti"/>
          <w:sz w:val="24"/>
          <w:szCs w:val="24"/>
        </w:rPr>
        <w:t>（三）委托其他生产经营单位从事本规定第二十五条规定所列作业的。</w:t>
      </w:r>
    </w:p>
    <w:p>
      <w:pPr>
        <w:widowControl/>
        <w:spacing w:line="420" w:lineRule="exact"/>
        <w:ind w:firstLine="480" w:firstLineChars="200"/>
        <w:jc w:val="left"/>
        <w:textAlignment w:val="baseline"/>
        <w:rPr>
          <w:rFonts w:hint="eastAsia" w:ascii="STKaiti" w:hAnsi="STKaiti" w:eastAsia="STKaiti"/>
          <w:sz w:val="24"/>
          <w:szCs w:val="24"/>
        </w:rPr>
      </w:pPr>
      <w:r>
        <w:rPr>
          <w:rFonts w:hint="eastAsia" w:ascii="STKaiti" w:hAnsi="STKaiti" w:eastAsia="STKaiti"/>
          <w:sz w:val="24"/>
          <w:szCs w:val="24"/>
        </w:rPr>
        <w:t>《北京市生产经营单位安全生产主体责任规定》</w:t>
      </w:r>
      <w:r>
        <w:rPr>
          <w:rFonts w:ascii="STKaiti" w:hAnsi="STKaiti" w:eastAsia="STKaiti"/>
          <w:sz w:val="24"/>
          <w:szCs w:val="24"/>
        </w:rPr>
        <w:t>第二十七条</w:t>
      </w:r>
      <w:r>
        <w:rPr>
          <w:rFonts w:hint="eastAsia" w:ascii="STKaiti" w:hAnsi="STKaiti" w:eastAsia="STKaiti"/>
          <w:sz w:val="24"/>
          <w:szCs w:val="24"/>
        </w:rPr>
        <w:t>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安全生产管理协议应当包括下列内容：</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（一）双方安全生产职责、各自管理的区域范围；</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（二）作业场所、作业人员、设备设施的安全生产管理责任；</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（三）双方有关安全生产的权利和义务；</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（四）生产安全事故报告和应急救援责任。</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第四十七条</w:t>
      </w:r>
      <w:r>
        <w:rPr>
          <w:rFonts w:hint="eastAsia" w:ascii="宋体" w:hAnsi="宋体"/>
          <w:sz w:val="24"/>
          <w:szCs w:val="24"/>
        </w:rPr>
        <w:t>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违反本规定第二十六条规定，生产经营单位</w:t>
      </w:r>
      <w:bookmarkStart w:id="38" w:name="_Hlk40439453"/>
      <w:r>
        <w:rPr>
          <w:rFonts w:hint="eastAsia" w:ascii="STKaiti" w:hAnsi="STKaiti" w:eastAsia="STKaiti"/>
          <w:sz w:val="24"/>
          <w:szCs w:val="24"/>
        </w:rPr>
        <w:t>未签订安全生产管理协议</w:t>
      </w:r>
      <w:bookmarkEnd w:id="38"/>
      <w:r>
        <w:rPr>
          <w:rFonts w:hint="eastAsia" w:ascii="STKaiti" w:hAnsi="STKaiti" w:eastAsia="STKaiti"/>
          <w:sz w:val="24"/>
          <w:szCs w:val="24"/>
        </w:rPr>
        <w:t>，或者未在有关合同中明确各自的安全生产管理职责的，由负有安全生产监督管理职责的部门责令改正，可以处5万元以下罚款，对其直接负责的主管人员和其他直接责任人员可以处1万元以下罚款；拒不改正的，责令停产停业整顿。</w:t>
      </w:r>
    </w:p>
    <w:p>
      <w:pPr>
        <w:spacing w:line="420" w:lineRule="exact"/>
        <w:ind w:firstLine="480" w:firstLineChars="200"/>
        <w:rPr>
          <w:rFonts w:hint="eastAsia" w:ascii="STKaiti" w:hAnsi="STKaiti" w:eastAsia="STKaiti"/>
          <w:bCs/>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委托其他生产经营单位从事本规定第二十五条规定的危险作业未签订安全生产管理协议，或者未在有关合同中明确各自的安全生产管理职责的，可以处3万元以下的罚款，对其直接负责的主管人员和其他直接责任人员可以处5</w:t>
      </w:r>
      <w:r>
        <w:rPr>
          <w:rFonts w:ascii="宋体" w:hAnsi="宋体"/>
          <w:sz w:val="24"/>
          <w:szCs w:val="24"/>
        </w:rPr>
        <w:t>000</w:t>
      </w:r>
      <w:r>
        <w:rPr>
          <w:rFonts w:hint="eastAsia" w:ascii="宋体" w:hAnsi="宋体"/>
          <w:sz w:val="24"/>
          <w:szCs w:val="24"/>
        </w:rPr>
        <w:t>元以下的罚款；</w:t>
      </w:r>
    </w:p>
    <w:p>
      <w:pPr>
        <w:spacing w:line="420" w:lineRule="exact"/>
        <w:ind w:firstLine="480" w:firstLineChars="200"/>
        <w:rPr>
          <w:rFonts w:hint="eastAsia" w:ascii="STKaiti" w:hAnsi="STKaiti" w:eastAsia="STKaiti"/>
          <w:sz w:val="24"/>
          <w:szCs w:val="24"/>
        </w:rPr>
      </w:pPr>
      <w:r>
        <w:rPr>
          <w:rFonts w:ascii="宋体" w:hAnsi="宋体"/>
          <w:sz w:val="24"/>
          <w:szCs w:val="24"/>
        </w:rPr>
        <w:t>2.</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委托其他生产经营单位从事本规定第二十五条规定的危险作业未签订安全生产管理协议，或者未在有关合同中明确各自的安全生产管理职责的，可以处3万元以上5万元以下的罚款，对其直接负责的主管人员和其他直接责任人员可以处5</w:t>
      </w:r>
      <w:r>
        <w:rPr>
          <w:rFonts w:ascii="宋体" w:hAnsi="宋体"/>
          <w:sz w:val="24"/>
          <w:szCs w:val="24"/>
        </w:rPr>
        <w:t>000</w:t>
      </w:r>
      <w:r>
        <w:rPr>
          <w:rFonts w:hint="eastAsia" w:ascii="宋体" w:hAnsi="宋体"/>
          <w:sz w:val="24"/>
          <w:szCs w:val="24"/>
        </w:rPr>
        <w:t>元以上1万元以下的罚款。</w:t>
      </w:r>
    </w:p>
    <w:p>
      <w:pPr>
        <w:spacing w:line="420" w:lineRule="exact"/>
        <w:ind w:firstLine="480" w:firstLineChars="200"/>
        <w:rPr>
          <w:rFonts w:hint="eastAsia" w:ascii="黑体" w:hAnsi="黑体" w:eastAsia="黑体"/>
          <w:bCs/>
          <w:sz w:val="24"/>
          <w:szCs w:val="24"/>
        </w:rPr>
      </w:pPr>
      <w:r>
        <w:rPr>
          <w:rFonts w:hint="eastAsia" w:ascii="黑体" w:hAnsi="黑体" w:eastAsia="黑体"/>
          <w:bCs/>
          <w:sz w:val="24"/>
          <w:szCs w:val="24"/>
        </w:rPr>
        <w:t>（八）违法行为：生产经营单位进行爆破、吊装、挖掘、悬吊、建设工程拆除、油罐清洗等危险作业，以及在有限空间内作业、动火作业、高处作业、带电作业、临近高压输电线路作业时，未制定作业方案，按照本单位内部批准权限审批，拒不改正的。</w:t>
      </w:r>
    </w:p>
    <w:p>
      <w:pPr>
        <w:widowControl/>
        <w:spacing w:line="420" w:lineRule="exact"/>
        <w:ind w:firstLine="480" w:firstLineChars="200"/>
        <w:jc w:val="left"/>
        <w:textAlignment w:val="baseline"/>
        <w:rPr>
          <w:rFonts w:hint="eastAsia" w:ascii="宋体" w:hAnsi="宋体"/>
          <w:sz w:val="24"/>
          <w:szCs w:val="24"/>
        </w:rPr>
      </w:pPr>
      <w:r>
        <w:rPr>
          <w:rFonts w:hint="eastAsia" w:ascii="黑体" w:hAnsi="黑体" w:eastAsia="黑体"/>
          <w:sz w:val="24"/>
          <w:szCs w:val="24"/>
        </w:rPr>
        <w:t>【违法依据】</w:t>
      </w:r>
      <w:r>
        <w:rPr>
          <w:rFonts w:hint="eastAsia" w:ascii="宋体" w:hAnsi="宋体"/>
          <w:sz w:val="24"/>
          <w:szCs w:val="24"/>
        </w:rPr>
        <w:t>《北京市生产经营单位安全生产主体责任规定》</w:t>
      </w:r>
      <w:r>
        <w:rPr>
          <w:rFonts w:ascii="宋体" w:hAnsi="宋体"/>
          <w:sz w:val="24"/>
          <w:szCs w:val="24"/>
        </w:rPr>
        <w:t>第二十五条</w:t>
      </w:r>
      <w:r>
        <w:rPr>
          <w:rFonts w:hint="eastAsia" w:ascii="宋体" w:hAnsi="宋体"/>
          <w:sz w:val="24"/>
          <w:szCs w:val="24"/>
        </w:rPr>
        <w:t>第一项规定：</w:t>
      </w:r>
    </w:p>
    <w:p>
      <w:pPr>
        <w:widowControl/>
        <w:spacing w:line="420" w:lineRule="exact"/>
        <w:ind w:firstLine="480" w:firstLineChars="200"/>
        <w:jc w:val="left"/>
        <w:textAlignment w:val="baseline"/>
        <w:rPr>
          <w:rFonts w:hint="eastAsia" w:ascii="STKaiti" w:hAnsi="STKaiti" w:eastAsia="STKaiti"/>
          <w:sz w:val="24"/>
          <w:szCs w:val="24"/>
        </w:rPr>
      </w:pPr>
      <w:r>
        <w:rPr>
          <w:rFonts w:ascii="STKaiti" w:hAnsi="STKaiti" w:eastAsia="STKaiti"/>
          <w:sz w:val="24"/>
          <w:szCs w:val="24"/>
        </w:rPr>
        <w:t>生产经营单位进行爆破、吊装、挖掘、悬吊、建设工程拆除、油罐清洗等危险作业，以及在有限空间内作业、动火作业、高处作业、带电作业、临近高压输电线路作业，应当遵守下列规定：（一）制定作业方案，按照本单位内部批准权限审批；</w:t>
      </w:r>
      <w:r>
        <w:rPr>
          <w:rFonts w:hint="eastAsia" w:ascii="STKaiti" w:hAnsi="STKaiti" w:eastAsia="STKaiti"/>
          <w:sz w:val="24"/>
          <w:szCs w:val="24"/>
        </w:rPr>
        <w:t>……</w:t>
      </w:r>
    </w:p>
    <w:p>
      <w:pPr>
        <w:spacing w:line="420" w:lineRule="exact"/>
        <w:ind w:firstLine="480" w:firstLineChars="200"/>
        <w:rPr>
          <w:rFonts w:hint="eastAsia" w:ascii="STKaiti" w:hAnsi="STKaiti" w:eastAsia="STKaiti"/>
          <w:sz w:val="24"/>
          <w:szCs w:val="24"/>
        </w:rPr>
      </w:pPr>
      <w:r>
        <w:rPr>
          <w:rFonts w:hint="eastAsia" w:ascii="黑体" w:hAnsi="黑体" w:eastAsia="黑体"/>
          <w:sz w:val="24"/>
          <w:szCs w:val="24"/>
        </w:rPr>
        <w:t>【处罚依据】</w:t>
      </w:r>
      <w:r>
        <w:rPr>
          <w:rFonts w:hint="eastAsia" w:ascii="宋体" w:hAnsi="宋体"/>
          <w:sz w:val="24"/>
          <w:szCs w:val="24"/>
        </w:rPr>
        <w:t>《北京市生产经营单位安全生产主体责任规定》</w:t>
      </w:r>
      <w:r>
        <w:rPr>
          <w:rFonts w:ascii="宋体" w:hAnsi="宋体"/>
          <w:sz w:val="24"/>
          <w:szCs w:val="24"/>
        </w:rPr>
        <w:t>第四十六条</w:t>
      </w:r>
      <w:r>
        <w:rPr>
          <w:rFonts w:hint="eastAsia" w:ascii="宋体" w:hAnsi="宋体"/>
          <w:sz w:val="24"/>
          <w:szCs w:val="24"/>
        </w:rPr>
        <w:t>规定：</w:t>
      </w:r>
    </w:p>
    <w:p>
      <w:pPr>
        <w:spacing w:line="420" w:lineRule="exact"/>
        <w:ind w:firstLine="480" w:firstLineChars="200"/>
        <w:rPr>
          <w:rFonts w:hint="eastAsia" w:ascii="STKaiti" w:hAnsi="STKaiti" w:eastAsia="STKaiti"/>
          <w:sz w:val="24"/>
          <w:szCs w:val="24"/>
        </w:rPr>
      </w:pPr>
      <w:r>
        <w:rPr>
          <w:rFonts w:hint="eastAsia" w:ascii="STKaiti" w:hAnsi="STKaiti" w:eastAsia="STKaiti"/>
          <w:sz w:val="24"/>
          <w:szCs w:val="24"/>
        </w:rPr>
        <w:t>违反本规定第二十五条规定，生产经营单位未遵守作业规定之一的，由负有安全生产监督管理职责的部门责令改正；拒不改正的，责令停产停业整顿，可以处2万元以上10万元以下罚款。</w:t>
      </w:r>
    </w:p>
    <w:p>
      <w:pPr>
        <w:spacing w:line="420" w:lineRule="exact"/>
        <w:ind w:firstLine="480" w:firstLineChars="200"/>
        <w:rPr>
          <w:rFonts w:hint="eastAsia" w:ascii="宋体" w:hAnsi="宋体"/>
          <w:b/>
          <w:sz w:val="24"/>
          <w:szCs w:val="24"/>
        </w:rPr>
      </w:pPr>
      <w:r>
        <w:rPr>
          <w:rFonts w:hint="eastAsia" w:ascii="黑体" w:hAnsi="黑体" w:eastAsia="黑体"/>
          <w:sz w:val="24"/>
          <w:szCs w:val="24"/>
        </w:rPr>
        <w:t>【裁量阶次】</w:t>
      </w:r>
      <w:r>
        <w:rPr>
          <w:rFonts w:hint="eastAsia" w:ascii="宋体" w:hAnsi="宋体"/>
          <w:bCs/>
          <w:sz w:val="24"/>
          <w:szCs w:val="24"/>
        </w:rPr>
        <w:t>违反前款规定的违法行为，属于基础裁量</w:t>
      </w:r>
      <w:r>
        <w:rPr>
          <w:rFonts w:ascii="宋体" w:hAnsi="宋体"/>
          <w:bCs/>
          <w:sz w:val="24"/>
          <w:szCs w:val="24"/>
        </w:rPr>
        <w:t>A</w:t>
      </w:r>
      <w:r>
        <w:rPr>
          <w:rFonts w:hint="eastAsia" w:ascii="宋体" w:hAnsi="宋体"/>
          <w:bCs/>
          <w:sz w:val="24"/>
          <w:szCs w:val="24"/>
        </w:rPr>
        <w:t>档，按照以下裁量阶次处以罚款：</w:t>
      </w:r>
    </w:p>
    <w:p>
      <w:pPr>
        <w:spacing w:line="42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制定了作业方案，但未按照本单位内部批准权限审批，拒不改正的，可以处2万元以上4万元以下的罚款；</w:t>
      </w:r>
    </w:p>
    <w:p>
      <w:pPr>
        <w:spacing w:line="42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hAnsi="宋体" w:cs="宋体"/>
          <w:sz w:val="24"/>
          <w:szCs w:val="24"/>
        </w:rPr>
        <w:t>以外的</w:t>
      </w:r>
      <w:r>
        <w:rPr>
          <w:rFonts w:hint="eastAsia" w:ascii="宋体" w:hAnsi="宋体"/>
          <w:sz w:val="24"/>
          <w:szCs w:val="24"/>
        </w:rPr>
        <w:t>生产经营单位进行爆破、吊装、挖掘、悬吊、建设工程拆除、油罐清洗等危险作业，以及在有限空间内作业、动火作业、高处作业、带电作业、临近高压输电线路作业时，既未制定作业方案，也未按照本单位内部批准权限审批，拒不改正的，可以处4万元以上6万元以下的罚款；</w:t>
      </w:r>
    </w:p>
    <w:p>
      <w:pPr>
        <w:spacing w:line="42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w:t>
      </w:r>
      <w:bookmarkStart w:id="39" w:name="OLE_LINK1"/>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进行爆破、吊装、挖掘、悬吊、建设工程拆除、油罐清洗等危险作业，以及在有限空间内作业、动火作业、高处作业、带电作业、临近高压输电线路作业时，制定了作业方案，但未按照本单位内部批准权限审批，拒不改正的，可以处6万元以上8万元以下的罚款</w:t>
      </w:r>
      <w:bookmarkEnd w:id="39"/>
      <w:r>
        <w:rPr>
          <w:rFonts w:hint="eastAsia" w:ascii="宋体" w:hAnsi="宋体"/>
          <w:sz w:val="24"/>
          <w:szCs w:val="24"/>
        </w:rPr>
        <w:t>；</w:t>
      </w:r>
    </w:p>
    <w:p>
      <w:pPr>
        <w:spacing w:line="420" w:lineRule="exact"/>
        <w:ind w:firstLine="480" w:firstLineChars="200"/>
        <w:rPr>
          <w:rFonts w:hint="eastAsia" w:ascii="宋体" w:hAnsi="宋体"/>
          <w:sz w:val="24"/>
          <w:szCs w:val="24"/>
        </w:rPr>
      </w:pPr>
      <w:r>
        <w:rPr>
          <w:rFonts w:hint="eastAsia" w:ascii="宋体" w:hAnsi="宋体"/>
          <w:sz w:val="24"/>
          <w:szCs w:val="24"/>
        </w:rPr>
        <w:t>4.</w:t>
      </w:r>
      <w:r>
        <w:rPr>
          <w:rFonts w:hint="eastAsia" w:ascii="宋体" w:hAnsi="宋体" w:cs="宋体"/>
          <w:sz w:val="24"/>
          <w:szCs w:val="24"/>
        </w:rPr>
        <w:t>危险物品的生产、经营、储存</w:t>
      </w:r>
      <w:r>
        <w:rPr>
          <w:rFonts w:hint="eastAsia" w:hAnsi="宋体" w:cs="宋体"/>
          <w:sz w:val="24"/>
          <w:szCs w:val="24"/>
        </w:rPr>
        <w:t>、装卸</w:t>
      </w:r>
      <w:r>
        <w:rPr>
          <w:rFonts w:hint="eastAsia" w:ascii="宋体" w:hAnsi="宋体" w:cs="宋体"/>
          <w:sz w:val="24"/>
          <w:szCs w:val="24"/>
        </w:rPr>
        <w:t>单位以及矿山、金属冶炼、建筑施工、运输单位</w:t>
      </w:r>
      <w:r>
        <w:rPr>
          <w:rFonts w:hint="eastAsia" w:ascii="宋体" w:hAnsi="宋体"/>
          <w:sz w:val="24"/>
          <w:szCs w:val="24"/>
        </w:rPr>
        <w:t>进行爆破、吊装、挖掘、悬吊、建设工程拆除、油罐清洗等危险作业，以及在有限空间内作业、动火作业、高处作业、带电作业、临近高压输电线路作业时，既未制定作业方案，也未按照本单位内部批准权限审批，拒不改正的，可以处8万元以上10万元以下的罚款。</w:t>
      </w:r>
    </w:p>
    <w:p>
      <w:pPr>
        <w:pStyle w:val="8"/>
        <w:spacing w:after="156" w:afterLines="50" w:line="420" w:lineRule="exact"/>
        <w:jc w:val="center"/>
        <w:rPr>
          <w:rFonts w:hint="eastAsia" w:ascii="方正小标宋简体" w:hAnsi="黑体" w:eastAsia="方正小标宋简体" w:cs="宋体"/>
          <w:sz w:val="44"/>
          <w:szCs w:val="44"/>
        </w:rPr>
      </w:pPr>
    </w:p>
    <w:p>
      <w:pPr>
        <w:pStyle w:val="8"/>
        <w:spacing w:after="156" w:afterLines="50" w:line="420" w:lineRule="exact"/>
        <w:jc w:val="center"/>
        <w:rPr>
          <w:rFonts w:hint="eastAsia" w:ascii="方正小标宋简体" w:hAnsi="黑体" w:eastAsia="方正小标宋简体" w:cs="宋体"/>
          <w:sz w:val="44"/>
          <w:szCs w:val="44"/>
        </w:rPr>
      </w:pPr>
    </w:p>
    <w:p>
      <w:pPr>
        <w:pStyle w:val="8"/>
        <w:spacing w:after="156" w:afterLines="50" w:line="420" w:lineRule="exact"/>
        <w:jc w:val="center"/>
        <w:rPr>
          <w:rFonts w:hint="eastAsia" w:ascii="方正小标宋简体" w:hAnsi="黑体" w:eastAsia="方正小标宋简体" w:cs="宋体"/>
          <w:sz w:val="44"/>
          <w:szCs w:val="44"/>
        </w:rPr>
      </w:pPr>
    </w:p>
    <w:p>
      <w:pPr>
        <w:pStyle w:val="8"/>
        <w:spacing w:after="156" w:afterLines="50" w:line="800" w:lineRule="exact"/>
        <w:jc w:val="center"/>
        <w:outlineLvl w:val="0"/>
        <w:rPr>
          <w:rFonts w:hint="eastAsia" w:ascii="方正小标宋简体" w:hAnsi="楷体" w:eastAsia="方正小标宋简体" w:cs="宋体"/>
          <w:spacing w:val="20"/>
          <w:sz w:val="52"/>
          <w:szCs w:val="52"/>
        </w:rPr>
      </w:pPr>
      <w:bookmarkStart w:id="40" w:name="_Toc204864563"/>
    </w:p>
    <w:p>
      <w:pPr>
        <w:pStyle w:val="8"/>
        <w:spacing w:after="156" w:afterLines="50" w:line="800" w:lineRule="exact"/>
        <w:jc w:val="center"/>
        <w:outlineLvl w:val="0"/>
        <w:rPr>
          <w:rFonts w:hint="eastAsia" w:ascii="方正小标宋简体" w:hAnsi="楷体" w:eastAsia="方正小标宋简体" w:cs="宋体"/>
          <w:spacing w:val="20"/>
          <w:sz w:val="52"/>
          <w:szCs w:val="52"/>
        </w:rPr>
      </w:pPr>
      <w:r>
        <w:rPr>
          <w:rFonts w:hint="eastAsia" w:ascii="方正小标宋简体" w:hAnsi="楷体" w:eastAsia="方正小标宋简体" w:cs="宋体"/>
          <w:spacing w:val="20"/>
          <w:sz w:val="52"/>
          <w:szCs w:val="52"/>
        </w:rPr>
        <w:t xml:space="preserve">第三章 </w:t>
      </w:r>
      <w:r>
        <w:rPr>
          <w:rFonts w:ascii="方正小标宋简体" w:hAnsi="楷体" w:eastAsia="方正小标宋简体" w:cs="宋体"/>
          <w:spacing w:val="20"/>
          <w:sz w:val="52"/>
          <w:szCs w:val="52"/>
        </w:rPr>
        <w:t xml:space="preserve"> </w:t>
      </w:r>
      <w:r>
        <w:rPr>
          <w:rFonts w:hint="eastAsia" w:ascii="方正小标宋简体" w:hAnsi="楷体" w:eastAsia="方正小标宋简体" w:cs="宋体"/>
          <w:spacing w:val="20"/>
          <w:sz w:val="52"/>
          <w:szCs w:val="52"/>
        </w:rPr>
        <w:t>北京市应急管理轻微违法行为不予行政处罚事项清单</w:t>
      </w:r>
      <w:bookmarkEnd w:id="40"/>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pStyle w:val="8"/>
        <w:spacing w:after="156" w:afterLines="50" w:line="800" w:lineRule="exact"/>
        <w:jc w:val="center"/>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52"/>
          <w:szCs w:val="52"/>
        </w:rPr>
      </w:pPr>
    </w:p>
    <w:p>
      <w:pPr>
        <w:widowControl/>
        <w:jc w:val="left"/>
        <w:rPr>
          <w:rFonts w:hint="eastAsia" w:ascii="方正小标宋简体" w:hAnsi="楷体" w:eastAsia="方正小标宋简体" w:cs="宋体"/>
          <w:sz w:val="48"/>
          <w:szCs w:val="48"/>
        </w:rPr>
        <w:sectPr>
          <w:footerReference r:id="rId7" w:type="first"/>
          <w:footerReference r:id="rId6" w:type="default"/>
          <w:pgSz w:w="10490" w:h="14742"/>
          <w:pgMar w:top="1418" w:right="1247" w:bottom="1134" w:left="1247" w:header="851" w:footer="794" w:gutter="0"/>
          <w:pgNumType w:start="1"/>
          <w:cols w:space="720" w:num="1"/>
          <w:titlePg/>
          <w:docGrid w:type="lines" w:linePitch="312" w:charSpace="0"/>
        </w:sectPr>
      </w:pPr>
    </w:p>
    <w:p>
      <w:pPr>
        <w:widowControl/>
        <w:jc w:val="center"/>
        <w:rPr>
          <w:rFonts w:hint="eastAsia" w:ascii="方正小标宋简体" w:hAnsi="方正小标宋简体" w:eastAsia="方正小标宋简体" w:cs="方正小标宋简体"/>
          <w:color w:val="0D0D0D" w:themeColor="text1" w:themeTint="F2"/>
          <w:spacing w:val="-6"/>
          <w:kern w:val="0"/>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pacing w:val="-6"/>
          <w:kern w:val="0"/>
          <w:sz w:val="44"/>
          <w:szCs w:val="44"/>
          <w14:textFill>
            <w14:solidFill>
              <w14:schemeClr w14:val="tx1">
                <w14:lumMod w14:val="95000"/>
                <w14:lumOff w14:val="5000"/>
              </w14:schemeClr>
            </w14:solidFill>
          </w14:textFill>
        </w:rPr>
        <w:t>北京市应急管理轻微违法行为依法不予行政处罚事项清单</w:t>
      </w:r>
    </w:p>
    <w:tbl>
      <w:tblPr>
        <w:tblStyle w:val="17"/>
        <w:tblW w:w="12923"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690"/>
        <w:gridCol w:w="1889"/>
        <w:gridCol w:w="2268"/>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序号</w:t>
            </w:r>
          </w:p>
        </w:tc>
        <w:tc>
          <w:tcPr>
            <w:tcW w:w="1690" w:type="dxa"/>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裁量基准编码</w:t>
            </w:r>
          </w:p>
        </w:tc>
        <w:tc>
          <w:tcPr>
            <w:tcW w:w="1889" w:type="dxa"/>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违法行为</w:t>
            </w:r>
          </w:p>
        </w:tc>
        <w:tc>
          <w:tcPr>
            <w:tcW w:w="2268" w:type="dxa"/>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不予处罚适用条件</w:t>
            </w:r>
          </w:p>
        </w:tc>
        <w:tc>
          <w:tcPr>
            <w:tcW w:w="6265" w:type="dxa"/>
            <w:vAlign w:val="center"/>
          </w:tcPr>
          <w:p>
            <w:pPr>
              <w:widowControl/>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相应法律依据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C3621700C010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生产经营单位安排从业人员进行安全培训期间未支付工资并承担安全培训费用的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【违法依据】《生产经营单位安全培训规定》第二十三条规定：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生产经营单位安排从业人员进行安全培训期间，应当支付工资和必要的费用。</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【处罚依据】《生产经营单位安全培训规定》第二十九条第（二）项规定：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生产经营单位有下列行为之一的，由安全生产监管监察部门责令其限期改正，可以处1万元以上3万元以下的罚款：（二）从业人员进行安全培训期间未支付工资并承担安全培训费用的。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C3652400C010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生产经营单位未建立健全特种作业人员档案的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2.生产经营单位特种作业人员均取得操作资格证书，并已按规定参加培训和复审</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【违法依据】《特种作业人员安全技术培训考核管理规定》第三十四条规定：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生产经营单位应当加强对本单位特种作业人员的管理，建立健全特种作业人员培训、复审档案，做好申报、培训、考核、复审的组织工作和日常的检查工作。</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【处罚依据】《特种作业人员安全技术培训考核管理规定》第三十八条规定：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生产经营单位未建立健全特种作业人员档案的，给予警告，并处1万元以下的罚款。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C3637000C010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安全生产培训机构未按照统一的培训大纲组织教学培训的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【违法依据】《安全生产培训管理办法》第六条第一款规定：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安全培训应当按照规定的安全培训大纲进行。</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【处罚依据】《安全生产培训管理办法》第三十四条第一款第二项规定：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安全培训机构有下列情形之一的，责令限期改正，处1万元以下的罚款；逾期未改正的，给予警告，处1万元以上3万元以下的罚款：（二）未按照统一的培训大纲组织教学培训的；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C3661200C000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安全生产培训机构未建立培训档案或者培训档案管理不规范的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2.已建立培训档案，但培训档案管理不规范</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【违法依据】《安全生产培训管理办法》第十五条规定：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安全培训机构应当建立安全培训工作制度和人员培训档案。安全培训相关情况，应当如实记录并建档备查。</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【处罚依据】《安全生产培训管理办法》第三十四条第一款第三项规定：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安全培训机构有下列情形之一的，责令限期改正，处1万元以下的罚款；逾期未改正的，给予警告，处1万元以上3万元以下的罚款：（三）未建立培训档案或者培训档案管理不规范的。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C3657400C010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安全评价机构、安全生产检测检验机构未依法与委托方签订技术服务合同的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【违法依据】《安全评价检测检验机构管理办法》第十六条第一款规定：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生产经营单位委托安全评价检测检验机构开展技术服务时，应当签订委托技术服务合同，明确服务对象、范围、权利、义务和责任。</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【处罚依据】《安全评价检测检验机构管理办法》第三十条第（一）项规定：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C3655300C010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安全评价机构、安全生产检测检验机构未按规定公开安全评价报告、安全生产检测检验报告相关信息及现场勘验图像影像资料的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【违法依据】《安全评价检测检验机构管理办法》第十八条第二款规定：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安全评价检测检验机构应当按照有关规定在网上公开安全评价报告、安全生产检测检验报告相关信息及现场勘验图像影像。</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【处罚依据】《安全评价检测检验机构管理办法》第三十条第（三）项规定：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C3658300B000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安全评价机构、安全生产检测检验机构未在开展现场技术服务前七个工作日内，书面告知项目实施地资质认可机关的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【违法依据】《安全评价检测检验机构管理办法》第十九条规定：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安全评价检测检验机构应当在开展现场技术服务前七个工作日内，书面告知（附件4）项目实施地资质认可机关，接受资质认可机关及其下级部门的监督抽查。</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【处罚依据】《安全评价检测检验机构管理办法》第三十条第四项规定：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C3658200C000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安全评价机构、安全生产检测检验机构机构名称、注册地址、实验室条件、法定代表人、专职技术负责人、授权签字人发生变化之日起三十日内未向原资质认可机关提出变更申请的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2.发生变化之日起未开展安全评价、检测检验业务</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【违法依据】《安全评价检测检验机构管理办法》第十二条第一款规定：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【处罚依据】《安全评价检测检验机构管理办法》第三十条第（五）项规定：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C3650000C000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生产经营单位未将事故风险的性质、影响范围和应急防范措施告知周边单位和人员的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【违法依据】《生产安全事故应急预案管理办法》第二十四条第二款规定：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事故风险可能影响周边其他单位、人员的，生产经营单位应当将有关事故风险的性质、影响范围和应急防范措施告知周边的其他单位和人员。</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【处罚依据】《生产安全事故应急预案管理办法》第四十五条第一款第三项规定：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C3652500A000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生产经营单位未定期通报事故隐患排查治理情况，或者重大事故隐患的危害程度、影响范围和应急措施公示不全的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2.已向从业人员通报了隐患排查治理情况但未每月通报，或者就重大事故隐患的危害程度、影响范围和应急措施已向从业人员进行了公示但公示不全</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【违法依据】《北京市生产安全事故隐患排查治理办法》第十一条规定：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生产经营单位应当每月向从业人员通报事故隐患排查治理情况。</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重大事故隐患消除前，生产经营单位应当向从业人员公示事故隐患的危害程度、影响范围和应急措施。</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【处罚依据】《北京市生产安全事故隐患排查治理办法》第二十八条规定：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本办法第十一条规定，生产经营单位未定期通报事故隐患排查治理情况，或者未公示重大事故隐患的危害程度、影响范围和应急措施的，责令限期改正，可以处5万元以下罚款；逾期未改正的，责令停产停业整顿，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p>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C3649000A010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生产经营单位未按照要求使用生产安全事故隐患排查治理信息系统，如实记录隐患排查治理情况的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2.除危险物品的生产、经营、储存单位以及矿山、金属冶炼、建筑施工、道路运输单位以外的生产经营单位，已开展了隐患排查治理，但未按要求记录（记录不属实、涉及重大事故隐患的除外）</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【违法依据】《北京市生产安全事故隐患排查治理办法》第十六条规定：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生产经营单位应当按照要求使用生产安全事故隐患排查治理信息系统，如实记录事故隐患的排查时间、所属类型、所在位置、责任部门和责任人、治理措施及整改情况等内容。</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【处罚依据】《北京市生产安全事故隐患排查治理办法》第三十条规定：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本办法第十六条规定，生产经营单位未按照要求使用生产安全事故隐患排查治理信息系统，如实记录隐患排查治理情况的，责令限期改正，可以处5万元以下罚款；逾期未改正的，责令停产停业整顿，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C3657500C000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生产经营单位未建立或者健全安全生产教育和培训档案的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2.已按要求开展安全生产教育和培训，但档案记录不规范、不完整（记录不属实的除外）</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【违法依据】《北京市生产经营单位安全生产主体责任规定》第十八条规定：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生产经营单位的安全生产教育和培训档案应当包括下列内容：</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（一）教育和培训的内容或者影像资料；</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（二）教育和培训的签到表和培训学时记录；</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（三）考试试卷或者从业人员本人签名的考核记录。</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小型或者微型企业等规模较小的生产经营单位的安全生产教育和培训档案，应当至少包括本条第一款第一项规定的内容。</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【处罚依据】《北京市生产经营单位安全生产主体责任规定》第四十条规定：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违反本规定第十八条规定，生产经营单位未建立或者健全安全生产教育和培训档案的，由负有安全生产监督管理职责的部门责令改正，可以处1000元以上1万元以下罚款。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811"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690" w:type="dxa"/>
            <w:vAlign w:val="center"/>
          </w:tcPr>
          <w:p>
            <w:pPr>
              <w:widowControl/>
              <w:spacing w:line="260" w:lineRule="exact"/>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C3621600C010</w:t>
            </w:r>
          </w:p>
        </w:tc>
        <w:tc>
          <w:tcPr>
            <w:tcW w:w="1889"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生产经营单位未将安全培训工作纳入本单位工作计划并保证安全培训工作所需资金的</w:t>
            </w:r>
          </w:p>
        </w:tc>
        <w:tc>
          <w:tcPr>
            <w:tcW w:w="2268"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1.首次被发现</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2.及时改正</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3.危害后果轻微</w:t>
            </w:r>
          </w:p>
        </w:tc>
        <w:tc>
          <w:tcPr>
            <w:tcW w:w="6265" w:type="dxa"/>
            <w:vAlign w:val="center"/>
          </w:tcPr>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【违法依据】《生产经营单位安全培训规定》第二十一条第一款规定：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生产经营单位应当将安全培训工作纳入本单位年度工作计划。保证本单位安全培训工作所需资金。</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【处罚依据】《生产经营单位安全培训规定》第二十九条第一项规定：</w:t>
            </w:r>
          </w:p>
          <w:p>
            <w:pPr>
              <w:widowControl/>
              <w:spacing w:line="26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生产经营单位有下列行为之一的，由安全生产监管监察部门责令其限期改正，可以处1万元以上3万元以下的罚款：（一）未将安全培训工作纳入本单位工作计划并保证安全培训工作所需资金的；</w:t>
            </w:r>
          </w:p>
        </w:tc>
      </w:tr>
    </w:tbl>
    <w:p>
      <w:pPr>
        <w:pStyle w:val="8"/>
        <w:spacing w:after="156" w:afterLines="50" w:line="420" w:lineRule="exact"/>
        <w:rPr>
          <w:rFonts w:hint="eastAsia" w:hAnsi="宋体" w:cs="宋体"/>
          <w:sz w:val="24"/>
          <w:szCs w:val="24"/>
        </w:rPr>
      </w:pPr>
    </w:p>
    <w:p>
      <w:pPr>
        <w:pStyle w:val="8"/>
        <w:spacing w:after="156" w:afterLines="50" w:line="420" w:lineRule="exact"/>
        <w:rPr>
          <w:rFonts w:hint="eastAsia" w:hAnsi="宋体" w:cs="宋体"/>
          <w:sz w:val="24"/>
          <w:szCs w:val="24"/>
        </w:rPr>
      </w:pPr>
    </w:p>
    <w:p>
      <w:pPr>
        <w:pStyle w:val="8"/>
        <w:spacing w:after="156" w:afterLines="50" w:line="420" w:lineRule="exact"/>
        <w:rPr>
          <w:rFonts w:hint="eastAsia" w:hAnsi="宋体" w:cs="宋体"/>
          <w:sz w:val="24"/>
          <w:szCs w:val="24"/>
        </w:rPr>
        <w:sectPr>
          <w:pgSz w:w="14742" w:h="10490" w:orient="landscape"/>
          <w:pgMar w:top="1247" w:right="1418" w:bottom="1247" w:left="1134" w:header="851" w:footer="794" w:gutter="0"/>
          <w:cols w:space="720" w:num="1"/>
          <w:titlePg/>
          <w:docGrid w:type="linesAndChars" w:linePitch="312" w:charSpace="0"/>
        </w:sectPr>
      </w:pPr>
    </w:p>
    <w:p>
      <w:pPr>
        <w:pStyle w:val="8"/>
        <w:spacing w:after="156" w:afterLines="50" w:line="420" w:lineRule="exact"/>
        <w:rPr>
          <w:rFonts w:hint="eastAsia" w:hAnsi="宋体" w:cs="宋体"/>
          <w:sz w:val="24"/>
          <w:szCs w:val="24"/>
        </w:rPr>
      </w:pPr>
      <w:r>
        <w:rPr>
          <w:rFonts w:hint="eastAsia" w:hAnsi="宋体" w:cs="宋体"/>
          <w:sz w:val="24"/>
          <w:szCs w:val="24"/>
        </w:rPr>
        <w:t>说明：</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一、前述《清单》中的“违法行为”，全部具备相应“不予处罚适用条件”的，依法不予行政处罚。</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二、前述《清单》中的用语含义</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（一）“首次被发现”是指该违法行为第一次被行政执法人员发现并有相应记录。</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（二）“及时改正”是指在应急管理部门责令改正前主动改正或者在应急管理部门责令改正后按要求改正。</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三）“危害后果轻微”可以综合考虑当事人的违法行为对社会公共利益、社会生产生活秩序、行政管理秩序，以及公民、法人和其他组织权益等方面的损害或影响程度，包括降低、消除相关损害或影响的时间、成本、可行性等因素判定。应急管理违法行为造成不可挽回的人身财产损失或者较大社会影响的，不应认定为“危害后果轻微”。</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三、有下列情形之一的，不适用《清单》进行不予行政处罚</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（一）近三年内发生过生产安全亡人事故的；</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（二）近一年内被市、区应急管理部门实施行政处罚的；</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（三）被纳入联合惩戒对象的；</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（四）有法定从重情节的。</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四、市、区应急管理部门适用《清单》不予行政处罚，应当按照相关程序要求，做好立案、调查取证、责令改正、复查等工作，依法作出不予行政处罚决定，采取说服教育、劝导示范、警示告诫、指导约谈等方式教育、引导、督促当事人自觉守法，并规范制作行政处罚案卷。</w:t>
      </w:r>
    </w:p>
    <w:p>
      <w:pPr>
        <w:pStyle w:val="8"/>
        <w:spacing w:after="156" w:afterLines="50" w:line="420" w:lineRule="exact"/>
        <w:ind w:firstLine="480" w:firstLineChars="200"/>
        <w:rPr>
          <w:rFonts w:hint="eastAsia" w:hAnsi="宋体" w:cs="宋体"/>
          <w:sz w:val="24"/>
          <w:szCs w:val="24"/>
        </w:rPr>
      </w:pPr>
      <w:r>
        <w:rPr>
          <w:rFonts w:hint="eastAsia" w:hAnsi="宋体" w:cs="宋体"/>
          <w:sz w:val="24"/>
          <w:szCs w:val="24"/>
        </w:rPr>
        <w:t>五、市、区应急管理部门应当加强适用《清单》的行政处罚管理，准确把握“不予处罚适用条件”，不得变相扩大或者缩小适用范围，既彰显应急管理执法温度，又不放松应急管理执法力度。</w:t>
      </w:r>
    </w:p>
    <w:p>
      <w:pPr>
        <w:pStyle w:val="8"/>
        <w:spacing w:after="156" w:afterLines="50" w:line="420" w:lineRule="exact"/>
        <w:ind w:firstLine="480" w:firstLineChars="200"/>
        <w:rPr>
          <w:rFonts w:hint="eastAsia" w:hAnsi="宋体" w:cs="宋体"/>
          <w:sz w:val="44"/>
          <w:szCs w:val="44"/>
        </w:rPr>
      </w:pPr>
      <w:r>
        <w:rPr>
          <w:rFonts w:hint="eastAsia" w:hAnsi="宋体" w:cs="宋体"/>
          <w:sz w:val="24"/>
          <w:szCs w:val="24"/>
        </w:rPr>
        <w:t>六、市、区应急管理部门应当加强执法业务协同和执法信息共享，保障《清单》实施。</w:t>
      </w:r>
    </w:p>
    <w:p>
      <w:pPr>
        <w:pStyle w:val="8"/>
        <w:spacing w:after="156" w:afterLines="50" w:line="420" w:lineRule="exact"/>
        <w:rPr>
          <w:rFonts w:hint="eastAsia" w:ascii="方正小标宋简体" w:hAnsi="黑体" w:eastAsia="方正小标宋简体" w:cs="宋体"/>
          <w:sz w:val="44"/>
          <w:szCs w:val="44"/>
        </w:rPr>
      </w:pPr>
    </w:p>
    <w:p>
      <w:pPr>
        <w:pStyle w:val="8"/>
        <w:spacing w:line="420" w:lineRule="exact"/>
        <w:ind w:firstLine="480" w:firstLineChars="200"/>
        <w:rPr>
          <w:rFonts w:hint="eastAsia" w:hAnsi="宋体"/>
          <w:sz w:val="24"/>
          <w:szCs w:val="24"/>
        </w:rPr>
      </w:pPr>
      <w:bookmarkStart w:id="41" w:name="tiao_7_kuan_1_xiang_5"/>
      <w:bookmarkEnd w:id="41"/>
      <w:bookmarkStart w:id="42" w:name="tiao_7_kuan_1_xiang_7"/>
      <w:bookmarkEnd w:id="42"/>
      <w:bookmarkStart w:id="43" w:name="tiao_7_kuan_1_xiang_6"/>
      <w:bookmarkEnd w:id="43"/>
      <w:bookmarkStart w:id="44" w:name="tiao_7_kuan_1_xiang_4"/>
      <w:bookmarkEnd w:id="44"/>
      <w:bookmarkStart w:id="45" w:name="tiao_27_kuan_1"/>
      <w:bookmarkEnd w:id="45"/>
      <w:bookmarkStart w:id="46" w:name="tiao_43_kuan_1"/>
      <w:bookmarkEnd w:id="46"/>
      <w:bookmarkStart w:id="47" w:name="tiao_20_kuan_1_xiang_1"/>
      <w:bookmarkEnd w:id="47"/>
      <w:bookmarkStart w:id="48" w:name="tiao_26_kuan_1_xiang_2"/>
      <w:bookmarkEnd w:id="48"/>
      <w:bookmarkStart w:id="49" w:name="tiao_14_kuan_1_xiang_1"/>
      <w:bookmarkEnd w:id="49"/>
      <w:bookmarkStart w:id="50" w:name="tiao_25_kuan_1_xiang_3"/>
      <w:bookmarkEnd w:id="50"/>
      <w:bookmarkStart w:id="51" w:name="tiao_26_kuan_1"/>
      <w:bookmarkEnd w:id="51"/>
      <w:bookmarkStart w:id="52" w:name="tiao_18_kuan_1_xiang_1"/>
      <w:bookmarkEnd w:id="52"/>
      <w:bookmarkStart w:id="53" w:name="tiao_26_kuan_1_xiang_1"/>
      <w:bookmarkEnd w:id="53"/>
      <w:bookmarkStart w:id="54" w:name="tiao_47_kuan_1"/>
      <w:bookmarkEnd w:id="54"/>
      <w:bookmarkStart w:id="55" w:name="tiao_27_kuan_1_xiang_1"/>
      <w:bookmarkEnd w:id="55"/>
      <w:bookmarkStart w:id="56" w:name="tiao_18_kuan_2"/>
      <w:bookmarkEnd w:id="56"/>
      <w:bookmarkStart w:id="57" w:name="tiao_25_kuan_1_xiang_5"/>
      <w:bookmarkEnd w:id="57"/>
      <w:bookmarkStart w:id="58" w:name="tiao_18_kuan_1_xiang_2"/>
      <w:bookmarkEnd w:id="58"/>
      <w:bookmarkStart w:id="59" w:name="tiao_20_kuan_1"/>
      <w:bookmarkEnd w:id="59"/>
      <w:bookmarkStart w:id="60" w:name="tiao_20_kuan_1_xiang_2"/>
      <w:bookmarkEnd w:id="60"/>
      <w:bookmarkStart w:id="61" w:name="tiao_25_kuan_1_xiang_4"/>
      <w:bookmarkEnd w:id="61"/>
      <w:bookmarkStart w:id="62" w:name="tiao_14_kuan_1"/>
      <w:bookmarkEnd w:id="62"/>
      <w:bookmarkStart w:id="63" w:name="tiao_27_kuan_1_xiang_4"/>
      <w:bookmarkEnd w:id="63"/>
      <w:bookmarkStart w:id="64" w:name="tiao_14_kuan_1_xiang_2"/>
      <w:bookmarkEnd w:id="64"/>
      <w:bookmarkStart w:id="65" w:name="tiao_46_kuan_1"/>
      <w:bookmarkEnd w:id="65"/>
      <w:bookmarkStart w:id="66" w:name="tiao_26_kuan_1_xiang_3"/>
      <w:bookmarkEnd w:id="66"/>
      <w:bookmarkStart w:id="67" w:name="tiao_40_kuan_1"/>
      <w:bookmarkEnd w:id="67"/>
      <w:bookmarkStart w:id="68" w:name="tiao_14_kuan_1_xiang_3"/>
      <w:bookmarkEnd w:id="68"/>
      <w:bookmarkStart w:id="69" w:name="tiao_42_kuan_1"/>
      <w:bookmarkEnd w:id="69"/>
      <w:bookmarkStart w:id="70" w:name="tiao_18_kuan_1_xiang_3"/>
      <w:bookmarkEnd w:id="70"/>
      <w:bookmarkStart w:id="71" w:name="tiao_18_kuan_1"/>
      <w:bookmarkEnd w:id="71"/>
      <w:bookmarkStart w:id="72" w:name="tiao_27_kuan_1_xiang_2"/>
      <w:bookmarkEnd w:id="72"/>
      <w:bookmarkStart w:id="73" w:name="tiao_27_kuan_1_xiang_3"/>
      <w:bookmarkEnd w:id="73"/>
      <w:bookmarkStart w:id="74" w:name="tiao_15_kuan_1_xiang_3"/>
      <w:bookmarkEnd w:id="74"/>
      <w:bookmarkStart w:id="75" w:name="tiao_25_kuan_1"/>
      <w:bookmarkEnd w:id="75"/>
      <w:bookmarkStart w:id="76" w:name="tiao_15_kuan_1_xiang_2"/>
      <w:bookmarkEnd w:id="76"/>
      <w:bookmarkStart w:id="77" w:name="tiao_81_kuan_1_xiang_6"/>
      <w:bookmarkEnd w:id="77"/>
      <w:bookmarkStart w:id="78" w:name="tiao_15_kuan_1_xiang_1"/>
      <w:bookmarkEnd w:id="78"/>
      <w:bookmarkStart w:id="79" w:name="tiao_81_kuan_1_xiang_2"/>
      <w:bookmarkEnd w:id="79"/>
      <w:bookmarkStart w:id="80" w:name="tiao_81_kuan_1_xiang_5"/>
      <w:bookmarkEnd w:id="80"/>
      <w:bookmarkStart w:id="81" w:name="tiao_81_kuan_1_xiang_4"/>
      <w:bookmarkEnd w:id="81"/>
      <w:bookmarkStart w:id="82" w:name="tiao_81_kuan_1_xiang_3"/>
      <w:bookmarkEnd w:id="82"/>
    </w:p>
    <w:sectPr>
      <w:pgSz w:w="10490" w:h="14742"/>
      <w:pgMar w:top="1418" w:right="1247" w:bottom="1134" w:left="1247"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楷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ourier New">
    <w:altName w:val="DejaVu Sans"/>
    <w:panose1 w:val="02070309020205020404"/>
    <w:charset w:val="00"/>
    <w:family w:val="modern"/>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等线 Light">
    <w:altName w:val="华文楷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STKaiti">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76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483579"/>
      <w:docPartObj>
        <w:docPartGallery w:val="autotext"/>
      </w:docPartObj>
    </w:sdtPr>
    <w:sdtContent>
      <w:p>
        <w:pPr>
          <w:pStyle w:val="10"/>
          <w:jc w:val="center"/>
        </w:pPr>
      </w:p>
      <w:p>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1697077"/>
      <w:docPartObj>
        <w:docPartGallery w:val="autotext"/>
      </w:docPartObj>
    </w:sdtPr>
    <w:sdtContent>
      <w:p>
        <w:pPr>
          <w:pStyle w:val="10"/>
          <w:jc w:val="center"/>
        </w:pPr>
        <w:r>
          <w:fldChar w:fldCharType="begin"/>
        </w:r>
        <w:r>
          <w:instrText xml:space="preserve">PAGE   \* MERGEFORMAT</w:instrText>
        </w:r>
        <w:r>
          <w:fldChar w:fldCharType="separate"/>
        </w:r>
        <w:r>
          <w:rPr>
            <w:lang w:val="zh-CN"/>
          </w:rPr>
          <w:t>52</w:t>
        </w:r>
        <w:r>
          <w:rPr>
            <w:lang w:val="zh-CN"/>
          </w:rPr>
          <w:fldChar w:fldCharType="end"/>
        </w:r>
      </w:p>
    </w:sdtContent>
  </w:sdt>
  <w:p>
    <w:pPr>
      <w:pStyle w:val="1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411250"/>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B0"/>
    <w:rsid w:val="00000603"/>
    <w:rsid w:val="0000512E"/>
    <w:rsid w:val="00005A8B"/>
    <w:rsid w:val="000123D2"/>
    <w:rsid w:val="000128DA"/>
    <w:rsid w:val="000129EE"/>
    <w:rsid w:val="00012D67"/>
    <w:rsid w:val="00014A2D"/>
    <w:rsid w:val="000164FA"/>
    <w:rsid w:val="00017106"/>
    <w:rsid w:val="00017507"/>
    <w:rsid w:val="000213F4"/>
    <w:rsid w:val="00021F62"/>
    <w:rsid w:val="00022D3C"/>
    <w:rsid w:val="000240FB"/>
    <w:rsid w:val="000255D1"/>
    <w:rsid w:val="00034069"/>
    <w:rsid w:val="000357B6"/>
    <w:rsid w:val="0004028B"/>
    <w:rsid w:val="000479CF"/>
    <w:rsid w:val="000500E4"/>
    <w:rsid w:val="0005170F"/>
    <w:rsid w:val="000529E7"/>
    <w:rsid w:val="00052DF6"/>
    <w:rsid w:val="00054BDD"/>
    <w:rsid w:val="0005745F"/>
    <w:rsid w:val="00061901"/>
    <w:rsid w:val="0006251D"/>
    <w:rsid w:val="0006406C"/>
    <w:rsid w:val="00067734"/>
    <w:rsid w:val="00072586"/>
    <w:rsid w:val="00072A3A"/>
    <w:rsid w:val="00073DC9"/>
    <w:rsid w:val="00077BA7"/>
    <w:rsid w:val="0008182E"/>
    <w:rsid w:val="00081D62"/>
    <w:rsid w:val="00083C32"/>
    <w:rsid w:val="000852C1"/>
    <w:rsid w:val="0008674C"/>
    <w:rsid w:val="00087B37"/>
    <w:rsid w:val="000945F7"/>
    <w:rsid w:val="0009615C"/>
    <w:rsid w:val="00096C6D"/>
    <w:rsid w:val="000A2500"/>
    <w:rsid w:val="000A7EEE"/>
    <w:rsid w:val="000B1391"/>
    <w:rsid w:val="000B2389"/>
    <w:rsid w:val="000B2515"/>
    <w:rsid w:val="000B2C18"/>
    <w:rsid w:val="000B5F65"/>
    <w:rsid w:val="000B6F02"/>
    <w:rsid w:val="000B7A57"/>
    <w:rsid w:val="000C3730"/>
    <w:rsid w:val="000C4981"/>
    <w:rsid w:val="000C59ED"/>
    <w:rsid w:val="000C73C0"/>
    <w:rsid w:val="000C7952"/>
    <w:rsid w:val="000D009F"/>
    <w:rsid w:val="000D04E5"/>
    <w:rsid w:val="000D0E35"/>
    <w:rsid w:val="000D1BE8"/>
    <w:rsid w:val="000D2644"/>
    <w:rsid w:val="000D46C2"/>
    <w:rsid w:val="000E551C"/>
    <w:rsid w:val="000E5916"/>
    <w:rsid w:val="000E6A66"/>
    <w:rsid w:val="000F176C"/>
    <w:rsid w:val="000F494F"/>
    <w:rsid w:val="000F635B"/>
    <w:rsid w:val="00103B33"/>
    <w:rsid w:val="00104CF7"/>
    <w:rsid w:val="001107EC"/>
    <w:rsid w:val="0011298F"/>
    <w:rsid w:val="0011349A"/>
    <w:rsid w:val="0011548E"/>
    <w:rsid w:val="001172AA"/>
    <w:rsid w:val="00121767"/>
    <w:rsid w:val="00122B55"/>
    <w:rsid w:val="001260D3"/>
    <w:rsid w:val="00127855"/>
    <w:rsid w:val="00131390"/>
    <w:rsid w:val="0013187D"/>
    <w:rsid w:val="001322C1"/>
    <w:rsid w:val="00132925"/>
    <w:rsid w:val="0013513B"/>
    <w:rsid w:val="0014068D"/>
    <w:rsid w:val="001415D3"/>
    <w:rsid w:val="00141ED7"/>
    <w:rsid w:val="00142B9A"/>
    <w:rsid w:val="0014385F"/>
    <w:rsid w:val="00144352"/>
    <w:rsid w:val="00152196"/>
    <w:rsid w:val="00152C08"/>
    <w:rsid w:val="0015358A"/>
    <w:rsid w:val="001556D4"/>
    <w:rsid w:val="00160683"/>
    <w:rsid w:val="00160E71"/>
    <w:rsid w:val="001619DA"/>
    <w:rsid w:val="00161A9A"/>
    <w:rsid w:val="001623E0"/>
    <w:rsid w:val="001639C1"/>
    <w:rsid w:val="001647DA"/>
    <w:rsid w:val="00165F59"/>
    <w:rsid w:val="00167455"/>
    <w:rsid w:val="00170221"/>
    <w:rsid w:val="001727F4"/>
    <w:rsid w:val="00172A5E"/>
    <w:rsid w:val="00172DB7"/>
    <w:rsid w:val="00173ECD"/>
    <w:rsid w:val="0017524F"/>
    <w:rsid w:val="00176875"/>
    <w:rsid w:val="00176AC2"/>
    <w:rsid w:val="00180056"/>
    <w:rsid w:val="00180ADC"/>
    <w:rsid w:val="001815AE"/>
    <w:rsid w:val="00186433"/>
    <w:rsid w:val="00190E53"/>
    <w:rsid w:val="001916CB"/>
    <w:rsid w:val="00191F6F"/>
    <w:rsid w:val="001A1F27"/>
    <w:rsid w:val="001A6C65"/>
    <w:rsid w:val="001A74CF"/>
    <w:rsid w:val="001B092E"/>
    <w:rsid w:val="001B4E2D"/>
    <w:rsid w:val="001B4EF7"/>
    <w:rsid w:val="001B7D68"/>
    <w:rsid w:val="001C058D"/>
    <w:rsid w:val="001C2EFF"/>
    <w:rsid w:val="001C3E6F"/>
    <w:rsid w:val="001C4E3D"/>
    <w:rsid w:val="001C5729"/>
    <w:rsid w:val="001D0432"/>
    <w:rsid w:val="001D0EF1"/>
    <w:rsid w:val="001D32DB"/>
    <w:rsid w:val="001D3ACE"/>
    <w:rsid w:val="001D54F3"/>
    <w:rsid w:val="001D569F"/>
    <w:rsid w:val="001E6CAF"/>
    <w:rsid w:val="001F04C6"/>
    <w:rsid w:val="001F4F1C"/>
    <w:rsid w:val="001F6805"/>
    <w:rsid w:val="00202D59"/>
    <w:rsid w:val="00203553"/>
    <w:rsid w:val="00207E52"/>
    <w:rsid w:val="0021068A"/>
    <w:rsid w:val="002119FA"/>
    <w:rsid w:val="00212C89"/>
    <w:rsid w:val="00214647"/>
    <w:rsid w:val="00214FCF"/>
    <w:rsid w:val="00220941"/>
    <w:rsid w:val="002220D4"/>
    <w:rsid w:val="0022507A"/>
    <w:rsid w:val="00227A09"/>
    <w:rsid w:val="0023129D"/>
    <w:rsid w:val="0023237F"/>
    <w:rsid w:val="0024049D"/>
    <w:rsid w:val="00241E7E"/>
    <w:rsid w:val="00242108"/>
    <w:rsid w:val="002426ED"/>
    <w:rsid w:val="0024327C"/>
    <w:rsid w:val="0024365E"/>
    <w:rsid w:val="00245AF3"/>
    <w:rsid w:val="00246780"/>
    <w:rsid w:val="00246CE0"/>
    <w:rsid w:val="00247D2E"/>
    <w:rsid w:val="002542AB"/>
    <w:rsid w:val="00257133"/>
    <w:rsid w:val="002619D2"/>
    <w:rsid w:val="00262358"/>
    <w:rsid w:val="00262FAB"/>
    <w:rsid w:val="002656D5"/>
    <w:rsid w:val="00266A50"/>
    <w:rsid w:val="00267346"/>
    <w:rsid w:val="00270854"/>
    <w:rsid w:val="002708BD"/>
    <w:rsid w:val="00271CF6"/>
    <w:rsid w:val="00277484"/>
    <w:rsid w:val="00277587"/>
    <w:rsid w:val="002801E7"/>
    <w:rsid w:val="002814E1"/>
    <w:rsid w:val="00284D80"/>
    <w:rsid w:val="002856AF"/>
    <w:rsid w:val="00286647"/>
    <w:rsid w:val="00287E15"/>
    <w:rsid w:val="00293205"/>
    <w:rsid w:val="00293C7E"/>
    <w:rsid w:val="00294F6C"/>
    <w:rsid w:val="002979F5"/>
    <w:rsid w:val="002A1D37"/>
    <w:rsid w:val="002A311B"/>
    <w:rsid w:val="002A4297"/>
    <w:rsid w:val="002A4922"/>
    <w:rsid w:val="002A5BE0"/>
    <w:rsid w:val="002B003A"/>
    <w:rsid w:val="002B0C0A"/>
    <w:rsid w:val="002C2BCE"/>
    <w:rsid w:val="002C2E74"/>
    <w:rsid w:val="002C597F"/>
    <w:rsid w:val="002C7026"/>
    <w:rsid w:val="002C7923"/>
    <w:rsid w:val="002D0822"/>
    <w:rsid w:val="002D374D"/>
    <w:rsid w:val="002E1D55"/>
    <w:rsid w:val="002F3830"/>
    <w:rsid w:val="002F39EC"/>
    <w:rsid w:val="00303A4F"/>
    <w:rsid w:val="003044CD"/>
    <w:rsid w:val="003052EE"/>
    <w:rsid w:val="00306F37"/>
    <w:rsid w:val="00307F34"/>
    <w:rsid w:val="00311E40"/>
    <w:rsid w:val="00314348"/>
    <w:rsid w:val="003171A7"/>
    <w:rsid w:val="00317CC3"/>
    <w:rsid w:val="00320FE7"/>
    <w:rsid w:val="003214C1"/>
    <w:rsid w:val="003216C3"/>
    <w:rsid w:val="00324770"/>
    <w:rsid w:val="00324EBE"/>
    <w:rsid w:val="003275AD"/>
    <w:rsid w:val="00327A86"/>
    <w:rsid w:val="003300C1"/>
    <w:rsid w:val="003308E9"/>
    <w:rsid w:val="003336D5"/>
    <w:rsid w:val="0033389B"/>
    <w:rsid w:val="00335B19"/>
    <w:rsid w:val="00340C9B"/>
    <w:rsid w:val="003510D1"/>
    <w:rsid w:val="00352384"/>
    <w:rsid w:val="0035548E"/>
    <w:rsid w:val="003574A8"/>
    <w:rsid w:val="00360768"/>
    <w:rsid w:val="003612D5"/>
    <w:rsid w:val="00361FED"/>
    <w:rsid w:val="0036329C"/>
    <w:rsid w:val="0036370F"/>
    <w:rsid w:val="00365DF3"/>
    <w:rsid w:val="00366C22"/>
    <w:rsid w:val="00366F84"/>
    <w:rsid w:val="003743D4"/>
    <w:rsid w:val="0038001E"/>
    <w:rsid w:val="00380D8E"/>
    <w:rsid w:val="0038409F"/>
    <w:rsid w:val="0038649A"/>
    <w:rsid w:val="00392C1A"/>
    <w:rsid w:val="00396DBF"/>
    <w:rsid w:val="003A1884"/>
    <w:rsid w:val="003A196B"/>
    <w:rsid w:val="003A2B2E"/>
    <w:rsid w:val="003A32A1"/>
    <w:rsid w:val="003A3E1D"/>
    <w:rsid w:val="003A4EA5"/>
    <w:rsid w:val="003A58FF"/>
    <w:rsid w:val="003A6510"/>
    <w:rsid w:val="003A6511"/>
    <w:rsid w:val="003B23B3"/>
    <w:rsid w:val="003C009E"/>
    <w:rsid w:val="003C48C1"/>
    <w:rsid w:val="003C6626"/>
    <w:rsid w:val="003D0973"/>
    <w:rsid w:val="003D1540"/>
    <w:rsid w:val="003D4F59"/>
    <w:rsid w:val="003D50C4"/>
    <w:rsid w:val="003D620D"/>
    <w:rsid w:val="003E16DE"/>
    <w:rsid w:val="003E2604"/>
    <w:rsid w:val="003E30E9"/>
    <w:rsid w:val="003E5C0D"/>
    <w:rsid w:val="003E674A"/>
    <w:rsid w:val="003F503D"/>
    <w:rsid w:val="003F6198"/>
    <w:rsid w:val="003F686F"/>
    <w:rsid w:val="00402384"/>
    <w:rsid w:val="00405936"/>
    <w:rsid w:val="00410451"/>
    <w:rsid w:val="00411DF0"/>
    <w:rsid w:val="0041381E"/>
    <w:rsid w:val="00417027"/>
    <w:rsid w:val="004223CC"/>
    <w:rsid w:val="0042365C"/>
    <w:rsid w:val="00425253"/>
    <w:rsid w:val="00425C83"/>
    <w:rsid w:val="004266C9"/>
    <w:rsid w:val="0042675E"/>
    <w:rsid w:val="004270AF"/>
    <w:rsid w:val="00433986"/>
    <w:rsid w:val="004420AF"/>
    <w:rsid w:val="00442356"/>
    <w:rsid w:val="00442966"/>
    <w:rsid w:val="00445447"/>
    <w:rsid w:val="00447638"/>
    <w:rsid w:val="004500D2"/>
    <w:rsid w:val="004505C4"/>
    <w:rsid w:val="00451E72"/>
    <w:rsid w:val="00453231"/>
    <w:rsid w:val="004540F2"/>
    <w:rsid w:val="004552C0"/>
    <w:rsid w:val="00455526"/>
    <w:rsid w:val="00456B4E"/>
    <w:rsid w:val="00456DB4"/>
    <w:rsid w:val="004576AB"/>
    <w:rsid w:val="00460848"/>
    <w:rsid w:val="004644EF"/>
    <w:rsid w:val="00464C08"/>
    <w:rsid w:val="0046634C"/>
    <w:rsid w:val="00467903"/>
    <w:rsid w:val="004679C5"/>
    <w:rsid w:val="00470462"/>
    <w:rsid w:val="00470765"/>
    <w:rsid w:val="00470B9F"/>
    <w:rsid w:val="00471963"/>
    <w:rsid w:val="004771A7"/>
    <w:rsid w:val="00482569"/>
    <w:rsid w:val="00484822"/>
    <w:rsid w:val="00485427"/>
    <w:rsid w:val="0048664E"/>
    <w:rsid w:val="00486A28"/>
    <w:rsid w:val="0049175A"/>
    <w:rsid w:val="004921A9"/>
    <w:rsid w:val="00492322"/>
    <w:rsid w:val="0049435A"/>
    <w:rsid w:val="004963B2"/>
    <w:rsid w:val="004A1041"/>
    <w:rsid w:val="004A194C"/>
    <w:rsid w:val="004A1BA4"/>
    <w:rsid w:val="004A4441"/>
    <w:rsid w:val="004A4546"/>
    <w:rsid w:val="004A4B98"/>
    <w:rsid w:val="004A5DD2"/>
    <w:rsid w:val="004A5F6D"/>
    <w:rsid w:val="004B1956"/>
    <w:rsid w:val="004B1E2F"/>
    <w:rsid w:val="004B3F29"/>
    <w:rsid w:val="004B58D5"/>
    <w:rsid w:val="004B5D1E"/>
    <w:rsid w:val="004B772E"/>
    <w:rsid w:val="004C0906"/>
    <w:rsid w:val="004C19A5"/>
    <w:rsid w:val="004C5D20"/>
    <w:rsid w:val="004C6653"/>
    <w:rsid w:val="004C7C59"/>
    <w:rsid w:val="004C7EF3"/>
    <w:rsid w:val="004D1FAA"/>
    <w:rsid w:val="004D24C6"/>
    <w:rsid w:val="004D51D4"/>
    <w:rsid w:val="004D775D"/>
    <w:rsid w:val="004E02EE"/>
    <w:rsid w:val="004E3F76"/>
    <w:rsid w:val="004E525A"/>
    <w:rsid w:val="004E579E"/>
    <w:rsid w:val="004E76F0"/>
    <w:rsid w:val="004F3B71"/>
    <w:rsid w:val="00501C8C"/>
    <w:rsid w:val="00502714"/>
    <w:rsid w:val="005037E2"/>
    <w:rsid w:val="005048C9"/>
    <w:rsid w:val="00504D77"/>
    <w:rsid w:val="00511267"/>
    <w:rsid w:val="00511953"/>
    <w:rsid w:val="005125A0"/>
    <w:rsid w:val="00514387"/>
    <w:rsid w:val="00514D72"/>
    <w:rsid w:val="005161D5"/>
    <w:rsid w:val="005164A0"/>
    <w:rsid w:val="005245EC"/>
    <w:rsid w:val="00525AD6"/>
    <w:rsid w:val="0052600E"/>
    <w:rsid w:val="00530259"/>
    <w:rsid w:val="0053234D"/>
    <w:rsid w:val="00534162"/>
    <w:rsid w:val="00541089"/>
    <w:rsid w:val="00541574"/>
    <w:rsid w:val="00542873"/>
    <w:rsid w:val="005445B4"/>
    <w:rsid w:val="00547F57"/>
    <w:rsid w:val="00554E20"/>
    <w:rsid w:val="005562BB"/>
    <w:rsid w:val="00560F53"/>
    <w:rsid w:val="005648F0"/>
    <w:rsid w:val="00567B38"/>
    <w:rsid w:val="005760A2"/>
    <w:rsid w:val="00577A28"/>
    <w:rsid w:val="005806F1"/>
    <w:rsid w:val="0058194D"/>
    <w:rsid w:val="00581ECF"/>
    <w:rsid w:val="00582388"/>
    <w:rsid w:val="00582BC7"/>
    <w:rsid w:val="005847E4"/>
    <w:rsid w:val="00590EB0"/>
    <w:rsid w:val="00591A1D"/>
    <w:rsid w:val="00593F4F"/>
    <w:rsid w:val="00596CAF"/>
    <w:rsid w:val="005A22DA"/>
    <w:rsid w:val="005A2E73"/>
    <w:rsid w:val="005A6539"/>
    <w:rsid w:val="005A6B17"/>
    <w:rsid w:val="005B03F0"/>
    <w:rsid w:val="005B0597"/>
    <w:rsid w:val="005B244E"/>
    <w:rsid w:val="005B39D3"/>
    <w:rsid w:val="005B7EF1"/>
    <w:rsid w:val="005C1E79"/>
    <w:rsid w:val="005C387F"/>
    <w:rsid w:val="005C3E9B"/>
    <w:rsid w:val="005C4A85"/>
    <w:rsid w:val="005C63EB"/>
    <w:rsid w:val="005D1CCE"/>
    <w:rsid w:val="005D2F7E"/>
    <w:rsid w:val="005E0444"/>
    <w:rsid w:val="005E0FE9"/>
    <w:rsid w:val="005E1862"/>
    <w:rsid w:val="005E2051"/>
    <w:rsid w:val="005E68D1"/>
    <w:rsid w:val="005F40CA"/>
    <w:rsid w:val="005F668F"/>
    <w:rsid w:val="005F6C71"/>
    <w:rsid w:val="006000A7"/>
    <w:rsid w:val="00602E07"/>
    <w:rsid w:val="0060598F"/>
    <w:rsid w:val="00620C4F"/>
    <w:rsid w:val="00621213"/>
    <w:rsid w:val="0062436B"/>
    <w:rsid w:val="006307E0"/>
    <w:rsid w:val="00630AE6"/>
    <w:rsid w:val="0063122D"/>
    <w:rsid w:val="00632596"/>
    <w:rsid w:val="0063568E"/>
    <w:rsid w:val="0063687F"/>
    <w:rsid w:val="00641159"/>
    <w:rsid w:val="00644176"/>
    <w:rsid w:val="0065061C"/>
    <w:rsid w:val="00651B94"/>
    <w:rsid w:val="006528CF"/>
    <w:rsid w:val="00657633"/>
    <w:rsid w:val="00657F19"/>
    <w:rsid w:val="0066038F"/>
    <w:rsid w:val="00663698"/>
    <w:rsid w:val="00663C1C"/>
    <w:rsid w:val="00666DFD"/>
    <w:rsid w:val="006673B1"/>
    <w:rsid w:val="00671CEA"/>
    <w:rsid w:val="006728AB"/>
    <w:rsid w:val="00681A27"/>
    <w:rsid w:val="00681FF6"/>
    <w:rsid w:val="006838A0"/>
    <w:rsid w:val="006851C6"/>
    <w:rsid w:val="00687D27"/>
    <w:rsid w:val="00687E5A"/>
    <w:rsid w:val="0069031B"/>
    <w:rsid w:val="00691D54"/>
    <w:rsid w:val="006928C6"/>
    <w:rsid w:val="00693ED6"/>
    <w:rsid w:val="006A03CE"/>
    <w:rsid w:val="006A200A"/>
    <w:rsid w:val="006A5141"/>
    <w:rsid w:val="006A62D0"/>
    <w:rsid w:val="006A73B4"/>
    <w:rsid w:val="006B04E7"/>
    <w:rsid w:val="006B108D"/>
    <w:rsid w:val="006B375D"/>
    <w:rsid w:val="006B385D"/>
    <w:rsid w:val="006C4C77"/>
    <w:rsid w:val="006C6FEC"/>
    <w:rsid w:val="006C7FB4"/>
    <w:rsid w:val="006D45CE"/>
    <w:rsid w:val="006D7461"/>
    <w:rsid w:val="006E37FB"/>
    <w:rsid w:val="006E7472"/>
    <w:rsid w:val="006F098C"/>
    <w:rsid w:val="006F2B86"/>
    <w:rsid w:val="006F4883"/>
    <w:rsid w:val="006F5C1E"/>
    <w:rsid w:val="006F60DF"/>
    <w:rsid w:val="00700AB5"/>
    <w:rsid w:val="00701C54"/>
    <w:rsid w:val="00701C59"/>
    <w:rsid w:val="00704D67"/>
    <w:rsid w:val="00705734"/>
    <w:rsid w:val="00705ED6"/>
    <w:rsid w:val="007164C9"/>
    <w:rsid w:val="00720524"/>
    <w:rsid w:val="00720606"/>
    <w:rsid w:val="00722A8A"/>
    <w:rsid w:val="007232D3"/>
    <w:rsid w:val="007259E8"/>
    <w:rsid w:val="00726346"/>
    <w:rsid w:val="007326A1"/>
    <w:rsid w:val="00733C0C"/>
    <w:rsid w:val="00734272"/>
    <w:rsid w:val="00744BA0"/>
    <w:rsid w:val="00747E18"/>
    <w:rsid w:val="00750F63"/>
    <w:rsid w:val="007511B3"/>
    <w:rsid w:val="007512CB"/>
    <w:rsid w:val="00751562"/>
    <w:rsid w:val="00752A82"/>
    <w:rsid w:val="00762437"/>
    <w:rsid w:val="007625F1"/>
    <w:rsid w:val="00763002"/>
    <w:rsid w:val="007646E1"/>
    <w:rsid w:val="00764BBA"/>
    <w:rsid w:val="007650E4"/>
    <w:rsid w:val="0077026E"/>
    <w:rsid w:val="00772FD1"/>
    <w:rsid w:val="0077402C"/>
    <w:rsid w:val="0077586F"/>
    <w:rsid w:val="00776ACD"/>
    <w:rsid w:val="00777214"/>
    <w:rsid w:val="00782013"/>
    <w:rsid w:val="0078283E"/>
    <w:rsid w:val="00783733"/>
    <w:rsid w:val="00783E74"/>
    <w:rsid w:val="007840E8"/>
    <w:rsid w:val="0078457D"/>
    <w:rsid w:val="007859A6"/>
    <w:rsid w:val="00786477"/>
    <w:rsid w:val="00787A07"/>
    <w:rsid w:val="00794C59"/>
    <w:rsid w:val="007A3B2F"/>
    <w:rsid w:val="007A478C"/>
    <w:rsid w:val="007A5AD1"/>
    <w:rsid w:val="007B16DF"/>
    <w:rsid w:val="007C02E4"/>
    <w:rsid w:val="007C3A36"/>
    <w:rsid w:val="007C6DCD"/>
    <w:rsid w:val="007C75A2"/>
    <w:rsid w:val="007C7936"/>
    <w:rsid w:val="007D048D"/>
    <w:rsid w:val="007D14AC"/>
    <w:rsid w:val="007D63A0"/>
    <w:rsid w:val="007E0455"/>
    <w:rsid w:val="007E0787"/>
    <w:rsid w:val="007E21CD"/>
    <w:rsid w:val="007E36E4"/>
    <w:rsid w:val="007E3C50"/>
    <w:rsid w:val="007E5119"/>
    <w:rsid w:val="007E6444"/>
    <w:rsid w:val="007E7D02"/>
    <w:rsid w:val="007F082B"/>
    <w:rsid w:val="007F0DF5"/>
    <w:rsid w:val="007F1B62"/>
    <w:rsid w:val="007F3ED9"/>
    <w:rsid w:val="00806EF7"/>
    <w:rsid w:val="00810D48"/>
    <w:rsid w:val="00816D82"/>
    <w:rsid w:val="00816DC6"/>
    <w:rsid w:val="00820C4F"/>
    <w:rsid w:val="00824F29"/>
    <w:rsid w:val="008277BB"/>
    <w:rsid w:val="00830676"/>
    <w:rsid w:val="00832094"/>
    <w:rsid w:val="008322DF"/>
    <w:rsid w:val="0083795C"/>
    <w:rsid w:val="008411CA"/>
    <w:rsid w:val="00841CCE"/>
    <w:rsid w:val="00842445"/>
    <w:rsid w:val="008426E5"/>
    <w:rsid w:val="008443A4"/>
    <w:rsid w:val="0085058C"/>
    <w:rsid w:val="008505FF"/>
    <w:rsid w:val="0085190F"/>
    <w:rsid w:val="008528D2"/>
    <w:rsid w:val="00855C9F"/>
    <w:rsid w:val="00856E7B"/>
    <w:rsid w:val="00860C29"/>
    <w:rsid w:val="00861EBD"/>
    <w:rsid w:val="00863497"/>
    <w:rsid w:val="0086435A"/>
    <w:rsid w:val="00865BF0"/>
    <w:rsid w:val="008707B4"/>
    <w:rsid w:val="008729C2"/>
    <w:rsid w:val="00873781"/>
    <w:rsid w:val="00874624"/>
    <w:rsid w:val="00874B7B"/>
    <w:rsid w:val="00875236"/>
    <w:rsid w:val="0087775D"/>
    <w:rsid w:val="008812B4"/>
    <w:rsid w:val="00881B0A"/>
    <w:rsid w:val="00882E2E"/>
    <w:rsid w:val="008834EC"/>
    <w:rsid w:val="0088441F"/>
    <w:rsid w:val="00885C24"/>
    <w:rsid w:val="00887209"/>
    <w:rsid w:val="00887657"/>
    <w:rsid w:val="00887A42"/>
    <w:rsid w:val="0089547E"/>
    <w:rsid w:val="0089609B"/>
    <w:rsid w:val="008972EC"/>
    <w:rsid w:val="008A0A38"/>
    <w:rsid w:val="008B3078"/>
    <w:rsid w:val="008B3F08"/>
    <w:rsid w:val="008B41E1"/>
    <w:rsid w:val="008B43CD"/>
    <w:rsid w:val="008B5AB3"/>
    <w:rsid w:val="008B5D5A"/>
    <w:rsid w:val="008B61FF"/>
    <w:rsid w:val="008B6649"/>
    <w:rsid w:val="008B795C"/>
    <w:rsid w:val="008C040D"/>
    <w:rsid w:val="008C2948"/>
    <w:rsid w:val="008C5AF4"/>
    <w:rsid w:val="008C743E"/>
    <w:rsid w:val="008D3B7F"/>
    <w:rsid w:val="008D4416"/>
    <w:rsid w:val="008D44C5"/>
    <w:rsid w:val="008D4AE2"/>
    <w:rsid w:val="008E3B05"/>
    <w:rsid w:val="008E647B"/>
    <w:rsid w:val="008F0278"/>
    <w:rsid w:val="008F466B"/>
    <w:rsid w:val="008F607D"/>
    <w:rsid w:val="008F67F4"/>
    <w:rsid w:val="008F72BE"/>
    <w:rsid w:val="008F7DD5"/>
    <w:rsid w:val="0090004F"/>
    <w:rsid w:val="00905982"/>
    <w:rsid w:val="00907BCD"/>
    <w:rsid w:val="00907F46"/>
    <w:rsid w:val="00907F51"/>
    <w:rsid w:val="00912B07"/>
    <w:rsid w:val="00913103"/>
    <w:rsid w:val="009216DF"/>
    <w:rsid w:val="0093080A"/>
    <w:rsid w:val="00930EE2"/>
    <w:rsid w:val="0093178E"/>
    <w:rsid w:val="009318B3"/>
    <w:rsid w:val="00934017"/>
    <w:rsid w:val="00935812"/>
    <w:rsid w:val="009368D3"/>
    <w:rsid w:val="00940A0F"/>
    <w:rsid w:val="00940F70"/>
    <w:rsid w:val="00942196"/>
    <w:rsid w:val="009447A5"/>
    <w:rsid w:val="00947377"/>
    <w:rsid w:val="00953FE9"/>
    <w:rsid w:val="009543CD"/>
    <w:rsid w:val="00954830"/>
    <w:rsid w:val="0095483B"/>
    <w:rsid w:val="00954B9F"/>
    <w:rsid w:val="00957A7B"/>
    <w:rsid w:val="00957E32"/>
    <w:rsid w:val="00962F9E"/>
    <w:rsid w:val="0096585E"/>
    <w:rsid w:val="009662D3"/>
    <w:rsid w:val="00973EA3"/>
    <w:rsid w:val="009751E4"/>
    <w:rsid w:val="009760BA"/>
    <w:rsid w:val="0097706C"/>
    <w:rsid w:val="009809CE"/>
    <w:rsid w:val="00987907"/>
    <w:rsid w:val="00987B27"/>
    <w:rsid w:val="0099149C"/>
    <w:rsid w:val="0099278B"/>
    <w:rsid w:val="00993255"/>
    <w:rsid w:val="009951A4"/>
    <w:rsid w:val="0099634D"/>
    <w:rsid w:val="00996C49"/>
    <w:rsid w:val="009A318E"/>
    <w:rsid w:val="009A42C3"/>
    <w:rsid w:val="009A55D3"/>
    <w:rsid w:val="009A6145"/>
    <w:rsid w:val="009B094B"/>
    <w:rsid w:val="009B1534"/>
    <w:rsid w:val="009B61F0"/>
    <w:rsid w:val="009B6C09"/>
    <w:rsid w:val="009C4EDA"/>
    <w:rsid w:val="009C671F"/>
    <w:rsid w:val="009D24B6"/>
    <w:rsid w:val="009D444A"/>
    <w:rsid w:val="009D5B62"/>
    <w:rsid w:val="009D5F32"/>
    <w:rsid w:val="009D6B1A"/>
    <w:rsid w:val="009D7A1F"/>
    <w:rsid w:val="009E1A34"/>
    <w:rsid w:val="009E4DC4"/>
    <w:rsid w:val="009E5764"/>
    <w:rsid w:val="009E6C44"/>
    <w:rsid w:val="009E6F3E"/>
    <w:rsid w:val="009E70A9"/>
    <w:rsid w:val="009F20F4"/>
    <w:rsid w:val="009F2FD6"/>
    <w:rsid w:val="009F385D"/>
    <w:rsid w:val="00A00E2D"/>
    <w:rsid w:val="00A06910"/>
    <w:rsid w:val="00A13579"/>
    <w:rsid w:val="00A20FD9"/>
    <w:rsid w:val="00A211F9"/>
    <w:rsid w:val="00A223EF"/>
    <w:rsid w:val="00A259BB"/>
    <w:rsid w:val="00A26322"/>
    <w:rsid w:val="00A27E8C"/>
    <w:rsid w:val="00A316CE"/>
    <w:rsid w:val="00A3350C"/>
    <w:rsid w:val="00A3412C"/>
    <w:rsid w:val="00A357C1"/>
    <w:rsid w:val="00A37C86"/>
    <w:rsid w:val="00A418A0"/>
    <w:rsid w:val="00A42452"/>
    <w:rsid w:val="00A433EB"/>
    <w:rsid w:val="00A43EE0"/>
    <w:rsid w:val="00A503B8"/>
    <w:rsid w:val="00A50517"/>
    <w:rsid w:val="00A55AE7"/>
    <w:rsid w:val="00A57878"/>
    <w:rsid w:val="00A6050D"/>
    <w:rsid w:val="00A611B9"/>
    <w:rsid w:val="00A62903"/>
    <w:rsid w:val="00A64AB2"/>
    <w:rsid w:val="00A67621"/>
    <w:rsid w:val="00A70665"/>
    <w:rsid w:val="00A72C51"/>
    <w:rsid w:val="00A768AE"/>
    <w:rsid w:val="00A81113"/>
    <w:rsid w:val="00A815FE"/>
    <w:rsid w:val="00A81E0E"/>
    <w:rsid w:val="00A82CE4"/>
    <w:rsid w:val="00A82E3A"/>
    <w:rsid w:val="00A87501"/>
    <w:rsid w:val="00A9199D"/>
    <w:rsid w:val="00A91FB0"/>
    <w:rsid w:val="00A936E5"/>
    <w:rsid w:val="00A9604D"/>
    <w:rsid w:val="00AA0459"/>
    <w:rsid w:val="00AA1C4D"/>
    <w:rsid w:val="00AA37AC"/>
    <w:rsid w:val="00AA5558"/>
    <w:rsid w:val="00AB109B"/>
    <w:rsid w:val="00AB356A"/>
    <w:rsid w:val="00AB72BB"/>
    <w:rsid w:val="00AC0154"/>
    <w:rsid w:val="00AC2924"/>
    <w:rsid w:val="00AC39F3"/>
    <w:rsid w:val="00AC4036"/>
    <w:rsid w:val="00AD022B"/>
    <w:rsid w:val="00AD1C5D"/>
    <w:rsid w:val="00AD3A99"/>
    <w:rsid w:val="00AE2183"/>
    <w:rsid w:val="00AE2ADD"/>
    <w:rsid w:val="00AE3604"/>
    <w:rsid w:val="00AE42E2"/>
    <w:rsid w:val="00AE7B27"/>
    <w:rsid w:val="00AF380A"/>
    <w:rsid w:val="00AF5048"/>
    <w:rsid w:val="00B003AC"/>
    <w:rsid w:val="00B016EE"/>
    <w:rsid w:val="00B0311F"/>
    <w:rsid w:val="00B057C3"/>
    <w:rsid w:val="00B119AE"/>
    <w:rsid w:val="00B12377"/>
    <w:rsid w:val="00B12ED7"/>
    <w:rsid w:val="00B14885"/>
    <w:rsid w:val="00B1610F"/>
    <w:rsid w:val="00B167D0"/>
    <w:rsid w:val="00B20767"/>
    <w:rsid w:val="00B2247C"/>
    <w:rsid w:val="00B24059"/>
    <w:rsid w:val="00B25650"/>
    <w:rsid w:val="00B30956"/>
    <w:rsid w:val="00B36F3C"/>
    <w:rsid w:val="00B37D95"/>
    <w:rsid w:val="00B407EE"/>
    <w:rsid w:val="00B420E8"/>
    <w:rsid w:val="00B500DA"/>
    <w:rsid w:val="00B51019"/>
    <w:rsid w:val="00B51B89"/>
    <w:rsid w:val="00B51C10"/>
    <w:rsid w:val="00B5660A"/>
    <w:rsid w:val="00B638BB"/>
    <w:rsid w:val="00B70BD1"/>
    <w:rsid w:val="00B70CA2"/>
    <w:rsid w:val="00B72F2A"/>
    <w:rsid w:val="00B74ED0"/>
    <w:rsid w:val="00B826E5"/>
    <w:rsid w:val="00B848AC"/>
    <w:rsid w:val="00B8538A"/>
    <w:rsid w:val="00B91C8B"/>
    <w:rsid w:val="00B925AF"/>
    <w:rsid w:val="00B92916"/>
    <w:rsid w:val="00B932C0"/>
    <w:rsid w:val="00B93E80"/>
    <w:rsid w:val="00B947B0"/>
    <w:rsid w:val="00BA3A6B"/>
    <w:rsid w:val="00BA618F"/>
    <w:rsid w:val="00BA6C3C"/>
    <w:rsid w:val="00BB16E0"/>
    <w:rsid w:val="00BB1E0E"/>
    <w:rsid w:val="00BB45A4"/>
    <w:rsid w:val="00BB74F1"/>
    <w:rsid w:val="00BB75E6"/>
    <w:rsid w:val="00BC057F"/>
    <w:rsid w:val="00BC2437"/>
    <w:rsid w:val="00BC3744"/>
    <w:rsid w:val="00BC41F8"/>
    <w:rsid w:val="00BC574E"/>
    <w:rsid w:val="00BD2E2C"/>
    <w:rsid w:val="00BD3142"/>
    <w:rsid w:val="00BD32E5"/>
    <w:rsid w:val="00BD4730"/>
    <w:rsid w:val="00BD55DD"/>
    <w:rsid w:val="00BD7BF1"/>
    <w:rsid w:val="00BE09B0"/>
    <w:rsid w:val="00BE7003"/>
    <w:rsid w:val="00BE751E"/>
    <w:rsid w:val="00BF1492"/>
    <w:rsid w:val="00BF1A78"/>
    <w:rsid w:val="00BF3D48"/>
    <w:rsid w:val="00BF5AB1"/>
    <w:rsid w:val="00BF5B34"/>
    <w:rsid w:val="00BF6E52"/>
    <w:rsid w:val="00C02945"/>
    <w:rsid w:val="00C03D6E"/>
    <w:rsid w:val="00C061B0"/>
    <w:rsid w:val="00C078FB"/>
    <w:rsid w:val="00C13173"/>
    <w:rsid w:val="00C13244"/>
    <w:rsid w:val="00C152C1"/>
    <w:rsid w:val="00C25909"/>
    <w:rsid w:val="00C27707"/>
    <w:rsid w:val="00C30966"/>
    <w:rsid w:val="00C3132E"/>
    <w:rsid w:val="00C3338F"/>
    <w:rsid w:val="00C402AD"/>
    <w:rsid w:val="00C4215F"/>
    <w:rsid w:val="00C425DB"/>
    <w:rsid w:val="00C507E9"/>
    <w:rsid w:val="00C50D02"/>
    <w:rsid w:val="00C56DD2"/>
    <w:rsid w:val="00C61895"/>
    <w:rsid w:val="00C6423B"/>
    <w:rsid w:val="00C821FE"/>
    <w:rsid w:val="00C870C5"/>
    <w:rsid w:val="00C87805"/>
    <w:rsid w:val="00C91F5E"/>
    <w:rsid w:val="00C93EE6"/>
    <w:rsid w:val="00CA25E8"/>
    <w:rsid w:val="00CA6174"/>
    <w:rsid w:val="00CA6202"/>
    <w:rsid w:val="00CA6CCF"/>
    <w:rsid w:val="00CB2333"/>
    <w:rsid w:val="00CB39F0"/>
    <w:rsid w:val="00CB6554"/>
    <w:rsid w:val="00CB76A1"/>
    <w:rsid w:val="00CC5BD7"/>
    <w:rsid w:val="00CC70A5"/>
    <w:rsid w:val="00CD20E5"/>
    <w:rsid w:val="00CD3756"/>
    <w:rsid w:val="00CD49A0"/>
    <w:rsid w:val="00CD4CCE"/>
    <w:rsid w:val="00CD4E87"/>
    <w:rsid w:val="00CE0F69"/>
    <w:rsid w:val="00CE3C37"/>
    <w:rsid w:val="00CE453A"/>
    <w:rsid w:val="00CE45B8"/>
    <w:rsid w:val="00CE5C58"/>
    <w:rsid w:val="00CE65FC"/>
    <w:rsid w:val="00CF2943"/>
    <w:rsid w:val="00CF3158"/>
    <w:rsid w:val="00CF377A"/>
    <w:rsid w:val="00CF3C6C"/>
    <w:rsid w:val="00CF4243"/>
    <w:rsid w:val="00CF6D9E"/>
    <w:rsid w:val="00CF72AD"/>
    <w:rsid w:val="00CF76DC"/>
    <w:rsid w:val="00D00946"/>
    <w:rsid w:val="00D06B90"/>
    <w:rsid w:val="00D07108"/>
    <w:rsid w:val="00D07FC0"/>
    <w:rsid w:val="00D109EC"/>
    <w:rsid w:val="00D15EDC"/>
    <w:rsid w:val="00D17249"/>
    <w:rsid w:val="00D205D0"/>
    <w:rsid w:val="00D24A21"/>
    <w:rsid w:val="00D24D9A"/>
    <w:rsid w:val="00D253A6"/>
    <w:rsid w:val="00D26289"/>
    <w:rsid w:val="00D31F22"/>
    <w:rsid w:val="00D333C1"/>
    <w:rsid w:val="00D335D9"/>
    <w:rsid w:val="00D33AFB"/>
    <w:rsid w:val="00D346E0"/>
    <w:rsid w:val="00D35357"/>
    <w:rsid w:val="00D3604B"/>
    <w:rsid w:val="00D370CA"/>
    <w:rsid w:val="00D417D2"/>
    <w:rsid w:val="00D42522"/>
    <w:rsid w:val="00D474E7"/>
    <w:rsid w:val="00D4757C"/>
    <w:rsid w:val="00D526C6"/>
    <w:rsid w:val="00D52C81"/>
    <w:rsid w:val="00D53DC3"/>
    <w:rsid w:val="00D55989"/>
    <w:rsid w:val="00D566C3"/>
    <w:rsid w:val="00D600CD"/>
    <w:rsid w:val="00D61168"/>
    <w:rsid w:val="00D616D4"/>
    <w:rsid w:val="00D6171D"/>
    <w:rsid w:val="00D62686"/>
    <w:rsid w:val="00D70C4D"/>
    <w:rsid w:val="00D73C1F"/>
    <w:rsid w:val="00D74730"/>
    <w:rsid w:val="00D753EA"/>
    <w:rsid w:val="00D76525"/>
    <w:rsid w:val="00D80794"/>
    <w:rsid w:val="00D85441"/>
    <w:rsid w:val="00D87D9C"/>
    <w:rsid w:val="00D90966"/>
    <w:rsid w:val="00D909A1"/>
    <w:rsid w:val="00D91DAF"/>
    <w:rsid w:val="00D9265D"/>
    <w:rsid w:val="00D933AE"/>
    <w:rsid w:val="00D94B1F"/>
    <w:rsid w:val="00D94B88"/>
    <w:rsid w:val="00D96A9A"/>
    <w:rsid w:val="00DA1E2B"/>
    <w:rsid w:val="00DB0E44"/>
    <w:rsid w:val="00DB102E"/>
    <w:rsid w:val="00DB2459"/>
    <w:rsid w:val="00DB379F"/>
    <w:rsid w:val="00DC0D79"/>
    <w:rsid w:val="00DC3284"/>
    <w:rsid w:val="00DC3332"/>
    <w:rsid w:val="00DC489D"/>
    <w:rsid w:val="00DC56A5"/>
    <w:rsid w:val="00DC56AB"/>
    <w:rsid w:val="00DC748B"/>
    <w:rsid w:val="00DC7F89"/>
    <w:rsid w:val="00DD0A1C"/>
    <w:rsid w:val="00DD211F"/>
    <w:rsid w:val="00DD2903"/>
    <w:rsid w:val="00DE0470"/>
    <w:rsid w:val="00DE08F6"/>
    <w:rsid w:val="00DE1407"/>
    <w:rsid w:val="00DE4D30"/>
    <w:rsid w:val="00DE561A"/>
    <w:rsid w:val="00DE6DBD"/>
    <w:rsid w:val="00DF13CB"/>
    <w:rsid w:val="00DF4DCF"/>
    <w:rsid w:val="00E01B66"/>
    <w:rsid w:val="00E01E59"/>
    <w:rsid w:val="00E06B48"/>
    <w:rsid w:val="00E1173A"/>
    <w:rsid w:val="00E13192"/>
    <w:rsid w:val="00E1590C"/>
    <w:rsid w:val="00E16A2E"/>
    <w:rsid w:val="00E16BB5"/>
    <w:rsid w:val="00E24E43"/>
    <w:rsid w:val="00E269C4"/>
    <w:rsid w:val="00E27611"/>
    <w:rsid w:val="00E3148A"/>
    <w:rsid w:val="00E3390E"/>
    <w:rsid w:val="00E35BB4"/>
    <w:rsid w:val="00E35CBC"/>
    <w:rsid w:val="00E44B48"/>
    <w:rsid w:val="00E44C21"/>
    <w:rsid w:val="00E521BB"/>
    <w:rsid w:val="00E529D6"/>
    <w:rsid w:val="00E534B4"/>
    <w:rsid w:val="00E554F7"/>
    <w:rsid w:val="00E57510"/>
    <w:rsid w:val="00E5768D"/>
    <w:rsid w:val="00E578EC"/>
    <w:rsid w:val="00E664A6"/>
    <w:rsid w:val="00E667CC"/>
    <w:rsid w:val="00E67033"/>
    <w:rsid w:val="00E71936"/>
    <w:rsid w:val="00E803EE"/>
    <w:rsid w:val="00E80E2C"/>
    <w:rsid w:val="00E8218A"/>
    <w:rsid w:val="00E844CD"/>
    <w:rsid w:val="00E9196A"/>
    <w:rsid w:val="00E94A36"/>
    <w:rsid w:val="00EA152A"/>
    <w:rsid w:val="00EA1839"/>
    <w:rsid w:val="00EA2303"/>
    <w:rsid w:val="00EA4D85"/>
    <w:rsid w:val="00EB42B7"/>
    <w:rsid w:val="00EB5FC2"/>
    <w:rsid w:val="00EB6816"/>
    <w:rsid w:val="00EB71A1"/>
    <w:rsid w:val="00EC323C"/>
    <w:rsid w:val="00EC5435"/>
    <w:rsid w:val="00EC72D6"/>
    <w:rsid w:val="00EC74A4"/>
    <w:rsid w:val="00ED042E"/>
    <w:rsid w:val="00ED1F51"/>
    <w:rsid w:val="00ED36BC"/>
    <w:rsid w:val="00ED51D4"/>
    <w:rsid w:val="00EE05E4"/>
    <w:rsid w:val="00EE3359"/>
    <w:rsid w:val="00EF5F61"/>
    <w:rsid w:val="00EF6DE8"/>
    <w:rsid w:val="00F013D2"/>
    <w:rsid w:val="00F03021"/>
    <w:rsid w:val="00F039B1"/>
    <w:rsid w:val="00F07AEF"/>
    <w:rsid w:val="00F148D8"/>
    <w:rsid w:val="00F15EF7"/>
    <w:rsid w:val="00F17BC9"/>
    <w:rsid w:val="00F2190C"/>
    <w:rsid w:val="00F21B13"/>
    <w:rsid w:val="00F23B27"/>
    <w:rsid w:val="00F24688"/>
    <w:rsid w:val="00F31B15"/>
    <w:rsid w:val="00F33230"/>
    <w:rsid w:val="00F3365D"/>
    <w:rsid w:val="00F34E9A"/>
    <w:rsid w:val="00F42205"/>
    <w:rsid w:val="00F44C3F"/>
    <w:rsid w:val="00F52255"/>
    <w:rsid w:val="00F55798"/>
    <w:rsid w:val="00F576D5"/>
    <w:rsid w:val="00F62553"/>
    <w:rsid w:val="00F628DF"/>
    <w:rsid w:val="00F62ACC"/>
    <w:rsid w:val="00F65415"/>
    <w:rsid w:val="00F705A2"/>
    <w:rsid w:val="00F73017"/>
    <w:rsid w:val="00F74CDC"/>
    <w:rsid w:val="00F7589E"/>
    <w:rsid w:val="00F765FA"/>
    <w:rsid w:val="00F76A41"/>
    <w:rsid w:val="00F774B6"/>
    <w:rsid w:val="00F82FAF"/>
    <w:rsid w:val="00F86913"/>
    <w:rsid w:val="00F93A7D"/>
    <w:rsid w:val="00F947ED"/>
    <w:rsid w:val="00F97B31"/>
    <w:rsid w:val="00FA1715"/>
    <w:rsid w:val="00FA2003"/>
    <w:rsid w:val="00FA2104"/>
    <w:rsid w:val="00FA40A6"/>
    <w:rsid w:val="00FA537C"/>
    <w:rsid w:val="00FB09E2"/>
    <w:rsid w:val="00FB2149"/>
    <w:rsid w:val="00FB23CC"/>
    <w:rsid w:val="00FB5C26"/>
    <w:rsid w:val="00FB7EB7"/>
    <w:rsid w:val="00FC4466"/>
    <w:rsid w:val="00FC6776"/>
    <w:rsid w:val="00FD0E60"/>
    <w:rsid w:val="00FD41FD"/>
    <w:rsid w:val="00FD552B"/>
    <w:rsid w:val="00FE0E21"/>
    <w:rsid w:val="00FE1061"/>
    <w:rsid w:val="00FE14AF"/>
    <w:rsid w:val="00FE2264"/>
    <w:rsid w:val="00FE7FAB"/>
    <w:rsid w:val="00FF22FB"/>
    <w:rsid w:val="00FF5C47"/>
    <w:rsid w:val="00FF645C"/>
    <w:rsid w:val="00FF77E3"/>
    <w:rsid w:val="DFEF9CA8"/>
    <w:rsid w:val="FE3E3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0"/>
    <w:pPr>
      <w:keepNext/>
      <w:keepLines/>
      <w:spacing w:before="340" w:after="330" w:line="578" w:lineRule="auto"/>
      <w:jc w:val="center"/>
      <w:outlineLvl w:val="0"/>
    </w:pPr>
    <w:rPr>
      <w:rFonts w:eastAsia="黑体"/>
      <w:kern w:val="44"/>
      <w:sz w:val="36"/>
      <w:szCs w:val="36"/>
    </w:rPr>
  </w:style>
  <w:style w:type="paragraph" w:styleId="3">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99"/>
    <w:pPr>
      <w:jc w:val="left"/>
    </w:pPr>
  </w:style>
  <w:style w:type="paragraph" w:styleId="5">
    <w:name w:val="Body Text"/>
    <w:basedOn w:val="1"/>
    <w:link w:val="28"/>
    <w:qFormat/>
    <w:uiPriority w:val="0"/>
    <w:pPr>
      <w:spacing w:after="120"/>
    </w:pPr>
  </w:style>
  <w:style w:type="paragraph" w:styleId="6">
    <w:name w:val="Body Text Indent"/>
    <w:basedOn w:val="1"/>
    <w:link w:val="24"/>
    <w:qFormat/>
    <w:uiPriority w:val="0"/>
    <w:pPr>
      <w:ind w:firstLine="640" w:firstLineChars="200"/>
    </w:pPr>
    <w:rPr>
      <w:rFonts w:eastAsia="仿宋_GB2312" w:asciiTheme="minorHAnsi" w:hAnsiTheme="minorHAnsi" w:cstheme="minorBidi"/>
      <w:color w:val="000000"/>
      <w:sz w:val="32"/>
      <w:szCs w:val="22"/>
    </w:rPr>
  </w:style>
  <w:style w:type="paragraph" w:styleId="7">
    <w:name w:val="toc 3"/>
    <w:basedOn w:val="1"/>
    <w:next w:val="1"/>
    <w:unhideWhenUsed/>
    <w:qFormat/>
    <w:uiPriority w:val="39"/>
    <w:pPr>
      <w:tabs>
        <w:tab w:val="right" w:leader="dot" w:pos="7986"/>
      </w:tabs>
      <w:spacing w:afterLines="50" w:line="320" w:lineRule="exact"/>
      <w:ind w:left="840" w:leftChars="400"/>
      <w:jc w:val="left"/>
    </w:pPr>
  </w:style>
  <w:style w:type="paragraph" w:styleId="8">
    <w:name w:val="Plain Text"/>
    <w:basedOn w:val="1"/>
    <w:link w:val="33"/>
    <w:qFormat/>
    <w:uiPriority w:val="0"/>
    <w:rPr>
      <w:rFonts w:ascii="宋体" w:hAnsi="Courier New"/>
      <w:szCs w:val="21"/>
    </w:rPr>
  </w:style>
  <w:style w:type="paragraph" w:styleId="9">
    <w:name w:val="Balloon Text"/>
    <w:basedOn w:val="1"/>
    <w:link w:val="32"/>
    <w:qFormat/>
    <w:uiPriority w:val="0"/>
    <w:rPr>
      <w:rFonts w:ascii="Calibri" w:hAnsi="Calibri"/>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rPr>
      <w:sz w:val="24"/>
      <w:szCs w:val="24"/>
    </w:rPr>
  </w:style>
  <w:style w:type="paragraph" w:styleId="15">
    <w:name w:val="annotation subject"/>
    <w:basedOn w:val="4"/>
    <w:next w:val="4"/>
    <w:link w:val="35"/>
    <w:semiHidden/>
    <w:unhideWhenUsed/>
    <w:qFormat/>
    <w:uiPriority w:val="99"/>
    <w:rPr>
      <w:b/>
      <w:bCs/>
    </w:rPr>
  </w:style>
  <w:style w:type="table" w:styleId="17">
    <w:name w:val="Table Grid"/>
    <w:basedOn w:val="1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标题 1 字符"/>
    <w:basedOn w:val="18"/>
    <w:link w:val="2"/>
    <w:qFormat/>
    <w:uiPriority w:val="0"/>
    <w:rPr>
      <w:rFonts w:ascii="Times New Roman" w:hAnsi="Times New Roman" w:eastAsia="黑体" w:cs="Times New Roman"/>
      <w:kern w:val="44"/>
      <w:sz w:val="36"/>
      <w:szCs w:val="36"/>
    </w:rPr>
  </w:style>
  <w:style w:type="character" w:customStyle="1" w:styleId="24">
    <w:name w:val="正文文本缩进 字符"/>
    <w:link w:val="6"/>
    <w:qFormat/>
    <w:uiPriority w:val="0"/>
    <w:rPr>
      <w:rFonts w:eastAsia="仿宋_GB2312"/>
      <w:color w:val="000000"/>
      <w:sz w:val="32"/>
    </w:rPr>
  </w:style>
  <w:style w:type="paragraph" w:customStyle="1" w:styleId="25">
    <w:name w:val="Char"/>
    <w:basedOn w:val="1"/>
    <w:qFormat/>
    <w:uiPriority w:val="0"/>
  </w:style>
  <w:style w:type="character" w:customStyle="1" w:styleId="26">
    <w:name w:val="页脚 字符"/>
    <w:basedOn w:val="18"/>
    <w:link w:val="10"/>
    <w:qFormat/>
    <w:uiPriority w:val="99"/>
    <w:rPr>
      <w:rFonts w:ascii="Times New Roman" w:hAnsi="Times New Roman" w:eastAsia="宋体" w:cs="Times New Roman"/>
      <w:sz w:val="18"/>
      <w:szCs w:val="20"/>
    </w:rPr>
  </w:style>
  <w:style w:type="character" w:customStyle="1" w:styleId="27">
    <w:name w:val="正文文本缩进 字符1"/>
    <w:basedOn w:val="18"/>
    <w:semiHidden/>
    <w:qFormat/>
    <w:uiPriority w:val="99"/>
    <w:rPr>
      <w:rFonts w:ascii="Times New Roman" w:hAnsi="Times New Roman" w:eastAsia="宋体" w:cs="Times New Roman"/>
      <w:szCs w:val="20"/>
    </w:rPr>
  </w:style>
  <w:style w:type="character" w:customStyle="1" w:styleId="28">
    <w:name w:val="正文文本 字符"/>
    <w:basedOn w:val="18"/>
    <w:link w:val="5"/>
    <w:qFormat/>
    <w:uiPriority w:val="0"/>
    <w:rPr>
      <w:rFonts w:ascii="Times New Roman" w:hAnsi="Times New Roman" w:eastAsia="宋体" w:cs="Times New Roman"/>
      <w:szCs w:val="20"/>
    </w:rPr>
  </w:style>
  <w:style w:type="paragraph" w:customStyle="1" w:styleId="29">
    <w:name w:val="Char Char Char Char"/>
    <w:basedOn w:val="1"/>
    <w:qFormat/>
    <w:uiPriority w:val="0"/>
    <w:pPr>
      <w:adjustRightInd w:val="0"/>
      <w:spacing w:line="360" w:lineRule="auto"/>
    </w:pPr>
    <w:rPr>
      <w:rFonts w:ascii="Verdana" w:hAnsi="Verdana" w:eastAsia="黑体"/>
      <w:kern w:val="0"/>
      <w:sz w:val="24"/>
      <w:lang w:eastAsia="en-US"/>
    </w:rPr>
  </w:style>
  <w:style w:type="paragraph" w:customStyle="1" w:styleId="30">
    <w:name w:val="Char Char Char Char1"/>
    <w:basedOn w:val="1"/>
    <w:qFormat/>
    <w:uiPriority w:val="0"/>
    <w:pPr>
      <w:adjustRightInd w:val="0"/>
      <w:spacing w:line="360" w:lineRule="auto"/>
    </w:pPr>
    <w:rPr>
      <w:kern w:val="0"/>
      <w:sz w:val="24"/>
    </w:rPr>
  </w:style>
  <w:style w:type="character" w:customStyle="1" w:styleId="31">
    <w:name w:val="页眉 字符"/>
    <w:basedOn w:val="18"/>
    <w:link w:val="11"/>
    <w:qFormat/>
    <w:uiPriority w:val="99"/>
    <w:rPr>
      <w:rFonts w:ascii="Times New Roman" w:hAnsi="Times New Roman" w:eastAsia="宋体" w:cs="Times New Roman"/>
      <w:sz w:val="18"/>
      <w:szCs w:val="18"/>
    </w:rPr>
  </w:style>
  <w:style w:type="character" w:customStyle="1" w:styleId="32">
    <w:name w:val="批注框文本 字符"/>
    <w:basedOn w:val="18"/>
    <w:link w:val="9"/>
    <w:qFormat/>
    <w:uiPriority w:val="0"/>
    <w:rPr>
      <w:rFonts w:ascii="Calibri" w:hAnsi="Calibri" w:eastAsia="宋体" w:cs="Times New Roman"/>
      <w:sz w:val="18"/>
      <w:szCs w:val="18"/>
    </w:rPr>
  </w:style>
  <w:style w:type="character" w:customStyle="1" w:styleId="33">
    <w:name w:val="纯文本 字符"/>
    <w:basedOn w:val="18"/>
    <w:link w:val="8"/>
    <w:qFormat/>
    <w:uiPriority w:val="0"/>
    <w:rPr>
      <w:rFonts w:ascii="宋体" w:hAnsi="Courier New" w:eastAsia="宋体" w:cs="Times New Roman"/>
      <w:szCs w:val="21"/>
    </w:rPr>
  </w:style>
  <w:style w:type="character" w:customStyle="1" w:styleId="34">
    <w:name w:val="批注文字 字符"/>
    <w:basedOn w:val="18"/>
    <w:link w:val="4"/>
    <w:semiHidden/>
    <w:qFormat/>
    <w:uiPriority w:val="99"/>
    <w:rPr>
      <w:rFonts w:ascii="Times New Roman" w:hAnsi="Times New Roman" w:eastAsia="宋体" w:cs="Times New Roman"/>
      <w:szCs w:val="20"/>
    </w:rPr>
  </w:style>
  <w:style w:type="character" w:customStyle="1" w:styleId="35">
    <w:name w:val="批注主题 字符"/>
    <w:basedOn w:val="34"/>
    <w:link w:val="15"/>
    <w:semiHidden/>
    <w:qFormat/>
    <w:uiPriority w:val="99"/>
    <w:rPr>
      <w:rFonts w:ascii="Times New Roman" w:hAnsi="Times New Roman" w:eastAsia="宋体" w:cs="Times New Roman"/>
      <w:b/>
      <w:bCs/>
      <w:szCs w:val="20"/>
    </w:rPr>
  </w:style>
  <w:style w:type="paragraph" w:styleId="36">
    <w:name w:val="List Paragraph"/>
    <w:basedOn w:val="1"/>
    <w:qFormat/>
    <w:uiPriority w:val="34"/>
    <w:pPr>
      <w:ind w:firstLine="420" w:firstLineChars="200"/>
    </w:pPr>
  </w:style>
  <w:style w:type="character" w:customStyle="1" w:styleId="37">
    <w:name w:val="hitclass"/>
    <w:basedOn w:val="18"/>
    <w:qFormat/>
    <w:uiPriority w:val="0"/>
  </w:style>
  <w:style w:type="character" w:customStyle="1" w:styleId="38">
    <w:name w:val="navtiao"/>
    <w:basedOn w:val="18"/>
    <w:qFormat/>
    <w:uiPriority w:val="0"/>
  </w:style>
  <w:style w:type="character" w:customStyle="1" w:styleId="39">
    <w:name w:val="标题 3 字符"/>
    <w:basedOn w:val="18"/>
    <w:link w:val="3"/>
    <w:semiHidden/>
    <w:qFormat/>
    <w:uiPriority w:val="9"/>
    <w:rPr>
      <w:rFonts w:ascii="Times New Roman" w:hAnsi="Times New Roman" w:eastAsia="宋体" w:cs="Times New Roman"/>
      <w:b/>
      <w:bCs/>
      <w:sz w:val="32"/>
      <w:szCs w:val="32"/>
    </w:rPr>
  </w:style>
  <w:style w:type="paragraph" w:customStyle="1" w:styleId="40">
    <w:name w:val="修订1"/>
    <w:hidden/>
    <w:semiHidden/>
    <w:qFormat/>
    <w:uiPriority w:val="99"/>
    <w:rPr>
      <w:rFonts w:ascii="Times New Roman" w:hAnsi="Times New Roman" w:eastAsia="宋体" w:cs="Times New Roman"/>
      <w:kern w:val="2"/>
      <w:sz w:val="21"/>
      <w:lang w:val="en-US" w:eastAsia="zh-CN" w:bidi="ar-SA"/>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4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3455</Words>
  <Characters>19700</Characters>
  <Lines>164</Lines>
  <Paragraphs>46</Paragraphs>
  <TotalTime>6</TotalTime>
  <ScaleCrop>false</ScaleCrop>
  <LinksUpToDate>false</LinksUpToDate>
  <CharactersWithSpaces>23109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2025-07-31T14:29:00Z</dcterms:created>
  <dc:creator>莉敏 方</dc:creator>
  <cp:lastModifiedBy>曹宝姝</cp:lastModifiedBy>
  <dcterms:modified xsi:type="dcterms:W3CDTF">2025-08-04T14:35:24Z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