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rPr>
        <w:t>北京市</w:t>
      </w:r>
      <w:r>
        <w:rPr>
          <w:rFonts w:hint="eastAsia" w:ascii="华文中宋" w:hAnsi="华文中宋" w:eastAsia="华文中宋"/>
          <w:sz w:val="36"/>
          <w:szCs w:val="36"/>
          <w:lang w:eastAsia="zh-CN"/>
        </w:rPr>
        <w:t>应急管理局</w:t>
      </w:r>
      <w:r>
        <w:rPr>
          <w:rFonts w:hint="eastAsia" w:ascii="华文中宋" w:hAnsi="华文中宋" w:eastAsia="华文中宋"/>
          <w:sz w:val="36"/>
          <w:szCs w:val="36"/>
        </w:rPr>
        <w:t>行政职权运行责任清单</w:t>
      </w:r>
      <w:bookmarkStart w:id="0" w:name="_GoBack"/>
      <w:bookmarkEnd w:id="0"/>
    </w:p>
    <w:p>
      <w:pPr>
        <w:rPr>
          <w:rFonts w:hint="eastAsia"/>
        </w:rPr>
      </w:pPr>
    </w:p>
    <w:tbl>
      <w:tblPr>
        <w:tblStyle w:val="2"/>
        <w:tblW w:w="8546" w:type="dxa"/>
        <w:tblCellSpacing w:w="0" w:type="dxa"/>
        <w:tblInd w:w="0" w:type="dxa"/>
        <w:tblLayout w:type="autofit"/>
        <w:tblCellMar>
          <w:top w:w="0" w:type="dxa"/>
          <w:left w:w="0" w:type="dxa"/>
          <w:bottom w:w="0" w:type="dxa"/>
          <w:right w:w="0" w:type="dxa"/>
        </w:tblCellMar>
      </w:tblPr>
      <w:tblGrid>
        <w:gridCol w:w="899"/>
        <w:gridCol w:w="1869"/>
        <w:gridCol w:w="5778"/>
      </w:tblGrid>
      <w:tr>
        <w:tblPrEx>
          <w:tblCellMar>
            <w:top w:w="0" w:type="dxa"/>
            <w:left w:w="0" w:type="dxa"/>
            <w:bottom w:w="0" w:type="dxa"/>
            <w:right w:w="0" w:type="dxa"/>
          </w:tblCellMar>
        </w:tblPrEx>
        <w:trPr>
          <w:trHeight w:val="750" w:hRule="atLeast"/>
          <w:tblCellSpacing w:w="0" w:type="dxa"/>
        </w:trPr>
        <w:tc>
          <w:tcPr>
            <w:tcW w:w="854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受理或者不予受理行政许可申请,应当出具加盖行政机关专用印章和注明日期的书面凭证。 </w:t>
            </w:r>
          </w:p>
        </w:tc>
      </w:tr>
      <w:tr>
        <w:trPr>
          <w:trHeight w:val="48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54"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依法作出不予行政许可的书面决定的,应当说明理由,并告知申请人享有依法申请行政复议或者提起行政诉讼的权利。   </w:t>
            </w:r>
          </w:p>
        </w:tc>
      </w:tr>
      <w:tr>
        <w:tblPrEx>
          <w:tblCellMar>
            <w:top w:w="0" w:type="dxa"/>
            <w:left w:w="0" w:type="dxa"/>
            <w:bottom w:w="0" w:type="dxa"/>
            <w:right w:w="0" w:type="dxa"/>
          </w:tblCellMar>
        </w:tblPrEx>
        <w:trPr>
          <w:trHeight w:val="4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按法定项目和标准予以收费。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54"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送达行政执法文书应当有送达回证,受送达人在送达回证上的签收日期为送达日期。 </w:t>
            </w:r>
          </w:p>
        </w:tc>
      </w:tr>
      <w:tr>
        <w:trPr>
          <w:trHeight w:val="4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对符合立案条件的案件及时立案。 </w:t>
            </w:r>
          </w:p>
        </w:tc>
      </w:tr>
      <w:tr>
        <w:tblPrEx>
          <w:tblCellMar>
            <w:top w:w="0" w:type="dxa"/>
            <w:left w:w="0" w:type="dxa"/>
            <w:bottom w:w="0" w:type="dxa"/>
            <w:right w:w="0" w:type="dxa"/>
          </w:tblCellMar>
        </w:tblPrEx>
        <w:trPr>
          <w:trHeight w:val="4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出示执法身份证件,表明执法身份。 </w:t>
            </w:r>
          </w:p>
        </w:tc>
      </w:tr>
      <w:tr>
        <w:tblPrEx>
          <w:tblCellMar>
            <w:top w:w="0" w:type="dxa"/>
            <w:left w:w="0" w:type="dxa"/>
            <w:bottom w:w="0" w:type="dxa"/>
            <w:right w:w="0" w:type="dxa"/>
          </w:tblCellMar>
        </w:tblPrEx>
        <w:trPr>
          <w:trHeight w:val="55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依法调查和保存证据。 </w:t>
            </w:r>
          </w:p>
        </w:tc>
      </w:tr>
      <w:tr>
        <w:tblPrEx>
          <w:tblCellMar>
            <w:top w:w="0" w:type="dxa"/>
            <w:left w:w="0" w:type="dxa"/>
            <w:bottom w:w="0" w:type="dxa"/>
            <w:right w:w="0" w:type="dxa"/>
          </w:tblCellMar>
        </w:tblPrEx>
        <w:trPr>
          <w:trHeight w:val="69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适用简易程序的,执法人员当场作出的行政处罚决定应当报所属行政机关备案。 </w:t>
            </w:r>
          </w:p>
        </w:tc>
      </w:tr>
      <w:tr>
        <w:trPr>
          <w:trHeight w:val="10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在作出行政处罚前,应告知当事人作出行政处罚决定的事实、理由及依据,并告知当事人依法享有的权利。 </w:t>
            </w:r>
          </w:p>
        </w:tc>
      </w:tr>
      <w:tr>
        <w:trPr>
          <w:trHeight w:val="6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使用法定部门制发的罚款、没收财物单据进行罚款、没收财物等处罚。 </w:t>
            </w:r>
          </w:p>
        </w:tc>
      </w:tr>
      <w:tr>
        <w:trPr>
          <w:trHeight w:val="54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对符合确认条件的,当场受理。 </w:t>
            </w:r>
          </w:p>
        </w:tc>
      </w:tr>
      <w:tr>
        <w:tblPrEx>
          <w:tblCellMar>
            <w:top w:w="0" w:type="dxa"/>
            <w:left w:w="0" w:type="dxa"/>
            <w:bottom w:w="0" w:type="dxa"/>
            <w:right w:w="0" w:type="dxa"/>
          </w:tblCellMar>
        </w:tblPrEx>
        <w:trPr>
          <w:trHeight w:val="79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在法定期限(承诺期限)内完成确认。 </w:t>
            </w:r>
          </w:p>
        </w:tc>
      </w:tr>
      <w:tr>
        <w:tblPrEx>
          <w:tblCellMar>
            <w:top w:w="0" w:type="dxa"/>
            <w:left w:w="0" w:type="dxa"/>
            <w:bottom w:w="0" w:type="dxa"/>
            <w:right w:w="0" w:type="dxa"/>
          </w:tblCellMar>
        </w:tblPrEx>
        <w:trPr>
          <w:trHeight w:val="81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54"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54"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54"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9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四、行政强制类(行政强制措施)行政职权运行通用责任清单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(一)决定</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实施前应当先报告,经批准后作出实施行政强制措施的决定。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批准实施行政强制措施应当符合法定条件。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(二)执行</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由2名以上具备资格的行政执法人员实施,其他人员不得实施。</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行政执法人员应当现场出示执法身份证件。 </w:t>
            </w:r>
          </w:p>
        </w:tc>
      </w:tr>
      <w:tr>
        <w:tblPrEx>
          <w:tblCellMar>
            <w:top w:w="0" w:type="dxa"/>
            <w:left w:w="0" w:type="dxa"/>
            <w:bottom w:w="0" w:type="dxa"/>
            <w:right w:w="0" w:type="dxa"/>
          </w:tblCellMar>
        </w:tblPrEx>
        <w:trPr>
          <w:trHeight w:val="100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实施行政强制措施时应当通知当事人到场,并告知当事人采取行政强制措施的理由、依据以及当事人依法享有的权利、救济途径。 </w:t>
            </w:r>
          </w:p>
        </w:tc>
      </w:tr>
      <w:tr>
        <w:tblPrEx>
          <w:tblCellMar>
            <w:top w:w="0" w:type="dxa"/>
            <w:left w:w="0" w:type="dxa"/>
            <w:bottom w:w="0" w:type="dxa"/>
            <w:right w:w="0" w:type="dxa"/>
          </w:tblCellMar>
        </w:tblPrEx>
        <w:trPr>
          <w:trHeight w:val="108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充分听取当事人的意见,对当事人提出的事实、理由和证据,应当进行复核,当事人提出的事实、理由或者证据成立的,应当采纳。 </w:t>
            </w:r>
          </w:p>
        </w:tc>
      </w:tr>
      <w:tr>
        <w:trPr>
          <w:trHeight w:val="141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tblPrEx>
          <w:tblCellMar>
            <w:top w:w="0" w:type="dxa"/>
            <w:left w:w="0" w:type="dxa"/>
            <w:bottom w:w="0" w:type="dxa"/>
            <w:right w:w="0" w:type="dxa"/>
          </w:tblCellMar>
        </w:tblPrEx>
        <w:trPr>
          <w:trHeight w:val="10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实施限制公民人身自由的行政强制措施,应当场告知或者实施行政强制措施后立即通知当事人家属实施行政强制措施的行政机关、地点和期限。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对依法应当没收或法律、行政法规规定应当销毁的,应当依法予以没收或销毁。 </w:t>
            </w:r>
          </w:p>
        </w:tc>
      </w:tr>
      <w:tr>
        <w:tblPrEx>
          <w:tblCellMar>
            <w:top w:w="0" w:type="dxa"/>
            <w:left w:w="0" w:type="dxa"/>
            <w:bottom w:w="0" w:type="dxa"/>
            <w:right w:w="0" w:type="dxa"/>
          </w:tblCellMar>
        </w:tblPrEx>
        <w:trPr>
          <w:trHeight w:val="72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情况紧急,需要当场实施行政强制措施的,行政执法人员应当在24小时内向行政机关负责人报告,并补办批准手续。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(三)解除</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对符合解除行政强制措施条件的,应当依法解除行政强制措施。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对构成犯罪的,依法、及时移送司法机关。 </w:t>
            </w:r>
          </w:p>
        </w:tc>
      </w:tr>
      <w:tr>
        <w:tblPrEx>
          <w:tblCellMar>
            <w:top w:w="0" w:type="dxa"/>
            <w:left w:w="0" w:type="dxa"/>
            <w:bottom w:w="0" w:type="dxa"/>
            <w:right w:w="0" w:type="dxa"/>
          </w:tblCellMar>
        </w:tblPrEx>
        <w:trPr>
          <w:trHeight w:val="79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375" w:hRule="atLeast"/>
          <w:tblCellSpacing w:w="0" w:type="dxa"/>
        </w:trPr>
        <w:tc>
          <w:tcPr>
            <w:tcW w:w="8546" w:type="dxa"/>
            <w:gridSpan w:val="3"/>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rPr>
              <w:t>、行政奖励类行政职权运行通用责任清单</w:t>
            </w:r>
            <w:r>
              <w:rPr>
                <w:rFonts w:hint="eastAsia" w:ascii="宋体" w:hAnsi="宋体" w:eastAsia="宋体" w:cs="宋体"/>
                <w:kern w:val="0"/>
                <w:sz w:val="24"/>
                <w:szCs w:val="24"/>
              </w:rPr>
              <w:t xml:space="preserve"> </w:t>
            </w:r>
          </w:p>
        </w:tc>
      </w:tr>
      <w:tr>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依法科学制定奖励方案,明确奖励条件、程序等内容。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(二)审核公示</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对符合条件的推荐对象进行审核审定,并进行公示。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依法、及时调查核实举报投诉涉及问题。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(三)实施奖励</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依法、及时按程序报批决定奖励的等级和金额。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及时通知当事人领取奖励。 </w:t>
            </w:r>
          </w:p>
        </w:tc>
      </w:tr>
      <w:tr>
        <w:tblPrEx>
          <w:tblCellMar>
            <w:top w:w="0" w:type="dxa"/>
            <w:left w:w="0" w:type="dxa"/>
            <w:bottom w:w="0" w:type="dxa"/>
            <w:right w:w="0" w:type="dxa"/>
          </w:tblCellMar>
        </w:tblPrEx>
        <w:trPr>
          <w:trHeight w:val="72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六</w:t>
            </w:r>
            <w:r>
              <w:rPr>
                <w:rFonts w:hint="eastAsia" w:ascii="宋体" w:hAnsi="宋体" w:eastAsia="宋体" w:cs="宋体"/>
                <w:b/>
                <w:bCs/>
                <w:kern w:val="0"/>
                <w:sz w:val="24"/>
                <w:szCs w:val="24"/>
              </w:rPr>
              <w:t>、行政检查类行政职权运行通用责任清单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54"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rPr>
          <w:trHeight w:val="49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rPr>
          <w:trHeight w:val="420"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54"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869"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5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82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6F7F1359"/>
    <w:rsid w:val="7DEF5A38"/>
    <w:rsid w:val="CF9FEA26"/>
    <w:rsid w:val="FFBDA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914</Words>
  <Characters>5212</Characters>
  <Lines>43</Lines>
  <Paragraphs>12</Paragraphs>
  <TotalTime>7</TotalTime>
  <ScaleCrop>false</ScaleCrop>
  <LinksUpToDate>false</LinksUpToDate>
  <CharactersWithSpaces>6114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2017-09-02T01:16:00Z</dcterms:created>
  <dc:creator>wangpeng</dc:creator>
  <cp:lastModifiedBy>王洪志</cp:lastModifiedBy>
  <dcterms:modified xsi:type="dcterms:W3CDTF">2025-07-28T09:33:23Z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