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96C35">
      <w:pPr>
        <w:spacing w:line="540" w:lineRule="exact"/>
        <w:jc w:val="center"/>
        <w:rPr>
          <w:rFonts w:ascii="方正小标宋简体" w:hAnsi="Times New Roman" w:eastAsia="方正小标宋简体" w:cs="Times New Roman"/>
          <w:color w:val="000000" w:themeColor="text1"/>
          <w:sz w:val="44"/>
          <w:szCs w:val="44"/>
        </w:rPr>
      </w:pPr>
      <w:r>
        <w:rPr>
          <w:rFonts w:hint="eastAsia" w:ascii="方正小标宋简体" w:hAnsi="Times New Roman" w:eastAsia="方正小标宋简体" w:cs="Times New Roman"/>
          <w:color w:val="000000" w:themeColor="text1"/>
          <w:sz w:val="44"/>
          <w:szCs w:val="44"/>
        </w:rPr>
        <w:t>市安全监管局2016年</w:t>
      </w:r>
    </w:p>
    <w:p w14:paraId="28B87D17">
      <w:pPr>
        <w:spacing w:line="540" w:lineRule="exact"/>
        <w:jc w:val="center"/>
        <w:rPr>
          <w:color w:val="000000" w:themeColor="text1"/>
        </w:rPr>
      </w:pPr>
      <w:r>
        <w:rPr>
          <w:rFonts w:hint="eastAsia" w:ascii="方正小标宋简体" w:hAnsi="Times New Roman" w:eastAsia="方正小标宋简体" w:cs="Times New Roman"/>
          <w:color w:val="000000" w:themeColor="text1"/>
          <w:sz w:val="44"/>
          <w:szCs w:val="44"/>
        </w:rPr>
        <w:t>政府信息和政务公开工作总结</w:t>
      </w:r>
    </w:p>
    <w:p w14:paraId="08A1DC60">
      <w:pPr>
        <w:rPr>
          <w:color w:val="000000" w:themeColor="text1"/>
        </w:rPr>
      </w:pPr>
    </w:p>
    <w:p w14:paraId="4B86D98E">
      <w:pPr>
        <w:spacing w:line="56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2016年，北京市安全生产监督管理局认真贯彻落实党中央、国务院和市委、市政府关于做好政务网站内容建设的一系列通知精神，紧密结合本单位实际，丰富主动公开内容，规范办事程序，提供优质的查阅服务，不断创新工作方式，改进工作方法，认真贯彻落实北京市信息公开办下发的文件精神和相关制度规定，在2016年政府网站内容建设工作中取得了较好成绩。</w:t>
      </w:r>
    </w:p>
    <w:p w14:paraId="5CC7AB33">
      <w:pPr>
        <w:spacing w:line="560" w:lineRule="exact"/>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rPr>
        <w:t>一、基本情况</w:t>
      </w:r>
    </w:p>
    <w:p w14:paraId="77E80063">
      <w:pPr>
        <w:spacing w:line="560" w:lineRule="exact"/>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年初开始，我局专门组成门户网站升级改造工作领导小组，专项组织实施网站改版工作，按照《关于全面推进政务公开工作的意见》（中办发〔2016〕8号）、《2016年政务公开工作要点》（国办发〔2016〕19号）、《关于开展政务公开督查工作的通知》（国办公开办函〔2016〕81号）以及本市《关于全面推进政务公开工作的实施意见》（京办发〔2016〕24号）、《北京市2016年政务公开工作要点》（京政办发〔2016〕24号）有关要求设计建设新版网站，于2016年10月10日正式上线运行，新版网站更贴合政务公开指标，互动性更强，办事服务更丰富。自运行以来，点击量持续上升，在线办理事项运行顺利，互动回复类问题回复质量明显提高。</w:t>
      </w:r>
    </w:p>
    <w:p w14:paraId="590DA8B6">
      <w:pPr>
        <w:spacing w:line="560" w:lineRule="exact"/>
        <w:ind w:firstLine="640" w:firstLineChars="200"/>
        <w:rPr>
          <w:rFonts w:ascii="仿宋_GB2312" w:hAnsi="Calibri" w:eastAsia="仿宋_GB2312" w:cs="Times New Roman"/>
          <w:color w:val="000000" w:themeColor="text1"/>
          <w:kern w:val="0"/>
          <w:sz w:val="32"/>
          <w:szCs w:val="32"/>
        </w:rPr>
      </w:pPr>
      <w:r>
        <w:rPr>
          <w:rFonts w:hint="eastAsia" w:ascii="仿宋_GB2312" w:eastAsia="仿宋_GB2312"/>
          <w:color w:val="000000" w:themeColor="text1"/>
          <w:kern w:val="0"/>
          <w:sz w:val="32"/>
          <w:szCs w:val="32"/>
        </w:rPr>
        <w:t>据不</w:t>
      </w:r>
      <w:r>
        <w:rPr>
          <w:rFonts w:ascii="仿宋_GB2312" w:eastAsia="仿宋_GB2312"/>
          <w:color w:val="000000" w:themeColor="text1"/>
          <w:kern w:val="0"/>
          <w:sz w:val="32"/>
          <w:szCs w:val="32"/>
        </w:rPr>
        <w:t>完全</w:t>
      </w:r>
      <w:r>
        <w:rPr>
          <w:rFonts w:hint="eastAsia" w:ascii="仿宋_GB2312" w:eastAsia="仿宋_GB2312"/>
          <w:color w:val="000000" w:themeColor="text1"/>
          <w:kern w:val="0"/>
          <w:sz w:val="32"/>
          <w:szCs w:val="32"/>
        </w:rPr>
        <w:t>统计，全年共发布信息20196条，其中公文公告类195条、政务信息类222条、工作信息类11512条、基层工作类8267条。同时，改版后的门户网站点击量也由年初的日均6万余次增长至18万余次。</w:t>
      </w:r>
    </w:p>
    <w:p w14:paraId="3A470796">
      <w:pPr>
        <w:spacing w:line="540" w:lineRule="exact"/>
        <w:ind w:firstLine="707" w:firstLineChars="221"/>
        <w:rPr>
          <w:rFonts w:ascii="黑体" w:hAnsi="黑体" w:eastAsia="黑体" w:cs="Times New Roman"/>
          <w:color w:val="000000" w:themeColor="text1"/>
          <w:sz w:val="32"/>
          <w:szCs w:val="24"/>
        </w:rPr>
      </w:pPr>
      <w:r>
        <w:rPr>
          <w:rFonts w:hint="eastAsia" w:ascii="黑体" w:hAnsi="黑体" w:eastAsia="黑体" w:cs="Times New Roman"/>
          <w:color w:val="000000" w:themeColor="text1"/>
          <w:sz w:val="32"/>
          <w:szCs w:val="24"/>
        </w:rPr>
        <w:t>二、工作完成情况</w:t>
      </w:r>
    </w:p>
    <w:p w14:paraId="3FCE69EC">
      <w:pPr>
        <w:spacing w:line="560" w:lineRule="exact"/>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一是推进“五公开”情况。</w:t>
      </w:r>
      <w:r>
        <w:rPr>
          <w:rFonts w:hint="eastAsia" w:ascii="仿宋_GB2312" w:hAnsi="Times New Roman" w:eastAsia="仿宋_GB2312" w:cs="Times New Roman"/>
          <w:color w:val="000000" w:themeColor="text1"/>
          <w:sz w:val="32"/>
          <w:szCs w:val="32"/>
        </w:rPr>
        <w:t>针对《北京市人民政府办公厅关于北京市2015年政府信息公开第三方评估情况的通报》中指出的我局在政务公开工作中存在的问题，局党组书记、局长张树森同志专门做好批示，要求局办公室牵头做好政务公开工作。局办公室会同法制处和煤监局认真研究编制了《北京市安全生产监督管理局（北京煤矿安全监察局）权力清单和责任清单》，并在局政务网站公开；着眼推进全市安全生产工作，先后出台了《北京市安全生产“党政同责”规定》（京办发〔2014〕39号）、《关于进一步完善和加强市政府工作部门安全监管（管理）职责的通知》（京政发〔2014〕27号），以市政府办公厅或市安委会名义分别制定了《安全生产预防控制体系建设意见》、《安全生产隐患排查治理体系建设意见》以及安全生产约谈、警示、通报制度，形成了以京发〔2014〕21号文件为统领，7个文件为支撑的“1+7”的本市安全生产责任体系。同时，按照安全生产“四化、三体系、双基”要求，分类梳理汇总相关资料，通过新闻发布会、局外网、新闻媒体等渠道对外宣传。着眼推进安全生产重点领域事项公开工作，全面改版局外网各系统，增加并突出政务公开事项，着重抓好安全生产“行政许可、行政处罚、执法检查和事故调查”结果公开公示工作，集中体现便民服务思想。着眼建立完善市、区、乡镇三级政务公开机制，先后印发了《局政务公开管理办法》、《局政务公开保密审查办法》和《进一步推进政务公开工作的通知》，制定上报了《全市安全生产监管系统三级政务公开清单》，进一步规范了全市安全生产政务公开工作。</w:t>
      </w:r>
    </w:p>
    <w:p w14:paraId="74601108">
      <w:pPr>
        <w:spacing w:line="560" w:lineRule="exact"/>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二是开展政策解读情况。</w:t>
      </w:r>
      <w:r>
        <w:rPr>
          <w:rFonts w:hint="eastAsia" w:ascii="仿宋_GB2312" w:hAnsi="Times New Roman" w:eastAsia="仿宋_GB2312" w:cs="Times New Roman"/>
          <w:color w:val="000000" w:themeColor="text1"/>
          <w:sz w:val="32"/>
          <w:szCs w:val="32"/>
        </w:rPr>
        <w:t>围绕安监系统重要决策部署、重要会议、重要活动安排及公众关注热点问题，建立健全新闻发言人制度，充分发挥“第一新闻发言人”的积极作用，适时组织新闻发布会，把新闻发布会作为政策解读的常规、权威渠道。积极邀请新闻媒体代表参与政务活动，积极为媒体采访、了解重大决策、重要措施的制定、实施、监督等情况提供便利。通过组织记者集体采访、受理记者采访申请、参加访谈节目等各种平台和形式发布信息，增强发布信息的权威性、时效性，更好地回应公众关切。今年上半年，专题向首都之窗网站报送了《2016市政府重点任务宣传解读工作方案》目录125项重点工作宣传解读稿件。</w:t>
      </w:r>
    </w:p>
    <w:p w14:paraId="530E080A">
      <w:pPr>
        <w:spacing w:line="560" w:lineRule="exact"/>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三是回应社会关切情况。</w:t>
      </w:r>
      <w:r>
        <w:rPr>
          <w:rFonts w:ascii="仿宋_GB2312" w:hAnsi="Times New Roman" w:eastAsia="仿宋_GB2312" w:cs="Times New Roman"/>
          <w:color w:val="000000" w:themeColor="text1"/>
          <w:sz w:val="32"/>
          <w:szCs w:val="32"/>
        </w:rPr>
        <w:t>为更好地</w:t>
      </w:r>
      <w:r>
        <w:rPr>
          <w:rFonts w:hint="eastAsia" w:ascii="仿宋_GB2312" w:hAnsi="Times New Roman" w:eastAsia="仿宋_GB2312" w:cs="Times New Roman"/>
          <w:color w:val="000000" w:themeColor="text1"/>
          <w:sz w:val="32"/>
          <w:szCs w:val="32"/>
        </w:rPr>
        <w:t>关注</w:t>
      </w:r>
      <w:r>
        <w:rPr>
          <w:rFonts w:ascii="仿宋_GB2312" w:hAnsi="Times New Roman" w:eastAsia="仿宋_GB2312" w:cs="Times New Roman"/>
          <w:color w:val="000000" w:themeColor="text1"/>
          <w:sz w:val="32"/>
          <w:szCs w:val="32"/>
        </w:rPr>
        <w:t>民声、征集民意，我局将结合工作实际，完善</w:t>
      </w:r>
      <w:r>
        <w:rPr>
          <w:rFonts w:hint="eastAsia" w:ascii="仿宋_GB2312" w:hAnsi="Times New Roman" w:eastAsia="仿宋_GB2312" w:cs="Times New Roman"/>
          <w:color w:val="000000" w:themeColor="text1"/>
          <w:sz w:val="32"/>
          <w:szCs w:val="32"/>
        </w:rPr>
        <w:t>“局长</w:t>
      </w:r>
      <w:r>
        <w:rPr>
          <w:rFonts w:ascii="仿宋_GB2312" w:hAnsi="Times New Roman" w:eastAsia="仿宋_GB2312" w:cs="Times New Roman"/>
          <w:color w:val="000000" w:themeColor="text1"/>
          <w:sz w:val="32"/>
          <w:szCs w:val="32"/>
        </w:rPr>
        <w:t>信箱</w:t>
      </w:r>
      <w:r>
        <w:rPr>
          <w:rFonts w:hint="eastAsia" w:ascii="仿宋_GB2312" w:hAnsi="Times New Roman" w:eastAsia="仿宋_GB2312" w:cs="Times New Roman"/>
          <w:color w:val="000000" w:themeColor="text1"/>
          <w:sz w:val="32"/>
          <w:szCs w:val="32"/>
        </w:rPr>
        <w:t>”</w:t>
      </w:r>
      <w:r>
        <w:rPr>
          <w:rFonts w:ascii="仿宋_GB2312" w:hAnsi="Times New Roman"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rPr>
        <w:t>“</w:t>
      </w:r>
      <w:r>
        <w:rPr>
          <w:rFonts w:ascii="仿宋_GB2312" w:hAnsi="Times New Roman" w:eastAsia="仿宋_GB2312" w:cs="Times New Roman"/>
          <w:color w:val="000000" w:themeColor="text1"/>
          <w:sz w:val="32"/>
          <w:szCs w:val="32"/>
        </w:rPr>
        <w:t>在线咨询</w:t>
      </w:r>
      <w:r>
        <w:rPr>
          <w:rFonts w:hint="eastAsia" w:ascii="仿宋_GB2312" w:hAnsi="Times New Roman" w:eastAsia="仿宋_GB2312" w:cs="Times New Roman"/>
          <w:color w:val="000000" w:themeColor="text1"/>
          <w:sz w:val="32"/>
          <w:szCs w:val="32"/>
        </w:rPr>
        <w:t>”</w:t>
      </w:r>
      <w:r>
        <w:rPr>
          <w:rFonts w:ascii="仿宋_GB2312" w:hAnsi="Times New Roman" w:eastAsia="仿宋_GB2312" w:cs="Times New Roman"/>
          <w:color w:val="000000" w:themeColor="text1"/>
          <w:sz w:val="32"/>
          <w:szCs w:val="32"/>
        </w:rPr>
        <w:t>、</w:t>
      </w:r>
      <w:r>
        <w:rPr>
          <w:rFonts w:hint="eastAsia" w:ascii="仿宋_GB2312" w:hAnsi="Times New Roman" w:eastAsia="仿宋_GB2312" w:cs="Times New Roman"/>
          <w:color w:val="000000" w:themeColor="text1"/>
          <w:sz w:val="32"/>
          <w:szCs w:val="32"/>
        </w:rPr>
        <w:t>“</w:t>
      </w:r>
      <w:r>
        <w:rPr>
          <w:rFonts w:ascii="仿宋_GB2312" w:hAnsi="Times New Roman" w:eastAsia="仿宋_GB2312" w:cs="Times New Roman"/>
          <w:color w:val="000000" w:themeColor="text1"/>
          <w:sz w:val="32"/>
          <w:szCs w:val="32"/>
        </w:rPr>
        <w:t>12350举报投诉</w:t>
      </w:r>
      <w:r>
        <w:rPr>
          <w:rFonts w:hint="eastAsia" w:ascii="仿宋_GB2312" w:hAnsi="Times New Roman" w:eastAsia="仿宋_GB2312" w:cs="Times New Roman"/>
          <w:color w:val="000000" w:themeColor="text1"/>
          <w:sz w:val="32"/>
          <w:szCs w:val="32"/>
        </w:rPr>
        <w:t>”</w:t>
      </w:r>
      <w:r>
        <w:rPr>
          <w:rFonts w:ascii="仿宋_GB2312" w:hAnsi="Times New Roman" w:eastAsia="仿宋_GB2312" w:cs="Times New Roman"/>
          <w:color w:val="000000" w:themeColor="text1"/>
          <w:sz w:val="32"/>
          <w:szCs w:val="32"/>
        </w:rPr>
        <w:t>等栏目的办理工作机制，明确咨询</w:t>
      </w:r>
      <w:r>
        <w:rPr>
          <w:rFonts w:hint="eastAsia" w:ascii="仿宋_GB2312" w:hAnsi="Times New Roman" w:eastAsia="仿宋_GB2312" w:cs="Times New Roman"/>
          <w:color w:val="000000" w:themeColor="text1"/>
          <w:sz w:val="32"/>
          <w:szCs w:val="32"/>
        </w:rPr>
        <w:t>、</w:t>
      </w:r>
      <w:r>
        <w:rPr>
          <w:rFonts w:ascii="仿宋_GB2312" w:hAnsi="Times New Roman" w:eastAsia="仿宋_GB2312" w:cs="Times New Roman"/>
          <w:color w:val="000000" w:themeColor="text1"/>
          <w:sz w:val="32"/>
          <w:szCs w:val="32"/>
        </w:rPr>
        <w:t>受理、办理、回复等环节的运转流程和工作责任。</w:t>
      </w:r>
      <w:r>
        <w:rPr>
          <w:rFonts w:hint="eastAsia" w:ascii="仿宋_GB2312" w:hAnsi="Times New Roman" w:eastAsia="仿宋_GB2312" w:cs="Times New Roman"/>
          <w:color w:val="000000" w:themeColor="text1"/>
          <w:sz w:val="32"/>
          <w:szCs w:val="32"/>
        </w:rPr>
        <w:t>据统计，一般问题均在提出后5个工作日内进行了回复，回复率100%，同时，还做到了一站式答复，有效地降低了二次咨询的概率。</w:t>
      </w:r>
      <w:r>
        <w:rPr>
          <w:rFonts w:ascii="仿宋_GB2312" w:hAnsi="Times New Roman" w:eastAsia="仿宋_GB2312" w:cs="Times New Roman"/>
          <w:color w:val="000000" w:themeColor="text1"/>
          <w:sz w:val="32"/>
          <w:szCs w:val="32"/>
        </w:rPr>
        <w:t>在制定</w:t>
      </w:r>
      <w:r>
        <w:rPr>
          <w:rFonts w:hint="eastAsia" w:ascii="仿宋_GB2312" w:hAnsi="Times New Roman" w:eastAsia="仿宋_GB2312" w:cs="Times New Roman"/>
          <w:color w:val="000000" w:themeColor="text1"/>
          <w:sz w:val="32"/>
          <w:szCs w:val="32"/>
        </w:rPr>
        <w:t>安全生产的</w:t>
      </w:r>
      <w:r>
        <w:rPr>
          <w:rFonts w:ascii="仿宋_GB2312" w:hAnsi="Times New Roman" w:eastAsia="仿宋_GB2312" w:cs="Times New Roman"/>
          <w:color w:val="000000" w:themeColor="text1"/>
          <w:sz w:val="32"/>
          <w:szCs w:val="32"/>
        </w:rPr>
        <w:t>重</w:t>
      </w:r>
      <w:r>
        <w:rPr>
          <w:rFonts w:hint="eastAsia" w:ascii="仿宋_GB2312" w:hAnsi="Times New Roman" w:eastAsia="仿宋_GB2312" w:cs="Times New Roman"/>
          <w:color w:val="000000" w:themeColor="text1"/>
          <w:sz w:val="32"/>
          <w:szCs w:val="32"/>
        </w:rPr>
        <w:t>大</w:t>
      </w:r>
      <w:r>
        <w:rPr>
          <w:rFonts w:ascii="仿宋_GB2312" w:hAnsi="Times New Roman" w:eastAsia="仿宋_GB2312" w:cs="Times New Roman"/>
          <w:color w:val="000000" w:themeColor="text1"/>
          <w:sz w:val="32"/>
          <w:szCs w:val="32"/>
        </w:rPr>
        <w:t>决策前，我局将在网站上征求公众意见，决策文件出台后要在网站上开展政策解读。对社会公众关注的社会热点问题，我们主动在网站上予以回应，发布权威信息，正确引导舆论。</w:t>
      </w:r>
      <w:r>
        <w:rPr>
          <w:rFonts w:hint="eastAsia" w:ascii="仿宋_GB2312" w:hAnsi="Times New Roman" w:eastAsia="仿宋_GB2312" w:cs="Times New Roman"/>
          <w:color w:val="000000" w:themeColor="text1"/>
          <w:sz w:val="32"/>
          <w:szCs w:val="32"/>
        </w:rPr>
        <w:t>在民意征集方面，我们通过网站广泛收集公众关于安全生产工作的热点难点问题以及对安全生产监管工作的意见和建议，开展民意信息收集，并及时进行了反馈。</w:t>
      </w:r>
    </w:p>
    <w:p w14:paraId="263BE0A2">
      <w:pPr>
        <w:spacing w:line="560" w:lineRule="exact"/>
        <w:ind w:firstLine="643" w:firstLineChars="200"/>
        <w:rPr>
          <w:rFonts w:ascii="仿宋_GB2312" w:hAnsi="仿宋" w:eastAsia="仿宋_GB2312" w:cs="宋体"/>
          <w:color w:val="000000" w:themeColor="text1"/>
          <w:kern w:val="0"/>
          <w:sz w:val="32"/>
          <w:szCs w:val="32"/>
        </w:rPr>
      </w:pPr>
      <w:r>
        <w:rPr>
          <w:rFonts w:hint="eastAsia" w:ascii="仿宋_GB2312" w:hAnsi="Times New Roman" w:eastAsia="仿宋_GB2312" w:cs="Times New Roman"/>
          <w:b/>
          <w:color w:val="000000" w:themeColor="text1"/>
          <w:sz w:val="32"/>
          <w:szCs w:val="32"/>
        </w:rPr>
        <w:t>四是政府信息和政务公开渠道平台建设情况。</w:t>
      </w:r>
      <w:r>
        <w:rPr>
          <w:rFonts w:hint="eastAsia" w:ascii="仿宋_GB2312" w:hAnsi="仿宋" w:eastAsia="仿宋_GB2312" w:cs="宋体"/>
          <w:color w:val="000000" w:themeColor="text1"/>
          <w:kern w:val="0"/>
          <w:sz w:val="32"/>
          <w:szCs w:val="32"/>
        </w:rPr>
        <w:t>2016年，我局组织建设了局政务网站升级改造项目，对旧版网站进行了改版。投资金额为119.7万元，于今年10月10日上线运行。新版网站以现有问题为导向，立足网站改版定位，</w:t>
      </w:r>
      <w:r>
        <w:rPr>
          <w:rFonts w:hint="eastAsia" w:ascii="仿宋_GB2312" w:hAnsi="宋体" w:eastAsia="仿宋_GB2312" w:cs="宋体"/>
          <w:color w:val="000000" w:themeColor="text1"/>
          <w:kern w:val="0"/>
          <w:sz w:val="32"/>
          <w:szCs w:val="32"/>
        </w:rPr>
        <w:t>设有政务公开、在线服务、政民互动以及宣教之窗等栏目，</w:t>
      </w:r>
      <w:r>
        <w:rPr>
          <w:rFonts w:hint="eastAsia" w:ascii="仿宋_GB2312" w:hAnsi="仿宋" w:eastAsia="仿宋_GB2312" w:cs="宋体"/>
          <w:color w:val="000000" w:themeColor="text1"/>
          <w:kern w:val="0"/>
          <w:sz w:val="32"/>
          <w:szCs w:val="32"/>
        </w:rPr>
        <w:t>顺利完成宣传型网站到服务型网站的转型升级。一是精准网站定位，</w:t>
      </w:r>
      <w:r>
        <w:rPr>
          <w:rFonts w:hint="eastAsia" w:ascii="仿宋_GB2312" w:hAnsi="宋体" w:eastAsia="仿宋_GB2312" w:cs="宋体"/>
          <w:color w:val="000000" w:themeColor="text1"/>
          <w:kern w:val="0"/>
          <w:sz w:val="32"/>
          <w:szCs w:val="32"/>
        </w:rPr>
        <w:t>提升我局政务公开、便民服务、政策与工作宣传三方面水平；二是</w:t>
      </w:r>
      <w:r>
        <w:rPr>
          <w:rFonts w:hint="eastAsia" w:ascii="仿宋_GB2312" w:hAnsi="仿宋" w:eastAsia="仿宋_GB2312" w:cs="宋体"/>
          <w:color w:val="000000" w:themeColor="text1"/>
          <w:kern w:val="0"/>
          <w:sz w:val="32"/>
          <w:szCs w:val="32"/>
        </w:rPr>
        <w:t>优化栏目设置，提升页面设计水平，减少层级关系，提升用户体验；三是立足政务公开考核要求，突出政务公开内容，加大我局在行政许可、执法检查、行政处罚、事故调查等方面的政务公开力度；四是更新后台内容管理系统，优化后台发布流程及功能；五是提升智能检索功能，实现按资源类别、发布时间、关键字、栏目等进行智能检索。六是整合业务系统，提供办事服务，提高我局公众服务水平。新版网站整合了行政审批系统的在线服务功能，提供办理指南、在线申报等服务；整合了标准化达标、隐患排查、职业卫生、安全评价等业务系统，提供申报服务指南；整合12350举报投诉系统，提供在线举报服务；同时提供特种作业考试成绩查询、证书查询等业务信息查询服务。</w:t>
      </w:r>
    </w:p>
    <w:p w14:paraId="06420367">
      <w:pPr>
        <w:spacing w:line="560" w:lineRule="exact"/>
        <w:ind w:firstLine="640" w:firstLineChars="200"/>
        <w:rPr>
          <w:rFonts w:ascii="微软雅黑" w:hAnsi="微软雅黑" w:eastAsia="微软雅黑" w:cs="宋体"/>
          <w:color w:val="000000" w:themeColor="text1"/>
          <w:kern w:val="0"/>
          <w:szCs w:val="21"/>
        </w:rPr>
      </w:pPr>
      <w:r>
        <w:rPr>
          <w:rFonts w:hint="eastAsia" w:ascii="仿宋_GB2312" w:hAnsi="仿宋" w:eastAsia="仿宋_GB2312" w:cs="宋体"/>
          <w:color w:val="000000" w:themeColor="text1"/>
          <w:kern w:val="0"/>
          <w:sz w:val="32"/>
          <w:szCs w:val="32"/>
        </w:rPr>
        <w:t xml:space="preserve">此外,统筹协调传统媒体发布渠道，及时有效地发布我局相关信息。今年以来，在省级以上主流媒体刊发新闻报道4051篇，宣传效果明显提升。其中报刊杂志688篇，电视282篇次，广播411篇，网络新闻2670篇。 </w:t>
      </w:r>
    </w:p>
    <w:p w14:paraId="12429B6E">
      <w:pPr>
        <w:spacing w:line="560" w:lineRule="exact"/>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五是政府信息和政务公开组织领导和考核监督情况。</w:t>
      </w:r>
      <w:r>
        <w:rPr>
          <w:rFonts w:hint="eastAsia" w:ascii="仿宋_GB2312" w:hAnsi="Times New Roman" w:eastAsia="仿宋_GB2312" w:cs="Times New Roman"/>
          <w:color w:val="000000" w:themeColor="text1"/>
          <w:sz w:val="32"/>
          <w:szCs w:val="32"/>
        </w:rPr>
        <w:t>我局党组对政务公开工作高度重视，把其作为转变政府职能、提高行政效率的重要手段之一，纳入到三位一体的对外宣传大格局之中。一是建立政务公开领导小组。组长由贾太保副局长担任，成员包括局各处（室、总队）和局属事业单位，领导小组定期听取网站工作情况汇报。二是局办公室牵头政务公开工作，并指定两名在编人员专门负责此项工作，对所有政务公开内容进行保密审查和内容审查，保证了公开内容的数量和质量。三是加大资金投入。近年来，我局陆续投入了100余万元用于政务网站的建设和运维保障，保证了政务公开渠道的畅通。四是我局已将政务公开纳入到绩效考核体系，分值权重为5%。</w:t>
      </w:r>
    </w:p>
    <w:p w14:paraId="75F46914">
      <w:pPr>
        <w:spacing w:line="560" w:lineRule="exact"/>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六是依申请公开办理情况。</w:t>
      </w:r>
      <w:r>
        <w:rPr>
          <w:rFonts w:hint="eastAsia" w:ascii="仿宋_GB2312" w:hAnsi="Times New Roman" w:eastAsia="仿宋_GB2312" w:cs="Times New Roman"/>
          <w:color w:val="000000" w:themeColor="text1"/>
          <w:sz w:val="32"/>
          <w:szCs w:val="32"/>
        </w:rPr>
        <w:t>按照“分级共建、多方公示”的原则，我局充分利用局内网、局政务外网和首都之窗以及全市信用体系建设平台和各区安全监管局政务平台系统，实现了全市安全生产行政许可和行政处罚等信用信息的公开公示工作。目前，我局在政务网站上设立了安全生产行政许可和行政处罚结果信息公示专栏，对由我局实施的安全生产行政许可和行政处罚事项进行了全面公示。同时，还配合全市开展的信用体系建设，定期报送有关安全生产行政处罚信息，建立失信企业“黑名单”制度，有效震慑了违法违规经营的单位，极大地促进了和平经营单位安全生产主体责任的落实。按照“谁产生、谁提供、谁负责”的原则，全局11个具有行政许可和行政处罚职责的处室严格按照局政务公开管理办法要求，系统梳理安全生产“双公示”信息，及时、全面、准确地录入政府信息政务公开公示系统。10月新版网站上线，开通依申请网上填报功能，截止12月15日，共收到依申请公开政府信息222件，申请数量较去年增加90%，有些申请内容需要反复和申请人沟通联系，均在规定时间内寄送登记回执和答复意见，并每月向市政府报送统计数据和移送登记，全年未收到行政复议诉讼，申请人满意度100%。</w:t>
      </w:r>
    </w:p>
    <w:p w14:paraId="323C1BE9">
      <w:pPr>
        <w:spacing w:line="540" w:lineRule="exact"/>
        <w:ind w:firstLine="707" w:firstLineChars="221"/>
        <w:rPr>
          <w:rFonts w:ascii="黑体" w:hAnsi="黑体" w:eastAsia="黑体" w:cs="Times New Roman"/>
          <w:color w:val="000000" w:themeColor="text1"/>
          <w:sz w:val="32"/>
          <w:szCs w:val="24"/>
        </w:rPr>
      </w:pPr>
      <w:r>
        <w:rPr>
          <w:rFonts w:hint="eastAsia" w:ascii="黑体" w:hAnsi="黑体" w:eastAsia="黑体" w:cs="Times New Roman"/>
          <w:color w:val="000000" w:themeColor="text1"/>
          <w:sz w:val="32"/>
          <w:szCs w:val="24"/>
        </w:rPr>
        <w:t>三、典型经验做法</w:t>
      </w:r>
    </w:p>
    <w:p w14:paraId="24C70976">
      <w:pPr>
        <w:shd w:val="clear" w:color="auto" w:fill="FFFFFF"/>
        <w:snapToGrid w:val="0"/>
        <w:spacing w:line="580" w:lineRule="exact"/>
        <w:ind w:firstLine="643" w:firstLineChars="20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（一）构建机制，打造市、区两级联动的网站工作格局。</w:t>
      </w:r>
    </w:p>
    <w:p w14:paraId="24D2C007">
      <w:pPr>
        <w:shd w:val="clear" w:color="auto" w:fill="FFFFFF"/>
        <w:snapToGrid w:val="0"/>
        <w:spacing w:line="580" w:lineRule="exact"/>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一是全面推行安全生产重要事项“四公开”。</w:t>
      </w:r>
      <w:r>
        <w:rPr>
          <w:rFonts w:hint="eastAsia" w:ascii="仿宋_GB2312" w:hAnsi="Times New Roman" w:eastAsia="仿宋_GB2312" w:cs="Times New Roman"/>
          <w:color w:val="000000" w:themeColor="text1"/>
          <w:sz w:val="32"/>
          <w:szCs w:val="32"/>
        </w:rPr>
        <w:t>4月份起，我局先后对安全生产领域重点工作进行梳理，通过进行数据的采集与分析，结合市府办政务公开三级清单和我局具体工作实际，将“行政处罚”“执法监察”“事故调查”“行政许可”作为我局门户网站政务公开的四项重要内容，在首页显著位置进行发布。10月10日，新版网站上线后，先后组织两次市、区交流培训，对此内容进行专题培训，指导区局逐步完善相关内容发布机制和流程，逐步实现安全生产重点领域公开事项市、区两级同步发布。</w:t>
      </w:r>
    </w:p>
    <w:p w14:paraId="74A233CC">
      <w:pPr>
        <w:shd w:val="clear" w:color="auto" w:fill="FFFFFF"/>
        <w:snapToGrid w:val="0"/>
        <w:spacing w:line="580" w:lineRule="exact"/>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一是组建信息员队伍。</w:t>
      </w:r>
      <w:r>
        <w:rPr>
          <w:rFonts w:hint="eastAsia" w:ascii="仿宋_GB2312" w:hAnsi="Times New Roman" w:eastAsia="仿宋_GB2312" w:cs="Times New Roman"/>
          <w:color w:val="000000" w:themeColor="text1"/>
          <w:sz w:val="32"/>
          <w:szCs w:val="32"/>
        </w:rPr>
        <w:t>加大对各区局、局内各处室信息员队伍的组织建设和业务指导，坚持培训、使用相结合，建立一支专业化、成规模、能战斗的信息员队伍。进一步加强信息员的管理和运用，充分调动其积极性和主动性，有效利用信息员的优势和力量。</w:t>
      </w:r>
    </w:p>
    <w:p w14:paraId="3B4ED160">
      <w:pPr>
        <w:adjustRightInd w:val="0"/>
        <w:snapToGrid w:val="0"/>
        <w:spacing w:line="560" w:lineRule="exact"/>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二是建立网站管理制度。</w:t>
      </w:r>
      <w:r>
        <w:rPr>
          <w:rFonts w:hint="eastAsia" w:ascii="仿宋_GB2312" w:hAnsi="Times New Roman" w:eastAsia="仿宋_GB2312" w:cs="Times New Roman"/>
          <w:color w:val="000000" w:themeColor="text1"/>
          <w:sz w:val="32"/>
          <w:szCs w:val="32"/>
        </w:rPr>
        <w:t>7月份，我局印发《北京市安全生产监管监察系统安全生产政务公开工作管理办法》（京安监发〔2016〕43号），《办法》中对安全生产职权信息公开目录和安全生产重点领域信息公开目录进行明确。8月份，印发《关于深入推进安全生产重点领域政务公开工作的通知》，要求各区、街乡参照市局标准指定区、街乡的公开目录，确保全市安监系统要在持续推进安全生产政务公开的同时，重点做好本单位职权信息和安全生产重点领域信息的公开工作，进一步明确安全生产政务公开的主体范围和内容标准。</w:t>
      </w:r>
    </w:p>
    <w:p w14:paraId="64800698">
      <w:pPr>
        <w:shd w:val="clear" w:color="auto" w:fill="FFFFFF"/>
        <w:snapToGrid w:val="0"/>
        <w:spacing w:line="580" w:lineRule="exact"/>
        <w:ind w:firstLine="643" w:firstLineChars="20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（二）打造精品，提升网站传播力、影响力。</w:t>
      </w:r>
    </w:p>
    <w:p w14:paraId="1A007720">
      <w:pPr>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一是领导重视，多举措保障网站工作质量。</w:t>
      </w:r>
      <w:r>
        <w:rPr>
          <w:rFonts w:hint="eastAsia" w:ascii="仿宋_GB2312" w:hAnsi="Times New Roman" w:eastAsia="仿宋_GB2312" w:cs="Times New Roman"/>
          <w:color w:val="000000" w:themeColor="text1"/>
          <w:sz w:val="32"/>
          <w:szCs w:val="32"/>
        </w:rPr>
        <w:t>我局党组对政务公开工作高度重视，把其作为转变政府职能、提高行政效率的重要手段之一，纳入到三位一体的对外宣传大格局之中。一是建立政务公开领导小组。组长由贾太保副局长担任，成员包括局各处（室、总队）和局属事业单位，领导小组定期听取网站工作情况汇报。二是局办公室牵头政务公开工作，并指定两名在编人员专门负责此项工作，对所有政务公开内容进行保密审查和内容审查，保证了公开内容的数量和质量。三是加大资金投入。近年来，我局陆续投入了100余万元用于政务网站的建设和运维保障，保证了政务公开渠道的畅通。四是我局已将政务公开纳入到绩效考核体系，分值权重为5%。</w:t>
      </w:r>
    </w:p>
    <w:p w14:paraId="6156DC52">
      <w:pPr>
        <w:pStyle w:val="2"/>
        <w:spacing w:line="560" w:lineRule="exact"/>
        <w:ind w:firstLine="643" w:firstLineChars="200"/>
        <w:rPr>
          <w:rFonts w:ascii="仿宋_GB2312" w:hAnsi="Times New Roman" w:eastAsia="仿宋_GB2312"/>
          <w:color w:val="000000" w:themeColor="text1"/>
          <w:kern w:val="2"/>
          <w:sz w:val="32"/>
          <w:szCs w:val="32"/>
        </w:rPr>
      </w:pPr>
      <w:r>
        <w:rPr>
          <w:rFonts w:hint="eastAsia" w:ascii="仿宋_GB2312" w:hAnsi="Times New Roman" w:eastAsia="仿宋_GB2312"/>
          <w:b/>
          <w:color w:val="000000" w:themeColor="text1"/>
          <w:kern w:val="2"/>
          <w:sz w:val="32"/>
          <w:szCs w:val="32"/>
        </w:rPr>
        <w:t>二是提升网站政务公开工作水平。</w:t>
      </w:r>
      <w:r>
        <w:rPr>
          <w:rFonts w:hint="eastAsia" w:ascii="仿宋_GB2312" w:hAnsi="Times New Roman" w:eastAsia="仿宋_GB2312"/>
          <w:color w:val="000000" w:themeColor="text1"/>
          <w:kern w:val="2"/>
          <w:sz w:val="32"/>
          <w:szCs w:val="32"/>
        </w:rPr>
        <w:t>按照“分级共建、多方公示”的原则，我局充分利用局内网、局政务外网和首都之窗以及全市信用体系建设平台和各区安全监管局政务平台系统，实现了全市安全生产行政许可和行政处罚等信用信息的公开公示工作。目前，我局在政务网站上设立了安全生产行政许可和行政处罚结果信息公示专栏，对由我局实施的安全生产行政许可和行政处罚事项进行了全面公示。同时，还配合全市开展的信用体系建设，定期报送有关安全生产行政处罚信息，建立失信企业“黑名单”制度，有效震慑了违法违规经营的单位，极大地促进了和平经营单位安全生产主体责任的落实。按照“谁产生、谁提供、谁负责”的原则，全局11个具有行政许可和行政处罚职责的处室严格按照局政务公开管理办法要求，系统梳理安全生产“双公示”信息，及时、全面、准确地录入政府信息政务公开公示系统。</w:t>
      </w:r>
    </w:p>
    <w:p w14:paraId="6CC3CED5">
      <w:pPr>
        <w:shd w:val="clear" w:color="auto" w:fill="FFFFFF"/>
        <w:snapToGrid w:val="0"/>
        <w:spacing w:line="580" w:lineRule="exact"/>
        <w:ind w:firstLine="643"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b/>
          <w:color w:val="000000" w:themeColor="text1"/>
          <w:sz w:val="32"/>
          <w:szCs w:val="32"/>
        </w:rPr>
        <w:t>三是打造自媒体宣传精品平台。</w:t>
      </w:r>
      <w:r>
        <w:rPr>
          <w:rFonts w:hint="eastAsia" w:ascii="仿宋_GB2312" w:hAnsi="Times New Roman" w:eastAsia="仿宋_GB2312" w:cs="Times New Roman"/>
          <w:color w:val="000000" w:themeColor="text1"/>
          <w:sz w:val="32"/>
          <w:szCs w:val="32"/>
        </w:rPr>
        <w:t>大力建设局官方微信、微博、政务网站，注重内容维护、宣传推广、政民互动活动策划，提升我局自媒体平台影响力。</w:t>
      </w:r>
    </w:p>
    <w:p w14:paraId="49D38627">
      <w:pPr>
        <w:spacing w:line="540" w:lineRule="exact"/>
        <w:ind w:firstLine="707" w:firstLineChars="221"/>
        <w:rPr>
          <w:rFonts w:ascii="黑体" w:hAnsi="黑体" w:eastAsia="黑体" w:cs="Times New Roman"/>
          <w:color w:val="000000" w:themeColor="text1"/>
          <w:sz w:val="32"/>
          <w:szCs w:val="24"/>
        </w:rPr>
      </w:pPr>
      <w:r>
        <w:rPr>
          <w:rFonts w:hint="eastAsia" w:ascii="黑体" w:hAnsi="黑体" w:eastAsia="黑体" w:cs="Times New Roman"/>
          <w:color w:val="000000" w:themeColor="text1"/>
          <w:sz w:val="32"/>
          <w:szCs w:val="24"/>
        </w:rPr>
        <w:t>四、存在的问题和对全市政务公开工作的意见建议</w:t>
      </w:r>
    </w:p>
    <w:p w14:paraId="52EAF7B9">
      <w:pPr>
        <w:pStyle w:val="2"/>
        <w:spacing w:line="560" w:lineRule="exact"/>
        <w:ind w:firstLine="640" w:firstLineChars="200"/>
        <w:rPr>
          <w:rFonts w:ascii="仿宋_GB2312" w:hAnsi="Times New Roman" w:eastAsia="仿宋_GB2312"/>
          <w:color w:val="000000" w:themeColor="text1"/>
          <w:sz w:val="32"/>
          <w:szCs w:val="32"/>
        </w:rPr>
      </w:pPr>
      <w:r>
        <w:rPr>
          <w:rFonts w:hint="eastAsia" w:ascii="仿宋_GB2312" w:hAnsi="Times New Roman" w:eastAsia="仿宋_GB2312"/>
          <w:color w:val="000000" w:themeColor="text1"/>
          <w:kern w:val="2"/>
          <w:sz w:val="32"/>
          <w:szCs w:val="32"/>
        </w:rPr>
        <w:t>（一）存在问题与对策。目前，我局正在加快推进局政务外网信息平台新旧网站对接建设工作，同时，新版网站还不能实现与市级信用体系建设平台的有效链接和实时共享。下一步，我局将于年底前完成局信息系统的全面整合和升级改造，实现网站政务公开专栏中 “行政许可、行政处罚、执法检查、事故调查”等信息的全面公开公示。同时，我局还将研究采取大数据、移动互联等信息化手段，在法律法规允许范围内搭建移动行政许可和行政处罚平台，努力实现行政许可、行政处罚、执法检查信息的实时传输，提高工作效率和标准化水平。</w:t>
      </w:r>
    </w:p>
    <w:p w14:paraId="01153B6D">
      <w:pPr>
        <w:ind w:firstLine="640" w:firstLineChars="200"/>
        <w:rPr>
          <w:rFonts w:ascii="仿宋_GB2312" w:hAnsi="Calibri" w:eastAsia="仿宋_GB2312"/>
          <w:color w:val="000000" w:themeColor="text1"/>
          <w:sz w:val="32"/>
          <w:szCs w:val="32"/>
        </w:rPr>
      </w:pPr>
      <w:r>
        <w:rPr>
          <w:rFonts w:hint="eastAsia" w:ascii="仿宋_GB2312" w:hAnsi="Times New Roman" w:eastAsia="仿宋_GB2312" w:cs="Times New Roman"/>
          <w:color w:val="000000" w:themeColor="text1"/>
          <w:sz w:val="32"/>
          <w:szCs w:val="32"/>
        </w:rPr>
        <w:t>（二）对全市政务公开工作的意见建议。开展政务公开大数据研究，科学构建“互联网＋政务公开”，</w:t>
      </w:r>
      <w:r>
        <w:rPr>
          <w:rFonts w:hint="eastAsia" w:ascii="仿宋_GB2312" w:hAnsi="Calibri" w:eastAsia="仿宋_GB2312"/>
          <w:color w:val="000000" w:themeColor="text1"/>
          <w:sz w:val="32"/>
          <w:szCs w:val="32"/>
        </w:rPr>
        <w:t>从全市政务公开工作实际出发，基于政务公开信息化现有基础，运用互联网+、大数据、云计算等新技术，不断迭代更新现有系统，提升政务公开信息化手段，构建起支撑政务公开重点业务工作的数字化、网络化信息平台。在系统使用推广中，汇聚大量有关数据，实现数据共享。还应探索利用大数据分析技术，开展政务公开舆情监测及预警工作，全面构建舆情危机预防控制体系。</w:t>
      </w:r>
    </w:p>
    <w:p w14:paraId="1F1BE2CF">
      <w:pPr>
        <w:rPr>
          <w:rFonts w:ascii="仿宋_GB2312" w:hAnsi="Calibri" w:eastAsia="仿宋_GB2312"/>
          <w:color w:val="000000" w:themeColor="text1"/>
          <w:sz w:val="32"/>
          <w:szCs w:val="32"/>
        </w:rPr>
      </w:pPr>
    </w:p>
    <w:p w14:paraId="4AD85EF0">
      <w:pPr>
        <w:jc w:val="right"/>
        <w:rPr>
          <w:rFonts w:ascii="仿宋_GB2312" w:hAnsi="Calibri" w:eastAsia="仿宋_GB2312"/>
          <w:color w:val="000000" w:themeColor="text1"/>
          <w:sz w:val="32"/>
          <w:szCs w:val="32"/>
        </w:rPr>
      </w:pPr>
      <w:r>
        <w:rPr>
          <w:rFonts w:hint="eastAsia" w:ascii="仿宋_GB2312" w:hAnsi="Calibri" w:eastAsia="仿宋_GB2312"/>
          <w:color w:val="000000" w:themeColor="text1"/>
          <w:sz w:val="32"/>
          <w:szCs w:val="32"/>
        </w:rPr>
        <w:t>北京市安全生产监督管理局</w:t>
      </w:r>
    </w:p>
    <w:p w14:paraId="2F8915ED">
      <w:pPr>
        <w:jc w:val="right"/>
        <w:rPr>
          <w:rFonts w:hint="eastAsia" w:ascii="仿宋_GB2312" w:hAnsi="Calibri" w:eastAsia="仿宋_GB2312"/>
          <w:color w:val="000000" w:themeColor="text1"/>
          <w:sz w:val="32"/>
          <w:szCs w:val="32"/>
        </w:rPr>
      </w:pPr>
      <w:r>
        <w:rPr>
          <w:rFonts w:hint="eastAsia" w:ascii="仿宋_GB2312" w:hAnsi="Calibri" w:eastAsia="仿宋_GB2312"/>
          <w:color w:val="000000" w:themeColor="text1"/>
          <w:sz w:val="32"/>
          <w:szCs w:val="32"/>
        </w:rPr>
        <w:t>2017年3月</w:t>
      </w:r>
    </w:p>
    <w:p w14:paraId="55C1784B">
      <w:pPr>
        <w:rPr>
          <w:rFonts w:ascii="仿宋_GB2312" w:hAnsi="Calibri" w:eastAsia="仿宋_GB2312"/>
          <w:color w:val="000000" w:themeColor="text1"/>
          <w:sz w:val="32"/>
          <w:szCs w:val="32"/>
        </w:rPr>
      </w:pPr>
    </w:p>
    <w:p w14:paraId="20D0E6A5">
      <w:pPr>
        <w:rPr>
          <w:rFonts w:ascii="仿宋_GB2312" w:hAnsi="Calibri" w:eastAsia="仿宋_GB2312"/>
          <w:color w:val="000000" w:themeColor="text1"/>
          <w:sz w:val="32"/>
          <w:szCs w:val="32"/>
        </w:rPr>
      </w:pPr>
    </w:p>
    <w:p w14:paraId="307A64AD">
      <w:pPr>
        <w:rPr>
          <w:rFonts w:ascii="仿宋_GB2312" w:hAnsi="Calibri" w:eastAsia="仿宋_GB2312"/>
          <w:color w:val="000000" w:themeColor="text1"/>
          <w:sz w:val="32"/>
          <w:szCs w:val="32"/>
        </w:rPr>
      </w:pPr>
    </w:p>
    <w:p w14:paraId="53CF5092">
      <w:pPr>
        <w:rPr>
          <w:rFonts w:ascii="仿宋_GB2312" w:hAnsi="Calibri" w:eastAsia="仿宋_GB2312"/>
          <w:color w:val="000000" w:themeColor="text1"/>
          <w:sz w:val="32"/>
          <w:szCs w:val="32"/>
        </w:rPr>
      </w:pPr>
    </w:p>
    <w:p w14:paraId="4531FC61">
      <w:pPr>
        <w:rPr>
          <w:rFonts w:ascii="仿宋_GB2312" w:hAnsi="Calibri" w:eastAsia="仿宋_GB2312"/>
          <w:color w:val="000000" w:themeColor="text1"/>
          <w:sz w:val="32"/>
          <w:szCs w:val="32"/>
        </w:rPr>
      </w:pPr>
    </w:p>
    <w:p w14:paraId="3358ED5E">
      <w:pPr>
        <w:tabs>
          <w:tab w:val="left" w:pos="1290"/>
        </w:tabs>
        <w:rPr>
          <w:rFonts w:ascii="仿宋_GB2312" w:hAnsi="Calibri" w:eastAsia="仿宋_GB2312"/>
          <w:color w:val="000000" w:themeColor="text1"/>
          <w:sz w:val="32"/>
          <w:szCs w:val="32"/>
        </w:rPr>
      </w:pPr>
      <w:r>
        <w:rPr>
          <w:rFonts w:ascii="仿宋_GB2312" w:hAnsi="Calibri" w:eastAsia="仿宋_GB2312"/>
          <w:color w:val="000000" w:themeColor="text1"/>
          <w:sz w:val="32"/>
          <w:szCs w:val="32"/>
        </w:rPr>
        <w:tab/>
      </w:r>
    </w:p>
    <w:p w14:paraId="1E607040">
      <w:pPr>
        <w:rPr>
          <w:rFonts w:ascii="仿宋_GB2312" w:hAnsi="Calibri" w:eastAsia="仿宋_GB2312"/>
          <w:color w:val="000000" w:themeColor="text1"/>
          <w:sz w:val="32"/>
          <w:szCs w:val="32"/>
        </w:rPr>
      </w:pPr>
    </w:p>
    <w:tbl>
      <w:tblPr>
        <w:tblStyle w:val="6"/>
        <w:tblW w:w="5000" w:type="pct"/>
        <w:tblInd w:w="0" w:type="dxa"/>
        <w:tblLayout w:type="autofit"/>
        <w:tblCellMar>
          <w:top w:w="0" w:type="dxa"/>
          <w:left w:w="108" w:type="dxa"/>
          <w:bottom w:w="0" w:type="dxa"/>
          <w:right w:w="108" w:type="dxa"/>
        </w:tblCellMar>
      </w:tblPr>
      <w:tblGrid>
        <w:gridCol w:w="6911"/>
        <w:gridCol w:w="758"/>
        <w:gridCol w:w="853"/>
      </w:tblGrid>
      <w:tr w14:paraId="292AF59C">
        <w:tblPrEx>
          <w:tblCellMar>
            <w:top w:w="0" w:type="dxa"/>
            <w:left w:w="108" w:type="dxa"/>
            <w:bottom w:w="0" w:type="dxa"/>
            <w:right w:w="108" w:type="dxa"/>
          </w:tblCellMar>
        </w:tblPrEx>
        <w:trPr>
          <w:trHeight w:val="450" w:hRule="atLeast"/>
        </w:trPr>
        <w:tc>
          <w:tcPr>
            <w:tcW w:w="5000" w:type="pct"/>
            <w:gridSpan w:val="3"/>
            <w:tcBorders>
              <w:top w:val="nil"/>
              <w:left w:val="nil"/>
              <w:bottom w:val="nil"/>
              <w:right w:val="nil"/>
            </w:tcBorders>
            <w:shd w:val="clear" w:color="auto" w:fill="auto"/>
            <w:vAlign w:val="center"/>
          </w:tcPr>
          <w:p w14:paraId="5836B1C6">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政府信息公开情况统计表</w:t>
            </w:r>
          </w:p>
        </w:tc>
      </w:tr>
      <w:tr w14:paraId="5AA6DEDD">
        <w:tblPrEx>
          <w:tblCellMar>
            <w:top w:w="0" w:type="dxa"/>
            <w:left w:w="108" w:type="dxa"/>
            <w:bottom w:w="0" w:type="dxa"/>
            <w:right w:w="108" w:type="dxa"/>
          </w:tblCellMar>
        </w:tblPrEx>
        <w:trPr>
          <w:trHeight w:val="285" w:hRule="atLeast"/>
        </w:trPr>
        <w:tc>
          <w:tcPr>
            <w:tcW w:w="5000" w:type="pct"/>
            <w:gridSpan w:val="3"/>
            <w:tcBorders>
              <w:top w:val="nil"/>
              <w:left w:val="nil"/>
              <w:bottom w:val="nil"/>
              <w:right w:val="nil"/>
            </w:tcBorders>
            <w:shd w:val="clear" w:color="auto" w:fill="auto"/>
            <w:vAlign w:val="center"/>
          </w:tcPr>
          <w:p w14:paraId="71D59130">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（2016年度）</w:t>
            </w:r>
          </w:p>
        </w:tc>
      </w:tr>
      <w:tr w14:paraId="44CCE983">
        <w:tblPrEx>
          <w:tblCellMar>
            <w:top w:w="0" w:type="dxa"/>
            <w:left w:w="108" w:type="dxa"/>
            <w:bottom w:w="0" w:type="dxa"/>
            <w:right w:w="108" w:type="dxa"/>
          </w:tblCellMar>
        </w:tblPrEx>
        <w:trPr>
          <w:trHeight w:val="435" w:hRule="atLeast"/>
        </w:trPr>
        <w:tc>
          <w:tcPr>
            <w:tcW w:w="40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3A1F">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统 计 指 标</w:t>
            </w:r>
          </w:p>
        </w:tc>
        <w:tc>
          <w:tcPr>
            <w:tcW w:w="445" w:type="pct"/>
            <w:tcBorders>
              <w:top w:val="single" w:color="000000" w:sz="4" w:space="0"/>
              <w:left w:val="nil"/>
              <w:bottom w:val="single" w:color="000000" w:sz="4" w:space="0"/>
              <w:right w:val="single" w:color="000000" w:sz="4" w:space="0"/>
            </w:tcBorders>
            <w:shd w:val="clear" w:color="auto" w:fill="auto"/>
            <w:vAlign w:val="center"/>
          </w:tcPr>
          <w:p w14:paraId="59E7D701">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单位</w:t>
            </w:r>
          </w:p>
        </w:tc>
        <w:tc>
          <w:tcPr>
            <w:tcW w:w="500" w:type="pct"/>
            <w:tcBorders>
              <w:top w:val="single" w:color="000000" w:sz="4" w:space="0"/>
              <w:left w:val="nil"/>
              <w:bottom w:val="single" w:color="000000" w:sz="4" w:space="0"/>
              <w:right w:val="single" w:color="000000" w:sz="4" w:space="0"/>
            </w:tcBorders>
            <w:shd w:val="clear" w:color="auto" w:fill="auto"/>
            <w:vAlign w:val="center"/>
          </w:tcPr>
          <w:p w14:paraId="11FB2424">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统计数</w:t>
            </w:r>
          </w:p>
        </w:tc>
      </w:tr>
      <w:tr w14:paraId="22C585E2">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8982E38">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 一、主动公开情况</w:t>
            </w:r>
          </w:p>
        </w:tc>
        <w:tc>
          <w:tcPr>
            <w:tcW w:w="445" w:type="pct"/>
            <w:tcBorders>
              <w:top w:val="nil"/>
              <w:left w:val="nil"/>
              <w:bottom w:val="single" w:color="000000" w:sz="4" w:space="0"/>
              <w:right w:val="single" w:color="000000" w:sz="4" w:space="0"/>
            </w:tcBorders>
            <w:shd w:val="clear" w:color="auto" w:fill="auto"/>
            <w:vAlign w:val="center"/>
          </w:tcPr>
          <w:p w14:paraId="2AE9AD7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70FE44B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0690D50">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14:paraId="1656E7E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  （一）主动公开政府信息数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14:paraId="04808DA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01231FC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21542</w:t>
            </w:r>
          </w:p>
        </w:tc>
      </w:tr>
      <w:tr w14:paraId="40D284AB">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68880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45" w:type="pct"/>
            <w:vMerge w:val="continue"/>
            <w:tcBorders>
              <w:top w:val="nil"/>
              <w:left w:val="single" w:color="000000" w:sz="4" w:space="0"/>
              <w:bottom w:val="single" w:color="000000" w:sz="4" w:space="0"/>
              <w:right w:val="single" w:color="000000" w:sz="4" w:space="0"/>
            </w:tcBorders>
            <w:vAlign w:val="center"/>
          </w:tcPr>
          <w:p w14:paraId="41B17BB0">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14:paraId="46DAAE35">
            <w:pPr>
              <w:widowControl/>
              <w:jc w:val="left"/>
              <w:rPr>
                <w:rFonts w:ascii="宋体" w:hAnsi="宋体" w:eastAsia="宋体" w:cs="宋体"/>
                <w:color w:val="000000"/>
                <w:kern w:val="0"/>
                <w:sz w:val="22"/>
              </w:rPr>
            </w:pPr>
          </w:p>
        </w:tc>
      </w:tr>
      <w:tr w14:paraId="0D6C695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EE095C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     其中：主动公开规范性文件数</w:t>
            </w:r>
          </w:p>
        </w:tc>
        <w:tc>
          <w:tcPr>
            <w:tcW w:w="445" w:type="pct"/>
            <w:tcBorders>
              <w:top w:val="nil"/>
              <w:left w:val="nil"/>
              <w:bottom w:val="single" w:color="000000" w:sz="4" w:space="0"/>
              <w:right w:val="single" w:color="000000" w:sz="4" w:space="0"/>
            </w:tcBorders>
            <w:shd w:val="clear" w:color="auto" w:fill="auto"/>
            <w:vAlign w:val="center"/>
          </w:tcPr>
          <w:p w14:paraId="5258DAF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67F3A18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14:paraId="157E947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DECBE3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        制发规范性文件总数</w:t>
            </w:r>
          </w:p>
        </w:tc>
        <w:tc>
          <w:tcPr>
            <w:tcW w:w="445" w:type="pct"/>
            <w:tcBorders>
              <w:top w:val="nil"/>
              <w:left w:val="nil"/>
              <w:bottom w:val="single" w:color="000000" w:sz="4" w:space="0"/>
              <w:right w:val="single" w:color="000000" w:sz="4" w:space="0"/>
            </w:tcBorders>
            <w:shd w:val="clear" w:color="auto" w:fill="auto"/>
            <w:vAlign w:val="center"/>
          </w:tcPr>
          <w:p w14:paraId="6F4CF00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544C972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14:paraId="16CDA612">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14:paraId="14AA20C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  （二）重点领域公开政府信息数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14:paraId="4AD2E6A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2F49723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1860</w:t>
            </w:r>
          </w:p>
        </w:tc>
      </w:tr>
      <w:tr w14:paraId="5B1A4FDC">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C5CE86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    （不同渠道和方式公开相同信息计1条）</w:t>
            </w:r>
          </w:p>
        </w:tc>
        <w:tc>
          <w:tcPr>
            <w:tcW w:w="445" w:type="pct"/>
            <w:vMerge w:val="continue"/>
            <w:tcBorders>
              <w:top w:val="nil"/>
              <w:left w:val="single" w:color="000000" w:sz="4" w:space="0"/>
              <w:bottom w:val="single" w:color="000000" w:sz="4" w:space="0"/>
              <w:right w:val="single" w:color="000000" w:sz="4" w:space="0"/>
            </w:tcBorders>
            <w:vAlign w:val="center"/>
          </w:tcPr>
          <w:p w14:paraId="57D73405">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14:paraId="650BD7C7">
            <w:pPr>
              <w:widowControl/>
              <w:jc w:val="left"/>
              <w:rPr>
                <w:rFonts w:ascii="宋体" w:hAnsi="宋体" w:eastAsia="宋体" w:cs="宋体"/>
                <w:color w:val="000000"/>
                <w:kern w:val="0"/>
                <w:sz w:val="22"/>
              </w:rPr>
            </w:pPr>
          </w:p>
        </w:tc>
      </w:tr>
      <w:tr w14:paraId="5AE5765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78B6BD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     其中：主动公开财政预算决算、</w:t>
            </w:r>
            <w:r>
              <w:rPr>
                <w:rFonts w:hint="eastAsia" w:ascii="宋体" w:hAnsi="宋体" w:eastAsia="宋体" w:cs="宋体"/>
                <w:color w:val="000000"/>
                <w:kern w:val="0"/>
                <w:sz w:val="22"/>
                <w:lang w:eastAsia="zh-CN"/>
              </w:rPr>
              <w:t>“三公”经费</w:t>
            </w:r>
            <w:bookmarkStart w:id="0" w:name="_GoBack"/>
            <w:bookmarkEnd w:id="0"/>
            <w:r>
              <w:rPr>
                <w:rFonts w:hint="eastAsia" w:ascii="宋体" w:hAnsi="宋体" w:eastAsia="宋体" w:cs="宋体"/>
                <w:color w:val="000000"/>
                <w:kern w:val="0"/>
                <w:sz w:val="22"/>
              </w:rPr>
              <w:t>和行政经费信息数</w:t>
            </w:r>
          </w:p>
        </w:tc>
        <w:tc>
          <w:tcPr>
            <w:tcW w:w="445" w:type="pct"/>
            <w:tcBorders>
              <w:top w:val="nil"/>
              <w:left w:val="nil"/>
              <w:bottom w:val="single" w:color="000000" w:sz="4" w:space="0"/>
              <w:right w:val="single" w:color="000000" w:sz="4" w:space="0"/>
            </w:tcBorders>
            <w:shd w:val="clear" w:color="auto" w:fill="auto"/>
            <w:vAlign w:val="center"/>
          </w:tcPr>
          <w:p w14:paraId="0C75EC5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098588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14:paraId="4081B216">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7A78AE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        主动公开保障性安居工程建设计划、项目开工和竣工情况，保障性住房的分配和退出等信息数</w:t>
            </w:r>
          </w:p>
        </w:tc>
        <w:tc>
          <w:tcPr>
            <w:tcW w:w="445" w:type="pct"/>
            <w:tcBorders>
              <w:top w:val="nil"/>
              <w:left w:val="nil"/>
              <w:bottom w:val="single" w:color="000000" w:sz="4" w:space="0"/>
              <w:right w:val="single" w:color="000000" w:sz="4" w:space="0"/>
            </w:tcBorders>
            <w:shd w:val="clear" w:color="auto" w:fill="auto"/>
            <w:vAlign w:val="center"/>
          </w:tcPr>
          <w:p w14:paraId="06E0A48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DF3447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473A2E9B">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6F5285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        主动公开食品安全标准，食品生产经营许可、专项检查整治等信息数</w:t>
            </w:r>
          </w:p>
        </w:tc>
        <w:tc>
          <w:tcPr>
            <w:tcW w:w="445" w:type="pct"/>
            <w:tcBorders>
              <w:top w:val="nil"/>
              <w:left w:val="nil"/>
              <w:bottom w:val="single" w:color="000000" w:sz="4" w:space="0"/>
              <w:right w:val="single" w:color="000000" w:sz="4" w:space="0"/>
            </w:tcBorders>
            <w:shd w:val="clear" w:color="auto" w:fill="auto"/>
            <w:vAlign w:val="center"/>
          </w:tcPr>
          <w:p w14:paraId="69D9B7A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CBABA8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77FD7218">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C66848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        主动公开环境核查审批、环境状况公报和重特大突发环境事件等信息数</w:t>
            </w:r>
          </w:p>
        </w:tc>
        <w:tc>
          <w:tcPr>
            <w:tcW w:w="445" w:type="pct"/>
            <w:tcBorders>
              <w:top w:val="nil"/>
              <w:left w:val="nil"/>
              <w:bottom w:val="single" w:color="000000" w:sz="4" w:space="0"/>
              <w:right w:val="single" w:color="000000" w:sz="4" w:space="0"/>
            </w:tcBorders>
            <w:shd w:val="clear" w:color="auto" w:fill="auto"/>
            <w:vAlign w:val="center"/>
          </w:tcPr>
          <w:p w14:paraId="6EEA06B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535BF56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253183F8">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9C9CC8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        主动公开招投标违法违规行为及处理情况、国有资金占控股或者主导地位依法应当招标的项目等信息数</w:t>
            </w:r>
          </w:p>
        </w:tc>
        <w:tc>
          <w:tcPr>
            <w:tcW w:w="445" w:type="pct"/>
            <w:tcBorders>
              <w:top w:val="nil"/>
              <w:left w:val="nil"/>
              <w:bottom w:val="single" w:color="000000" w:sz="4" w:space="0"/>
              <w:right w:val="single" w:color="000000" w:sz="4" w:space="0"/>
            </w:tcBorders>
            <w:shd w:val="clear" w:color="auto" w:fill="auto"/>
            <w:vAlign w:val="center"/>
          </w:tcPr>
          <w:p w14:paraId="0499F13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7F06E31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726DD2F1">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B6523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        主动公开生产安全事故的政府举措、处置进展、风险预警、防范措施等信息数</w:t>
            </w:r>
          </w:p>
        </w:tc>
        <w:tc>
          <w:tcPr>
            <w:tcW w:w="445" w:type="pct"/>
            <w:tcBorders>
              <w:top w:val="nil"/>
              <w:left w:val="nil"/>
              <w:bottom w:val="single" w:color="000000" w:sz="4" w:space="0"/>
              <w:right w:val="single" w:color="000000" w:sz="4" w:space="0"/>
            </w:tcBorders>
            <w:shd w:val="clear" w:color="auto" w:fill="auto"/>
            <w:vAlign w:val="center"/>
          </w:tcPr>
          <w:p w14:paraId="3159F86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61AE719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24</w:t>
            </w:r>
          </w:p>
        </w:tc>
      </w:tr>
      <w:tr w14:paraId="780DA242">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95A5D3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        主动公开农用地转为建设用地批准、征收集体土地批准、征地公告、征地补偿安置公示、集体土地征收结案等信息数</w:t>
            </w:r>
          </w:p>
        </w:tc>
        <w:tc>
          <w:tcPr>
            <w:tcW w:w="445" w:type="pct"/>
            <w:tcBorders>
              <w:top w:val="nil"/>
              <w:left w:val="nil"/>
              <w:bottom w:val="single" w:color="000000" w:sz="4" w:space="0"/>
              <w:right w:val="single" w:color="000000" w:sz="4" w:space="0"/>
            </w:tcBorders>
            <w:shd w:val="clear" w:color="auto" w:fill="auto"/>
            <w:vAlign w:val="center"/>
          </w:tcPr>
          <w:p w14:paraId="7FB44F1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16984F1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07A1E241">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C20EB9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        主动公开政府指导价、政府定价和收费标准调整的项目、价格、依据、执行时间和范围等信息数</w:t>
            </w:r>
          </w:p>
        </w:tc>
        <w:tc>
          <w:tcPr>
            <w:tcW w:w="445" w:type="pct"/>
            <w:tcBorders>
              <w:top w:val="nil"/>
              <w:left w:val="nil"/>
              <w:bottom w:val="single" w:color="000000" w:sz="4" w:space="0"/>
              <w:right w:val="single" w:color="000000" w:sz="4" w:space="0"/>
            </w:tcBorders>
            <w:shd w:val="clear" w:color="auto" w:fill="auto"/>
            <w:vAlign w:val="center"/>
          </w:tcPr>
          <w:p w14:paraId="04D94E4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600F774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7F36296F">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76A7A6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        主动公开本市企业信用信息系统中的警示信息和良好信息等信息数</w:t>
            </w:r>
          </w:p>
        </w:tc>
        <w:tc>
          <w:tcPr>
            <w:tcW w:w="445" w:type="pct"/>
            <w:tcBorders>
              <w:top w:val="nil"/>
              <w:left w:val="nil"/>
              <w:bottom w:val="single" w:color="000000" w:sz="4" w:space="0"/>
              <w:right w:val="single" w:color="000000" w:sz="4" w:space="0"/>
            </w:tcBorders>
            <w:shd w:val="clear" w:color="auto" w:fill="auto"/>
            <w:vAlign w:val="center"/>
          </w:tcPr>
          <w:p w14:paraId="54F281D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21E316F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w:t>
            </w:r>
          </w:p>
        </w:tc>
      </w:tr>
      <w:tr w14:paraId="6BDA1095">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F7FBD1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        主动公开政府部门预算执行审计结果等信息数</w:t>
            </w:r>
          </w:p>
        </w:tc>
        <w:tc>
          <w:tcPr>
            <w:tcW w:w="445" w:type="pct"/>
            <w:tcBorders>
              <w:top w:val="nil"/>
              <w:left w:val="nil"/>
              <w:bottom w:val="single" w:color="000000" w:sz="4" w:space="0"/>
              <w:right w:val="single" w:color="000000" w:sz="4" w:space="0"/>
            </w:tcBorders>
            <w:shd w:val="clear" w:color="auto" w:fill="auto"/>
            <w:vAlign w:val="center"/>
          </w:tcPr>
          <w:p w14:paraId="37FB63E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1B23E39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6B7E97E4">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5685A4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        主动公开行政机关对与人民群众利益密切相关的公共企事业单位进行监督管理的信息数</w:t>
            </w:r>
          </w:p>
        </w:tc>
        <w:tc>
          <w:tcPr>
            <w:tcW w:w="445" w:type="pct"/>
            <w:tcBorders>
              <w:top w:val="nil"/>
              <w:left w:val="nil"/>
              <w:bottom w:val="single" w:color="000000" w:sz="4" w:space="0"/>
              <w:right w:val="single" w:color="000000" w:sz="4" w:space="0"/>
            </w:tcBorders>
            <w:shd w:val="clear" w:color="auto" w:fill="auto"/>
            <w:vAlign w:val="center"/>
          </w:tcPr>
          <w:p w14:paraId="31DCB38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26A2563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478</w:t>
            </w:r>
          </w:p>
        </w:tc>
      </w:tr>
      <w:tr w14:paraId="45EE5C6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6B4C45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        主动公开市人民政府决定主动公开的其他信息数</w:t>
            </w:r>
          </w:p>
        </w:tc>
        <w:tc>
          <w:tcPr>
            <w:tcW w:w="445" w:type="pct"/>
            <w:tcBorders>
              <w:top w:val="nil"/>
              <w:left w:val="nil"/>
              <w:bottom w:val="single" w:color="000000" w:sz="4" w:space="0"/>
              <w:right w:val="single" w:color="000000" w:sz="4" w:space="0"/>
            </w:tcBorders>
            <w:shd w:val="clear" w:color="auto" w:fill="auto"/>
            <w:vAlign w:val="center"/>
          </w:tcPr>
          <w:p w14:paraId="1DED453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4283793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1335</w:t>
            </w:r>
          </w:p>
        </w:tc>
      </w:tr>
      <w:tr w14:paraId="1F971D0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B42C6B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  （三）通过不同渠道和方式公开政府信息的情况</w:t>
            </w:r>
          </w:p>
        </w:tc>
        <w:tc>
          <w:tcPr>
            <w:tcW w:w="445" w:type="pct"/>
            <w:tcBorders>
              <w:top w:val="nil"/>
              <w:left w:val="nil"/>
              <w:bottom w:val="single" w:color="000000" w:sz="4" w:space="0"/>
              <w:right w:val="single" w:color="000000" w:sz="4" w:space="0"/>
            </w:tcBorders>
            <w:shd w:val="clear" w:color="auto" w:fill="auto"/>
            <w:vAlign w:val="center"/>
          </w:tcPr>
          <w:p w14:paraId="4CA23DB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1E3C9BE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5293688B">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BB852F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       1.政府公报公开政府信息数</w:t>
            </w:r>
          </w:p>
        </w:tc>
        <w:tc>
          <w:tcPr>
            <w:tcW w:w="445" w:type="pct"/>
            <w:tcBorders>
              <w:top w:val="nil"/>
              <w:left w:val="nil"/>
              <w:bottom w:val="single" w:color="000000" w:sz="4" w:space="0"/>
              <w:right w:val="single" w:color="000000" w:sz="4" w:space="0"/>
            </w:tcBorders>
            <w:shd w:val="clear" w:color="auto" w:fill="auto"/>
            <w:vAlign w:val="center"/>
          </w:tcPr>
          <w:p w14:paraId="163D5CA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43C052C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6E72163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D78203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       2.政府网站公开政府信息数</w:t>
            </w:r>
          </w:p>
        </w:tc>
        <w:tc>
          <w:tcPr>
            <w:tcW w:w="445" w:type="pct"/>
            <w:tcBorders>
              <w:top w:val="nil"/>
              <w:left w:val="nil"/>
              <w:bottom w:val="single" w:color="000000" w:sz="4" w:space="0"/>
              <w:right w:val="single" w:color="000000" w:sz="4" w:space="0"/>
            </w:tcBorders>
            <w:shd w:val="clear" w:color="auto" w:fill="auto"/>
            <w:vAlign w:val="center"/>
          </w:tcPr>
          <w:p w14:paraId="5367B50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04D0E2A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17395</w:t>
            </w:r>
          </w:p>
        </w:tc>
      </w:tr>
      <w:tr w14:paraId="4970593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95E364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       3.政务微博公开政府信息数</w:t>
            </w:r>
          </w:p>
        </w:tc>
        <w:tc>
          <w:tcPr>
            <w:tcW w:w="445" w:type="pct"/>
            <w:tcBorders>
              <w:top w:val="nil"/>
              <w:left w:val="nil"/>
              <w:bottom w:val="single" w:color="000000" w:sz="4" w:space="0"/>
              <w:right w:val="single" w:color="000000" w:sz="4" w:space="0"/>
            </w:tcBorders>
            <w:shd w:val="clear" w:color="auto" w:fill="auto"/>
            <w:vAlign w:val="center"/>
          </w:tcPr>
          <w:p w14:paraId="3191C4A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7DF1A06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1022</w:t>
            </w:r>
          </w:p>
        </w:tc>
      </w:tr>
      <w:tr w14:paraId="65176FA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100EAB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       4.政务微信公开政府信息数</w:t>
            </w:r>
          </w:p>
        </w:tc>
        <w:tc>
          <w:tcPr>
            <w:tcW w:w="445" w:type="pct"/>
            <w:tcBorders>
              <w:top w:val="nil"/>
              <w:left w:val="nil"/>
              <w:bottom w:val="single" w:color="000000" w:sz="4" w:space="0"/>
              <w:right w:val="single" w:color="000000" w:sz="4" w:space="0"/>
            </w:tcBorders>
            <w:shd w:val="clear" w:color="auto" w:fill="auto"/>
            <w:vAlign w:val="center"/>
          </w:tcPr>
          <w:p w14:paraId="51C2B77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50F1BDE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210</w:t>
            </w:r>
          </w:p>
        </w:tc>
      </w:tr>
      <w:tr w14:paraId="0E359DB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3178C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       5.其他方式公开政府信息数</w:t>
            </w:r>
          </w:p>
        </w:tc>
        <w:tc>
          <w:tcPr>
            <w:tcW w:w="445" w:type="pct"/>
            <w:tcBorders>
              <w:top w:val="nil"/>
              <w:left w:val="nil"/>
              <w:bottom w:val="single" w:color="000000" w:sz="4" w:space="0"/>
              <w:right w:val="single" w:color="000000" w:sz="4" w:space="0"/>
            </w:tcBorders>
            <w:shd w:val="clear" w:color="auto" w:fill="auto"/>
            <w:vAlign w:val="center"/>
          </w:tcPr>
          <w:p w14:paraId="3499F2A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条</w:t>
            </w:r>
          </w:p>
        </w:tc>
        <w:tc>
          <w:tcPr>
            <w:tcW w:w="500" w:type="pct"/>
            <w:tcBorders>
              <w:top w:val="nil"/>
              <w:left w:val="nil"/>
              <w:bottom w:val="single" w:color="000000" w:sz="4" w:space="0"/>
              <w:right w:val="single" w:color="000000" w:sz="4" w:space="0"/>
            </w:tcBorders>
            <w:shd w:val="clear" w:color="auto" w:fill="auto"/>
            <w:vAlign w:val="center"/>
          </w:tcPr>
          <w:p w14:paraId="5D54BAC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4000</w:t>
            </w:r>
          </w:p>
        </w:tc>
      </w:tr>
      <w:tr w14:paraId="4D1BB945">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0600B2C">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 二、回应解读情况</w:t>
            </w:r>
          </w:p>
        </w:tc>
        <w:tc>
          <w:tcPr>
            <w:tcW w:w="445" w:type="pct"/>
            <w:tcBorders>
              <w:top w:val="nil"/>
              <w:left w:val="nil"/>
              <w:bottom w:val="single" w:color="000000" w:sz="4" w:space="0"/>
              <w:right w:val="single" w:color="000000" w:sz="4" w:space="0"/>
            </w:tcBorders>
            <w:shd w:val="clear" w:color="auto" w:fill="auto"/>
            <w:vAlign w:val="center"/>
          </w:tcPr>
          <w:p w14:paraId="6772DAD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104E31D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46BA7ED9">
        <w:tblPrEx>
          <w:tblCellMar>
            <w:top w:w="0" w:type="dxa"/>
            <w:left w:w="108" w:type="dxa"/>
            <w:bottom w:w="0" w:type="dxa"/>
            <w:right w:w="108" w:type="dxa"/>
          </w:tblCellMar>
        </w:tblPrEx>
        <w:trPr>
          <w:trHeight w:val="360" w:hRule="atLeast"/>
        </w:trPr>
        <w:tc>
          <w:tcPr>
            <w:tcW w:w="4055" w:type="pct"/>
            <w:tcBorders>
              <w:top w:val="nil"/>
              <w:left w:val="single" w:color="000000" w:sz="4" w:space="0"/>
              <w:bottom w:val="nil"/>
              <w:right w:val="single" w:color="000000" w:sz="4" w:space="0"/>
            </w:tcBorders>
            <w:shd w:val="clear" w:color="auto" w:fill="auto"/>
            <w:vAlign w:val="center"/>
          </w:tcPr>
          <w:p w14:paraId="25177A2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  （一）回应公众关注热点或重大舆情数</w:t>
            </w:r>
          </w:p>
        </w:tc>
        <w:tc>
          <w:tcPr>
            <w:tcW w:w="445" w:type="pct"/>
            <w:vMerge w:val="restart"/>
            <w:tcBorders>
              <w:top w:val="nil"/>
              <w:left w:val="single" w:color="000000" w:sz="4" w:space="0"/>
              <w:bottom w:val="single" w:color="000000" w:sz="4" w:space="0"/>
              <w:right w:val="single" w:color="000000" w:sz="4" w:space="0"/>
            </w:tcBorders>
            <w:shd w:val="clear" w:color="auto" w:fill="auto"/>
            <w:vAlign w:val="center"/>
          </w:tcPr>
          <w:p w14:paraId="65AAA1D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vMerge w:val="restart"/>
            <w:tcBorders>
              <w:top w:val="nil"/>
              <w:left w:val="single" w:color="000000" w:sz="4" w:space="0"/>
              <w:bottom w:val="single" w:color="000000" w:sz="4" w:space="0"/>
              <w:right w:val="single" w:color="000000" w:sz="4" w:space="0"/>
            </w:tcBorders>
            <w:shd w:val="clear" w:color="auto" w:fill="auto"/>
            <w:vAlign w:val="center"/>
          </w:tcPr>
          <w:p w14:paraId="51467E0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632FCD81">
        <w:tblPrEx>
          <w:tblCellMar>
            <w:top w:w="0" w:type="dxa"/>
            <w:left w:w="108" w:type="dxa"/>
            <w:bottom w:w="0" w:type="dxa"/>
            <w:right w:w="108" w:type="dxa"/>
          </w:tblCellMar>
        </w:tblPrEx>
        <w:trPr>
          <w:trHeight w:val="360"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A530F8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     （不同方式回应同一热点或舆情计1次）</w:t>
            </w:r>
          </w:p>
        </w:tc>
        <w:tc>
          <w:tcPr>
            <w:tcW w:w="445" w:type="pct"/>
            <w:vMerge w:val="continue"/>
            <w:tcBorders>
              <w:top w:val="nil"/>
              <w:left w:val="single" w:color="000000" w:sz="4" w:space="0"/>
              <w:bottom w:val="single" w:color="000000" w:sz="4" w:space="0"/>
              <w:right w:val="single" w:color="000000" w:sz="4" w:space="0"/>
            </w:tcBorders>
            <w:vAlign w:val="center"/>
          </w:tcPr>
          <w:p w14:paraId="1BD5D47D">
            <w:pPr>
              <w:widowControl/>
              <w:jc w:val="left"/>
              <w:rPr>
                <w:rFonts w:ascii="宋体" w:hAnsi="宋体" w:eastAsia="宋体" w:cs="宋体"/>
                <w:color w:val="000000"/>
                <w:kern w:val="0"/>
                <w:sz w:val="22"/>
              </w:rPr>
            </w:pPr>
          </w:p>
        </w:tc>
        <w:tc>
          <w:tcPr>
            <w:tcW w:w="500" w:type="pct"/>
            <w:vMerge w:val="continue"/>
            <w:tcBorders>
              <w:top w:val="nil"/>
              <w:left w:val="single" w:color="000000" w:sz="4" w:space="0"/>
              <w:bottom w:val="single" w:color="000000" w:sz="4" w:space="0"/>
              <w:right w:val="single" w:color="000000" w:sz="4" w:space="0"/>
            </w:tcBorders>
            <w:vAlign w:val="center"/>
          </w:tcPr>
          <w:p w14:paraId="5FF574F8">
            <w:pPr>
              <w:widowControl/>
              <w:jc w:val="left"/>
              <w:rPr>
                <w:rFonts w:ascii="宋体" w:hAnsi="宋体" w:eastAsia="宋体" w:cs="宋体"/>
                <w:color w:val="000000"/>
                <w:kern w:val="0"/>
                <w:sz w:val="22"/>
              </w:rPr>
            </w:pPr>
          </w:p>
        </w:tc>
      </w:tr>
      <w:tr w14:paraId="44334A3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B8CA63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  （二）通过不同渠道和方式回应解读的情况</w:t>
            </w:r>
          </w:p>
        </w:tc>
        <w:tc>
          <w:tcPr>
            <w:tcW w:w="445" w:type="pct"/>
            <w:tcBorders>
              <w:top w:val="nil"/>
              <w:left w:val="nil"/>
              <w:bottom w:val="single" w:color="000000" w:sz="4" w:space="0"/>
              <w:right w:val="single" w:color="000000" w:sz="4" w:space="0"/>
            </w:tcBorders>
            <w:shd w:val="clear" w:color="auto" w:fill="auto"/>
            <w:vAlign w:val="center"/>
          </w:tcPr>
          <w:p w14:paraId="01FCFF4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6C4B530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13402F8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10E255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       1.参加或举办新闻发布会总次数</w:t>
            </w:r>
          </w:p>
        </w:tc>
        <w:tc>
          <w:tcPr>
            <w:tcW w:w="445" w:type="pct"/>
            <w:tcBorders>
              <w:top w:val="nil"/>
              <w:left w:val="nil"/>
              <w:bottom w:val="single" w:color="000000" w:sz="4" w:space="0"/>
              <w:right w:val="single" w:color="000000" w:sz="4" w:space="0"/>
            </w:tcBorders>
            <w:shd w:val="clear" w:color="auto" w:fill="auto"/>
            <w:vAlign w:val="center"/>
          </w:tcPr>
          <w:p w14:paraId="0A48145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46CA05B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14:paraId="29DC8EF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E11BF8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         其中：主要负责同志参加新闻发布会次数</w:t>
            </w:r>
          </w:p>
        </w:tc>
        <w:tc>
          <w:tcPr>
            <w:tcW w:w="445" w:type="pct"/>
            <w:tcBorders>
              <w:top w:val="nil"/>
              <w:left w:val="nil"/>
              <w:bottom w:val="single" w:color="000000" w:sz="4" w:space="0"/>
              <w:right w:val="single" w:color="000000" w:sz="4" w:space="0"/>
            </w:tcBorders>
            <w:shd w:val="clear" w:color="auto" w:fill="auto"/>
            <w:vAlign w:val="center"/>
          </w:tcPr>
          <w:p w14:paraId="327BB67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05F2BF1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09DECED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B925EA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       2.政府网站在线访谈次数</w:t>
            </w:r>
          </w:p>
        </w:tc>
        <w:tc>
          <w:tcPr>
            <w:tcW w:w="445" w:type="pct"/>
            <w:tcBorders>
              <w:top w:val="nil"/>
              <w:left w:val="nil"/>
              <w:bottom w:val="single" w:color="000000" w:sz="4" w:space="0"/>
              <w:right w:val="single" w:color="000000" w:sz="4" w:space="0"/>
            </w:tcBorders>
            <w:shd w:val="clear" w:color="auto" w:fill="auto"/>
            <w:vAlign w:val="center"/>
          </w:tcPr>
          <w:p w14:paraId="5474A35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4A22FA1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r>
      <w:tr w14:paraId="5C18352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835E51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         其中：主要负责同志参加政府网站在线访谈次数</w:t>
            </w:r>
          </w:p>
        </w:tc>
        <w:tc>
          <w:tcPr>
            <w:tcW w:w="445" w:type="pct"/>
            <w:tcBorders>
              <w:top w:val="nil"/>
              <w:left w:val="nil"/>
              <w:bottom w:val="single" w:color="000000" w:sz="4" w:space="0"/>
              <w:right w:val="single" w:color="000000" w:sz="4" w:space="0"/>
            </w:tcBorders>
            <w:shd w:val="clear" w:color="auto" w:fill="auto"/>
            <w:vAlign w:val="center"/>
          </w:tcPr>
          <w:p w14:paraId="45DEE47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057978F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0D803000">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D0FE0C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       3.政策解读稿件发布数</w:t>
            </w:r>
          </w:p>
        </w:tc>
        <w:tc>
          <w:tcPr>
            <w:tcW w:w="445" w:type="pct"/>
            <w:tcBorders>
              <w:top w:val="nil"/>
              <w:left w:val="nil"/>
              <w:bottom w:val="single" w:color="000000" w:sz="4" w:space="0"/>
              <w:right w:val="single" w:color="000000" w:sz="4" w:space="0"/>
            </w:tcBorders>
            <w:shd w:val="clear" w:color="auto" w:fill="auto"/>
            <w:vAlign w:val="center"/>
          </w:tcPr>
          <w:p w14:paraId="3A1DF75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篇</w:t>
            </w:r>
          </w:p>
        </w:tc>
        <w:tc>
          <w:tcPr>
            <w:tcW w:w="500" w:type="pct"/>
            <w:tcBorders>
              <w:top w:val="nil"/>
              <w:left w:val="nil"/>
              <w:bottom w:val="single" w:color="000000" w:sz="4" w:space="0"/>
              <w:right w:val="single" w:color="000000" w:sz="4" w:space="0"/>
            </w:tcBorders>
            <w:shd w:val="clear" w:color="auto" w:fill="auto"/>
            <w:vAlign w:val="center"/>
          </w:tcPr>
          <w:p w14:paraId="26392B4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4000</w:t>
            </w:r>
          </w:p>
        </w:tc>
      </w:tr>
      <w:tr w14:paraId="10A4088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7B1372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       4.微博微信回应事件数</w:t>
            </w:r>
          </w:p>
        </w:tc>
        <w:tc>
          <w:tcPr>
            <w:tcW w:w="445" w:type="pct"/>
            <w:tcBorders>
              <w:top w:val="nil"/>
              <w:left w:val="nil"/>
              <w:bottom w:val="single" w:color="000000" w:sz="4" w:space="0"/>
              <w:right w:val="single" w:color="000000" w:sz="4" w:space="0"/>
            </w:tcBorders>
            <w:shd w:val="clear" w:color="auto" w:fill="auto"/>
            <w:vAlign w:val="center"/>
          </w:tcPr>
          <w:p w14:paraId="25A9231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23CAFD1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1000</w:t>
            </w:r>
          </w:p>
        </w:tc>
      </w:tr>
      <w:tr w14:paraId="5164DCA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37244C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       5.其他方式回应事件数</w:t>
            </w:r>
          </w:p>
        </w:tc>
        <w:tc>
          <w:tcPr>
            <w:tcW w:w="445" w:type="pct"/>
            <w:tcBorders>
              <w:top w:val="nil"/>
              <w:left w:val="nil"/>
              <w:bottom w:val="single" w:color="000000" w:sz="4" w:space="0"/>
              <w:right w:val="single" w:color="000000" w:sz="4" w:space="0"/>
            </w:tcBorders>
            <w:shd w:val="clear" w:color="auto" w:fill="auto"/>
            <w:vAlign w:val="center"/>
          </w:tcPr>
          <w:p w14:paraId="28C7027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2E740BA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4F7FAD8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32CAC1F">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 三、依申请公开情况</w:t>
            </w:r>
          </w:p>
        </w:tc>
        <w:tc>
          <w:tcPr>
            <w:tcW w:w="445" w:type="pct"/>
            <w:tcBorders>
              <w:top w:val="nil"/>
              <w:left w:val="nil"/>
              <w:bottom w:val="single" w:color="000000" w:sz="4" w:space="0"/>
              <w:right w:val="single" w:color="000000" w:sz="4" w:space="0"/>
            </w:tcBorders>
            <w:shd w:val="clear" w:color="auto" w:fill="auto"/>
            <w:vAlign w:val="center"/>
          </w:tcPr>
          <w:p w14:paraId="417C1A7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0FDE08C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06C3146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78F6B0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  （一）收到申请数</w:t>
            </w:r>
          </w:p>
        </w:tc>
        <w:tc>
          <w:tcPr>
            <w:tcW w:w="445" w:type="pct"/>
            <w:tcBorders>
              <w:top w:val="nil"/>
              <w:left w:val="nil"/>
              <w:bottom w:val="single" w:color="000000" w:sz="4" w:space="0"/>
              <w:right w:val="single" w:color="000000" w:sz="4" w:space="0"/>
            </w:tcBorders>
            <w:shd w:val="clear" w:color="auto" w:fill="auto"/>
            <w:vAlign w:val="center"/>
          </w:tcPr>
          <w:p w14:paraId="019D573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1F3C7E2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224</w:t>
            </w:r>
          </w:p>
        </w:tc>
      </w:tr>
      <w:tr w14:paraId="05AD9BD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29AA3C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       1.当面申请数</w:t>
            </w:r>
          </w:p>
        </w:tc>
        <w:tc>
          <w:tcPr>
            <w:tcW w:w="445" w:type="pct"/>
            <w:tcBorders>
              <w:top w:val="nil"/>
              <w:left w:val="nil"/>
              <w:bottom w:val="single" w:color="000000" w:sz="4" w:space="0"/>
              <w:right w:val="single" w:color="000000" w:sz="4" w:space="0"/>
            </w:tcBorders>
            <w:shd w:val="clear" w:color="auto" w:fill="auto"/>
            <w:vAlign w:val="center"/>
          </w:tcPr>
          <w:p w14:paraId="4D7E506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110CD9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203</w:t>
            </w:r>
          </w:p>
        </w:tc>
      </w:tr>
      <w:tr w14:paraId="4CA59EA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A8572C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       2.传真申请数</w:t>
            </w:r>
          </w:p>
        </w:tc>
        <w:tc>
          <w:tcPr>
            <w:tcW w:w="445" w:type="pct"/>
            <w:tcBorders>
              <w:top w:val="nil"/>
              <w:left w:val="nil"/>
              <w:bottom w:val="single" w:color="000000" w:sz="4" w:space="0"/>
              <w:right w:val="single" w:color="000000" w:sz="4" w:space="0"/>
            </w:tcBorders>
            <w:shd w:val="clear" w:color="auto" w:fill="auto"/>
            <w:vAlign w:val="center"/>
          </w:tcPr>
          <w:p w14:paraId="2AAAC65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64B333E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3FE9DB23">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F3EA69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       3.网络申请数</w:t>
            </w:r>
          </w:p>
        </w:tc>
        <w:tc>
          <w:tcPr>
            <w:tcW w:w="445" w:type="pct"/>
            <w:tcBorders>
              <w:top w:val="nil"/>
              <w:left w:val="nil"/>
              <w:bottom w:val="single" w:color="000000" w:sz="4" w:space="0"/>
              <w:right w:val="single" w:color="000000" w:sz="4" w:space="0"/>
            </w:tcBorders>
            <w:shd w:val="clear" w:color="auto" w:fill="auto"/>
            <w:vAlign w:val="center"/>
          </w:tcPr>
          <w:p w14:paraId="0CA7439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88DDC2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15</w:t>
            </w:r>
          </w:p>
        </w:tc>
      </w:tr>
      <w:tr w14:paraId="3B407D5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232FF9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       4.信函申请数</w:t>
            </w:r>
          </w:p>
        </w:tc>
        <w:tc>
          <w:tcPr>
            <w:tcW w:w="445" w:type="pct"/>
            <w:tcBorders>
              <w:top w:val="nil"/>
              <w:left w:val="nil"/>
              <w:bottom w:val="single" w:color="000000" w:sz="4" w:space="0"/>
              <w:right w:val="single" w:color="000000" w:sz="4" w:space="0"/>
            </w:tcBorders>
            <w:shd w:val="clear" w:color="auto" w:fill="auto"/>
            <w:vAlign w:val="center"/>
          </w:tcPr>
          <w:p w14:paraId="0D611EA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2CC7737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r>
      <w:tr w14:paraId="32E9FE1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0138E5E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  （二）申请办结数</w:t>
            </w:r>
          </w:p>
        </w:tc>
        <w:tc>
          <w:tcPr>
            <w:tcW w:w="445" w:type="pct"/>
            <w:tcBorders>
              <w:top w:val="nil"/>
              <w:left w:val="nil"/>
              <w:bottom w:val="single" w:color="000000" w:sz="4" w:space="0"/>
              <w:right w:val="single" w:color="000000" w:sz="4" w:space="0"/>
            </w:tcBorders>
            <w:shd w:val="clear" w:color="auto" w:fill="auto"/>
            <w:vAlign w:val="center"/>
          </w:tcPr>
          <w:p w14:paraId="22C2E3D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EE0D4A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226</w:t>
            </w:r>
          </w:p>
        </w:tc>
      </w:tr>
      <w:tr w14:paraId="5C626FA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963D68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       1.按时办结数</w:t>
            </w:r>
          </w:p>
        </w:tc>
        <w:tc>
          <w:tcPr>
            <w:tcW w:w="445" w:type="pct"/>
            <w:tcBorders>
              <w:top w:val="nil"/>
              <w:left w:val="nil"/>
              <w:bottom w:val="single" w:color="000000" w:sz="4" w:space="0"/>
              <w:right w:val="single" w:color="000000" w:sz="4" w:space="0"/>
            </w:tcBorders>
            <w:shd w:val="clear" w:color="auto" w:fill="auto"/>
            <w:vAlign w:val="center"/>
          </w:tcPr>
          <w:p w14:paraId="52561BC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2C59B3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226</w:t>
            </w:r>
          </w:p>
        </w:tc>
      </w:tr>
      <w:tr w14:paraId="733A6585">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40DC8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       2.延期办结数</w:t>
            </w:r>
          </w:p>
        </w:tc>
        <w:tc>
          <w:tcPr>
            <w:tcW w:w="445" w:type="pct"/>
            <w:tcBorders>
              <w:top w:val="nil"/>
              <w:left w:val="nil"/>
              <w:bottom w:val="single" w:color="000000" w:sz="4" w:space="0"/>
              <w:right w:val="single" w:color="000000" w:sz="4" w:space="0"/>
            </w:tcBorders>
            <w:shd w:val="clear" w:color="auto" w:fill="auto"/>
            <w:vAlign w:val="center"/>
          </w:tcPr>
          <w:p w14:paraId="7CB5749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1C13FC5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4B385C40">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8FB98E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  （三）申请答复数</w:t>
            </w:r>
          </w:p>
        </w:tc>
        <w:tc>
          <w:tcPr>
            <w:tcW w:w="445" w:type="pct"/>
            <w:tcBorders>
              <w:top w:val="nil"/>
              <w:left w:val="nil"/>
              <w:bottom w:val="single" w:color="000000" w:sz="4" w:space="0"/>
              <w:right w:val="single" w:color="000000" w:sz="4" w:space="0"/>
            </w:tcBorders>
            <w:shd w:val="clear" w:color="auto" w:fill="auto"/>
            <w:vAlign w:val="center"/>
          </w:tcPr>
          <w:p w14:paraId="65C71D3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150C81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226</w:t>
            </w:r>
          </w:p>
        </w:tc>
      </w:tr>
      <w:tr w14:paraId="2CE6503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E21B83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       1.属于已主动公开范围数</w:t>
            </w:r>
          </w:p>
        </w:tc>
        <w:tc>
          <w:tcPr>
            <w:tcW w:w="445" w:type="pct"/>
            <w:tcBorders>
              <w:top w:val="nil"/>
              <w:left w:val="nil"/>
              <w:bottom w:val="single" w:color="000000" w:sz="4" w:space="0"/>
              <w:right w:val="single" w:color="000000" w:sz="4" w:space="0"/>
            </w:tcBorders>
            <w:shd w:val="clear" w:color="auto" w:fill="auto"/>
            <w:vAlign w:val="center"/>
          </w:tcPr>
          <w:p w14:paraId="2E3FE67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6BE3F9C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14:paraId="6621ADE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3939DE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       2.同意公开答复数</w:t>
            </w:r>
          </w:p>
        </w:tc>
        <w:tc>
          <w:tcPr>
            <w:tcW w:w="445" w:type="pct"/>
            <w:tcBorders>
              <w:top w:val="nil"/>
              <w:left w:val="nil"/>
              <w:bottom w:val="single" w:color="000000" w:sz="4" w:space="0"/>
              <w:right w:val="single" w:color="000000" w:sz="4" w:space="0"/>
            </w:tcBorders>
            <w:shd w:val="clear" w:color="auto" w:fill="auto"/>
            <w:vAlign w:val="center"/>
          </w:tcPr>
          <w:p w14:paraId="29D4DD3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5E8559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14:paraId="27F4859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C2B5AF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       3.同意部分公开答复数</w:t>
            </w:r>
          </w:p>
        </w:tc>
        <w:tc>
          <w:tcPr>
            <w:tcW w:w="445" w:type="pct"/>
            <w:tcBorders>
              <w:top w:val="nil"/>
              <w:left w:val="nil"/>
              <w:bottom w:val="single" w:color="000000" w:sz="4" w:space="0"/>
              <w:right w:val="single" w:color="000000" w:sz="4" w:space="0"/>
            </w:tcBorders>
            <w:shd w:val="clear" w:color="auto" w:fill="auto"/>
            <w:vAlign w:val="center"/>
          </w:tcPr>
          <w:p w14:paraId="24C32CC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1D0901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14:paraId="6C6A5A8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E9D0F6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       4.不同意公开答复数</w:t>
            </w:r>
          </w:p>
        </w:tc>
        <w:tc>
          <w:tcPr>
            <w:tcW w:w="445" w:type="pct"/>
            <w:tcBorders>
              <w:top w:val="nil"/>
              <w:left w:val="nil"/>
              <w:bottom w:val="single" w:color="000000" w:sz="4" w:space="0"/>
              <w:right w:val="single" w:color="000000" w:sz="4" w:space="0"/>
            </w:tcBorders>
            <w:shd w:val="clear" w:color="auto" w:fill="auto"/>
            <w:vAlign w:val="center"/>
          </w:tcPr>
          <w:p w14:paraId="3D035EF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B92863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14:paraId="1AF078C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729CEA1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         其中：涉及国家秘密</w:t>
            </w:r>
          </w:p>
        </w:tc>
        <w:tc>
          <w:tcPr>
            <w:tcW w:w="445" w:type="pct"/>
            <w:tcBorders>
              <w:top w:val="nil"/>
              <w:left w:val="nil"/>
              <w:bottom w:val="single" w:color="000000" w:sz="4" w:space="0"/>
              <w:right w:val="single" w:color="000000" w:sz="4" w:space="0"/>
            </w:tcBorders>
            <w:shd w:val="clear" w:color="auto" w:fill="auto"/>
            <w:vAlign w:val="center"/>
          </w:tcPr>
          <w:p w14:paraId="3FEB073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1B0B17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25055F1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B69237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            涉及商业秘密</w:t>
            </w:r>
          </w:p>
        </w:tc>
        <w:tc>
          <w:tcPr>
            <w:tcW w:w="445" w:type="pct"/>
            <w:tcBorders>
              <w:top w:val="nil"/>
              <w:left w:val="nil"/>
              <w:bottom w:val="single" w:color="000000" w:sz="4" w:space="0"/>
              <w:right w:val="single" w:color="000000" w:sz="4" w:space="0"/>
            </w:tcBorders>
            <w:shd w:val="clear" w:color="auto" w:fill="auto"/>
            <w:vAlign w:val="center"/>
          </w:tcPr>
          <w:p w14:paraId="128B064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6AE5652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0B6ED1A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44E4C4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            涉及个人隐私</w:t>
            </w:r>
          </w:p>
        </w:tc>
        <w:tc>
          <w:tcPr>
            <w:tcW w:w="445" w:type="pct"/>
            <w:tcBorders>
              <w:top w:val="nil"/>
              <w:left w:val="nil"/>
              <w:bottom w:val="single" w:color="000000" w:sz="4" w:space="0"/>
              <w:right w:val="single" w:color="000000" w:sz="4" w:space="0"/>
            </w:tcBorders>
            <w:shd w:val="clear" w:color="auto" w:fill="auto"/>
            <w:vAlign w:val="center"/>
          </w:tcPr>
          <w:p w14:paraId="744104E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62BF399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7AADD70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66C8BA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            危及国家安全、公共安全、经济安全和社会稳定</w:t>
            </w:r>
          </w:p>
        </w:tc>
        <w:tc>
          <w:tcPr>
            <w:tcW w:w="445" w:type="pct"/>
            <w:tcBorders>
              <w:top w:val="nil"/>
              <w:left w:val="nil"/>
              <w:bottom w:val="single" w:color="000000" w:sz="4" w:space="0"/>
              <w:right w:val="single" w:color="000000" w:sz="4" w:space="0"/>
            </w:tcBorders>
            <w:shd w:val="clear" w:color="auto" w:fill="auto"/>
            <w:vAlign w:val="center"/>
          </w:tcPr>
          <w:p w14:paraId="66070E1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61B4E43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7C9BA9A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A6FA53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            不是《条例》所指政府信息</w:t>
            </w:r>
          </w:p>
        </w:tc>
        <w:tc>
          <w:tcPr>
            <w:tcW w:w="445" w:type="pct"/>
            <w:tcBorders>
              <w:top w:val="nil"/>
              <w:left w:val="nil"/>
              <w:bottom w:val="single" w:color="000000" w:sz="4" w:space="0"/>
              <w:right w:val="single" w:color="000000" w:sz="4" w:space="0"/>
            </w:tcBorders>
            <w:shd w:val="clear" w:color="auto" w:fill="auto"/>
            <w:vAlign w:val="center"/>
          </w:tcPr>
          <w:p w14:paraId="54B0906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15EC33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r>
      <w:tr w14:paraId="3606808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C27FF0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            法律法规规定的其他情形</w:t>
            </w:r>
          </w:p>
        </w:tc>
        <w:tc>
          <w:tcPr>
            <w:tcW w:w="445" w:type="pct"/>
            <w:tcBorders>
              <w:top w:val="nil"/>
              <w:left w:val="nil"/>
              <w:bottom w:val="single" w:color="000000" w:sz="4" w:space="0"/>
              <w:right w:val="single" w:color="000000" w:sz="4" w:space="0"/>
            </w:tcBorders>
            <w:shd w:val="clear" w:color="auto" w:fill="auto"/>
            <w:vAlign w:val="center"/>
          </w:tcPr>
          <w:p w14:paraId="14D820E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4B1554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4C7FC81F">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FA920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       5.不属于本行政机关公开数</w:t>
            </w:r>
          </w:p>
        </w:tc>
        <w:tc>
          <w:tcPr>
            <w:tcW w:w="445" w:type="pct"/>
            <w:tcBorders>
              <w:top w:val="nil"/>
              <w:left w:val="nil"/>
              <w:bottom w:val="single" w:color="000000" w:sz="4" w:space="0"/>
              <w:right w:val="single" w:color="000000" w:sz="4" w:space="0"/>
            </w:tcBorders>
            <w:shd w:val="clear" w:color="auto" w:fill="auto"/>
            <w:vAlign w:val="center"/>
          </w:tcPr>
          <w:p w14:paraId="5A05929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124E34B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13</w:t>
            </w:r>
          </w:p>
        </w:tc>
      </w:tr>
      <w:tr w14:paraId="1A4D8D64">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914C5A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       6.申请信息不存在数</w:t>
            </w:r>
          </w:p>
        </w:tc>
        <w:tc>
          <w:tcPr>
            <w:tcW w:w="445" w:type="pct"/>
            <w:tcBorders>
              <w:top w:val="nil"/>
              <w:left w:val="nil"/>
              <w:bottom w:val="single" w:color="000000" w:sz="4" w:space="0"/>
              <w:right w:val="single" w:color="000000" w:sz="4" w:space="0"/>
            </w:tcBorders>
            <w:shd w:val="clear" w:color="auto" w:fill="auto"/>
            <w:vAlign w:val="center"/>
          </w:tcPr>
          <w:p w14:paraId="25D3F5B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429833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204</w:t>
            </w:r>
          </w:p>
        </w:tc>
      </w:tr>
      <w:tr w14:paraId="699983BC">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BEC01E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       7.告知作出更改补充数</w:t>
            </w:r>
          </w:p>
        </w:tc>
        <w:tc>
          <w:tcPr>
            <w:tcW w:w="445" w:type="pct"/>
            <w:tcBorders>
              <w:top w:val="nil"/>
              <w:left w:val="nil"/>
              <w:bottom w:val="single" w:color="000000" w:sz="4" w:space="0"/>
              <w:right w:val="single" w:color="000000" w:sz="4" w:space="0"/>
            </w:tcBorders>
            <w:shd w:val="clear" w:color="auto" w:fill="auto"/>
            <w:vAlign w:val="center"/>
          </w:tcPr>
          <w:p w14:paraId="71A5FCD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E5B9CC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1223653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50E183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       8.告知通过其他途径办理数</w:t>
            </w:r>
          </w:p>
        </w:tc>
        <w:tc>
          <w:tcPr>
            <w:tcW w:w="445" w:type="pct"/>
            <w:tcBorders>
              <w:top w:val="nil"/>
              <w:left w:val="nil"/>
              <w:bottom w:val="single" w:color="000000" w:sz="4" w:space="0"/>
              <w:right w:val="single" w:color="000000" w:sz="4" w:space="0"/>
            </w:tcBorders>
            <w:shd w:val="clear" w:color="auto" w:fill="auto"/>
            <w:vAlign w:val="center"/>
          </w:tcPr>
          <w:p w14:paraId="2582F49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64C7A0A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02AE773B">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8703123">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 四、行政复议数量</w:t>
            </w:r>
          </w:p>
        </w:tc>
        <w:tc>
          <w:tcPr>
            <w:tcW w:w="445" w:type="pct"/>
            <w:tcBorders>
              <w:top w:val="nil"/>
              <w:left w:val="nil"/>
              <w:bottom w:val="single" w:color="000000" w:sz="4" w:space="0"/>
              <w:right w:val="single" w:color="000000" w:sz="4" w:space="0"/>
            </w:tcBorders>
            <w:shd w:val="clear" w:color="auto" w:fill="auto"/>
            <w:vAlign w:val="center"/>
          </w:tcPr>
          <w:p w14:paraId="31C5A79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ED92C3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2AFC3501">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5138E58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  （一）维持具体行政行为数</w:t>
            </w:r>
          </w:p>
        </w:tc>
        <w:tc>
          <w:tcPr>
            <w:tcW w:w="445" w:type="pct"/>
            <w:tcBorders>
              <w:top w:val="nil"/>
              <w:left w:val="nil"/>
              <w:bottom w:val="single" w:color="000000" w:sz="4" w:space="0"/>
              <w:right w:val="single" w:color="000000" w:sz="4" w:space="0"/>
            </w:tcBorders>
            <w:shd w:val="clear" w:color="auto" w:fill="auto"/>
            <w:vAlign w:val="center"/>
          </w:tcPr>
          <w:p w14:paraId="7412520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1618C55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64CB350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25EAC1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45" w:type="pct"/>
            <w:tcBorders>
              <w:top w:val="nil"/>
              <w:left w:val="nil"/>
              <w:bottom w:val="single" w:color="000000" w:sz="4" w:space="0"/>
              <w:right w:val="single" w:color="000000" w:sz="4" w:space="0"/>
            </w:tcBorders>
            <w:shd w:val="clear" w:color="auto" w:fill="auto"/>
            <w:vAlign w:val="center"/>
          </w:tcPr>
          <w:p w14:paraId="39BBF31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38DC917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3BA3517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F00FBD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45" w:type="pct"/>
            <w:tcBorders>
              <w:top w:val="nil"/>
              <w:left w:val="nil"/>
              <w:bottom w:val="single" w:color="000000" w:sz="4" w:space="0"/>
              <w:right w:val="single" w:color="000000" w:sz="4" w:space="0"/>
            </w:tcBorders>
            <w:shd w:val="clear" w:color="auto" w:fill="auto"/>
            <w:vAlign w:val="center"/>
          </w:tcPr>
          <w:p w14:paraId="476758C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16C6B5E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34D1F33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5EE357A">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 五、行政诉讼数量</w:t>
            </w:r>
          </w:p>
        </w:tc>
        <w:tc>
          <w:tcPr>
            <w:tcW w:w="445" w:type="pct"/>
            <w:tcBorders>
              <w:top w:val="nil"/>
              <w:left w:val="nil"/>
              <w:bottom w:val="single" w:color="000000" w:sz="4" w:space="0"/>
              <w:right w:val="single" w:color="000000" w:sz="4" w:space="0"/>
            </w:tcBorders>
            <w:shd w:val="clear" w:color="auto" w:fill="auto"/>
            <w:vAlign w:val="center"/>
          </w:tcPr>
          <w:p w14:paraId="668777F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4F7B7AD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265DB982">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78F14C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  （一）维持具体行政行为或者驳回原告诉讼请求数</w:t>
            </w:r>
          </w:p>
        </w:tc>
        <w:tc>
          <w:tcPr>
            <w:tcW w:w="445" w:type="pct"/>
            <w:tcBorders>
              <w:top w:val="nil"/>
              <w:left w:val="nil"/>
              <w:bottom w:val="single" w:color="000000" w:sz="4" w:space="0"/>
              <w:right w:val="single" w:color="000000" w:sz="4" w:space="0"/>
            </w:tcBorders>
            <w:shd w:val="clear" w:color="auto" w:fill="auto"/>
            <w:vAlign w:val="center"/>
          </w:tcPr>
          <w:p w14:paraId="1A34932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5660CA3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66C366D7">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11B5F3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  （二）被依法纠错数</w:t>
            </w:r>
          </w:p>
        </w:tc>
        <w:tc>
          <w:tcPr>
            <w:tcW w:w="445" w:type="pct"/>
            <w:tcBorders>
              <w:top w:val="nil"/>
              <w:left w:val="nil"/>
              <w:bottom w:val="single" w:color="000000" w:sz="4" w:space="0"/>
              <w:right w:val="single" w:color="000000" w:sz="4" w:space="0"/>
            </w:tcBorders>
            <w:shd w:val="clear" w:color="auto" w:fill="auto"/>
            <w:vAlign w:val="center"/>
          </w:tcPr>
          <w:p w14:paraId="00E61D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72EC81E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3630C01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9F2C36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  （三）其他情形数</w:t>
            </w:r>
          </w:p>
        </w:tc>
        <w:tc>
          <w:tcPr>
            <w:tcW w:w="445" w:type="pct"/>
            <w:tcBorders>
              <w:top w:val="nil"/>
              <w:left w:val="nil"/>
              <w:bottom w:val="single" w:color="000000" w:sz="4" w:space="0"/>
              <w:right w:val="single" w:color="000000" w:sz="4" w:space="0"/>
            </w:tcBorders>
            <w:shd w:val="clear" w:color="auto" w:fill="auto"/>
            <w:vAlign w:val="center"/>
          </w:tcPr>
          <w:p w14:paraId="54FB105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6931269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4586497D">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7B4F6F1">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 六、举报投诉数量</w:t>
            </w:r>
          </w:p>
        </w:tc>
        <w:tc>
          <w:tcPr>
            <w:tcW w:w="445" w:type="pct"/>
            <w:tcBorders>
              <w:top w:val="nil"/>
              <w:left w:val="nil"/>
              <w:bottom w:val="single" w:color="000000" w:sz="4" w:space="0"/>
              <w:right w:val="single" w:color="000000" w:sz="4" w:space="0"/>
            </w:tcBorders>
            <w:shd w:val="clear" w:color="auto" w:fill="auto"/>
            <w:vAlign w:val="center"/>
          </w:tcPr>
          <w:p w14:paraId="4969F24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件</w:t>
            </w:r>
          </w:p>
        </w:tc>
        <w:tc>
          <w:tcPr>
            <w:tcW w:w="500" w:type="pct"/>
            <w:tcBorders>
              <w:top w:val="nil"/>
              <w:left w:val="nil"/>
              <w:bottom w:val="single" w:color="000000" w:sz="4" w:space="0"/>
              <w:right w:val="single" w:color="000000" w:sz="4" w:space="0"/>
            </w:tcBorders>
            <w:shd w:val="clear" w:color="auto" w:fill="auto"/>
            <w:vAlign w:val="center"/>
          </w:tcPr>
          <w:p w14:paraId="049DCB1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357</w:t>
            </w:r>
          </w:p>
        </w:tc>
      </w:tr>
      <w:tr w14:paraId="3C8AA48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97A8FB1">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 七、依申请公开信息收取的费用</w:t>
            </w:r>
          </w:p>
        </w:tc>
        <w:tc>
          <w:tcPr>
            <w:tcW w:w="445" w:type="pct"/>
            <w:tcBorders>
              <w:top w:val="nil"/>
              <w:left w:val="nil"/>
              <w:bottom w:val="single" w:color="000000" w:sz="4" w:space="0"/>
              <w:right w:val="single" w:color="000000" w:sz="4" w:space="0"/>
            </w:tcBorders>
            <w:shd w:val="clear" w:color="auto" w:fill="auto"/>
            <w:vAlign w:val="center"/>
          </w:tcPr>
          <w:p w14:paraId="2416ED4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nil"/>
              <w:left w:val="nil"/>
              <w:bottom w:val="single" w:color="000000" w:sz="4" w:space="0"/>
              <w:right w:val="single" w:color="000000" w:sz="4" w:space="0"/>
            </w:tcBorders>
            <w:shd w:val="clear" w:color="auto" w:fill="auto"/>
            <w:vAlign w:val="center"/>
          </w:tcPr>
          <w:p w14:paraId="16DF1E8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0.00</w:t>
            </w:r>
          </w:p>
        </w:tc>
      </w:tr>
      <w:tr w14:paraId="720A181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14CFC04">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 八、机构建设和保障经费情况</w:t>
            </w:r>
          </w:p>
        </w:tc>
        <w:tc>
          <w:tcPr>
            <w:tcW w:w="445" w:type="pct"/>
            <w:tcBorders>
              <w:top w:val="nil"/>
              <w:left w:val="nil"/>
              <w:bottom w:val="single" w:color="000000" w:sz="4" w:space="0"/>
              <w:right w:val="single" w:color="000000" w:sz="4" w:space="0"/>
            </w:tcBorders>
            <w:shd w:val="clear" w:color="auto" w:fill="auto"/>
            <w:vAlign w:val="center"/>
          </w:tcPr>
          <w:p w14:paraId="6FE99A9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4E24E01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6524BDF8">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04708D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  （一）政府信息公开工作专门机构数</w:t>
            </w:r>
          </w:p>
        </w:tc>
        <w:tc>
          <w:tcPr>
            <w:tcW w:w="445" w:type="pct"/>
            <w:tcBorders>
              <w:top w:val="nil"/>
              <w:left w:val="nil"/>
              <w:bottom w:val="single" w:color="000000" w:sz="4" w:space="0"/>
              <w:right w:val="single" w:color="000000" w:sz="4" w:space="0"/>
            </w:tcBorders>
            <w:shd w:val="clear" w:color="auto" w:fill="auto"/>
            <w:vAlign w:val="center"/>
          </w:tcPr>
          <w:p w14:paraId="7B6ABF5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nil"/>
              <w:left w:val="nil"/>
              <w:bottom w:val="single" w:color="000000" w:sz="4" w:space="0"/>
              <w:right w:val="single" w:color="000000" w:sz="4" w:space="0"/>
            </w:tcBorders>
            <w:shd w:val="clear" w:color="auto" w:fill="auto"/>
            <w:vAlign w:val="center"/>
          </w:tcPr>
          <w:p w14:paraId="19A458E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14:paraId="324804AA">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5C9E5D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  （二）设置政府信息公开查阅点数</w:t>
            </w:r>
          </w:p>
        </w:tc>
        <w:tc>
          <w:tcPr>
            <w:tcW w:w="445" w:type="pct"/>
            <w:tcBorders>
              <w:top w:val="nil"/>
              <w:left w:val="nil"/>
              <w:bottom w:val="single" w:color="000000" w:sz="4" w:space="0"/>
              <w:right w:val="single" w:color="000000" w:sz="4" w:space="0"/>
            </w:tcBorders>
            <w:shd w:val="clear" w:color="auto" w:fill="auto"/>
            <w:vAlign w:val="center"/>
          </w:tcPr>
          <w:p w14:paraId="1FDDE13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个</w:t>
            </w:r>
          </w:p>
        </w:tc>
        <w:tc>
          <w:tcPr>
            <w:tcW w:w="500" w:type="pct"/>
            <w:tcBorders>
              <w:top w:val="nil"/>
              <w:left w:val="nil"/>
              <w:bottom w:val="single" w:color="000000" w:sz="4" w:space="0"/>
              <w:right w:val="single" w:color="000000" w:sz="4" w:space="0"/>
            </w:tcBorders>
            <w:shd w:val="clear" w:color="auto" w:fill="auto"/>
            <w:vAlign w:val="center"/>
          </w:tcPr>
          <w:p w14:paraId="586865C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14:paraId="54FB6FAE">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B762AF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  （三）从事政府信息公开工作人员数</w:t>
            </w:r>
          </w:p>
        </w:tc>
        <w:tc>
          <w:tcPr>
            <w:tcW w:w="445" w:type="pct"/>
            <w:tcBorders>
              <w:top w:val="nil"/>
              <w:left w:val="nil"/>
              <w:bottom w:val="single" w:color="000000" w:sz="4" w:space="0"/>
              <w:right w:val="single" w:color="000000" w:sz="4" w:space="0"/>
            </w:tcBorders>
            <w:shd w:val="clear" w:color="auto" w:fill="auto"/>
            <w:vAlign w:val="center"/>
          </w:tcPr>
          <w:p w14:paraId="5F6CF0B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14:paraId="41F810A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14:paraId="7611F34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49A2C3A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       1.专职人员数（不包括政府公报及政府网站工作人员数）</w:t>
            </w:r>
          </w:p>
        </w:tc>
        <w:tc>
          <w:tcPr>
            <w:tcW w:w="445" w:type="pct"/>
            <w:tcBorders>
              <w:top w:val="nil"/>
              <w:left w:val="nil"/>
              <w:bottom w:val="single" w:color="000000" w:sz="4" w:space="0"/>
              <w:right w:val="single" w:color="000000" w:sz="4" w:space="0"/>
            </w:tcBorders>
            <w:shd w:val="clear" w:color="auto" w:fill="auto"/>
            <w:vAlign w:val="center"/>
          </w:tcPr>
          <w:p w14:paraId="2E20334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14:paraId="0519A91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r>
      <w:tr w14:paraId="2B286336">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2CB39AE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       2.兼职人员数</w:t>
            </w:r>
          </w:p>
        </w:tc>
        <w:tc>
          <w:tcPr>
            <w:tcW w:w="445" w:type="pct"/>
            <w:tcBorders>
              <w:top w:val="nil"/>
              <w:left w:val="nil"/>
              <w:bottom w:val="single" w:color="000000" w:sz="4" w:space="0"/>
              <w:right w:val="single" w:color="000000" w:sz="4" w:space="0"/>
            </w:tcBorders>
            <w:shd w:val="clear" w:color="auto" w:fill="auto"/>
            <w:vAlign w:val="center"/>
          </w:tcPr>
          <w:p w14:paraId="414B4B7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w:t>
            </w:r>
          </w:p>
        </w:tc>
        <w:tc>
          <w:tcPr>
            <w:tcW w:w="500" w:type="pct"/>
            <w:tcBorders>
              <w:top w:val="nil"/>
              <w:left w:val="nil"/>
              <w:bottom w:val="single" w:color="000000" w:sz="4" w:space="0"/>
              <w:right w:val="single" w:color="000000" w:sz="4" w:space="0"/>
            </w:tcBorders>
            <w:shd w:val="clear" w:color="auto" w:fill="auto"/>
            <w:vAlign w:val="center"/>
          </w:tcPr>
          <w:p w14:paraId="0E091A7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w:t>
            </w:r>
          </w:p>
        </w:tc>
      </w:tr>
      <w:tr w14:paraId="7AD15864">
        <w:tblPrEx>
          <w:tblCellMar>
            <w:top w:w="0" w:type="dxa"/>
            <w:left w:w="108" w:type="dxa"/>
            <w:bottom w:w="0" w:type="dxa"/>
            <w:right w:w="108" w:type="dxa"/>
          </w:tblCellMar>
        </w:tblPrEx>
        <w:trPr>
          <w:trHeight w:val="7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9878CC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  （四）政府信息公开专项经费（不包括用于政府公报编辑管理及政府网站建设维护等方面的经费）</w:t>
            </w:r>
          </w:p>
        </w:tc>
        <w:tc>
          <w:tcPr>
            <w:tcW w:w="445" w:type="pct"/>
            <w:tcBorders>
              <w:top w:val="nil"/>
              <w:left w:val="nil"/>
              <w:bottom w:val="single" w:color="000000" w:sz="4" w:space="0"/>
              <w:right w:val="single" w:color="000000" w:sz="4" w:space="0"/>
            </w:tcBorders>
            <w:shd w:val="clear" w:color="auto" w:fill="auto"/>
            <w:vAlign w:val="center"/>
          </w:tcPr>
          <w:p w14:paraId="51A7DD0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元</w:t>
            </w:r>
          </w:p>
        </w:tc>
        <w:tc>
          <w:tcPr>
            <w:tcW w:w="500" w:type="pct"/>
            <w:tcBorders>
              <w:top w:val="nil"/>
              <w:left w:val="nil"/>
              <w:bottom w:val="single" w:color="000000" w:sz="4" w:space="0"/>
              <w:right w:val="single" w:color="000000" w:sz="4" w:space="0"/>
            </w:tcBorders>
            <w:shd w:val="clear" w:color="auto" w:fill="auto"/>
            <w:vAlign w:val="center"/>
          </w:tcPr>
          <w:p w14:paraId="6F68979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0.00</w:t>
            </w:r>
          </w:p>
        </w:tc>
      </w:tr>
      <w:tr w14:paraId="14509A50">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838B6A6">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 九、政府信息公开会议和培训情况</w:t>
            </w:r>
          </w:p>
        </w:tc>
        <w:tc>
          <w:tcPr>
            <w:tcW w:w="445" w:type="pct"/>
            <w:tcBorders>
              <w:top w:val="nil"/>
              <w:left w:val="nil"/>
              <w:bottom w:val="single" w:color="000000" w:sz="4" w:space="0"/>
              <w:right w:val="single" w:color="000000" w:sz="4" w:space="0"/>
            </w:tcBorders>
            <w:shd w:val="clear" w:color="auto" w:fill="auto"/>
            <w:vAlign w:val="center"/>
          </w:tcPr>
          <w:p w14:paraId="411F4D1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500" w:type="pct"/>
            <w:tcBorders>
              <w:top w:val="nil"/>
              <w:left w:val="nil"/>
              <w:bottom w:val="single" w:color="000000" w:sz="4" w:space="0"/>
              <w:right w:val="single" w:color="000000" w:sz="4" w:space="0"/>
            </w:tcBorders>
            <w:shd w:val="clear" w:color="auto" w:fill="auto"/>
            <w:vAlign w:val="center"/>
          </w:tcPr>
          <w:p w14:paraId="0125611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14:paraId="2614E585">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3F40F9B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  （一）召开政府信息公开工作会议或专题会议数</w:t>
            </w:r>
          </w:p>
        </w:tc>
        <w:tc>
          <w:tcPr>
            <w:tcW w:w="445" w:type="pct"/>
            <w:tcBorders>
              <w:top w:val="nil"/>
              <w:left w:val="nil"/>
              <w:bottom w:val="single" w:color="000000" w:sz="4" w:space="0"/>
              <w:right w:val="single" w:color="000000" w:sz="4" w:space="0"/>
            </w:tcBorders>
            <w:shd w:val="clear" w:color="auto" w:fill="auto"/>
            <w:vAlign w:val="center"/>
          </w:tcPr>
          <w:p w14:paraId="5D8395C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77AA5FA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r>
      <w:tr w14:paraId="084304D9">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100E5C0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  （二）举办各类培训班数</w:t>
            </w:r>
          </w:p>
        </w:tc>
        <w:tc>
          <w:tcPr>
            <w:tcW w:w="445" w:type="pct"/>
            <w:tcBorders>
              <w:top w:val="nil"/>
              <w:left w:val="nil"/>
              <w:bottom w:val="single" w:color="000000" w:sz="4" w:space="0"/>
              <w:right w:val="single" w:color="000000" w:sz="4" w:space="0"/>
            </w:tcBorders>
            <w:shd w:val="clear" w:color="auto" w:fill="auto"/>
            <w:vAlign w:val="center"/>
          </w:tcPr>
          <w:p w14:paraId="41724FB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次</w:t>
            </w:r>
          </w:p>
        </w:tc>
        <w:tc>
          <w:tcPr>
            <w:tcW w:w="500" w:type="pct"/>
            <w:tcBorders>
              <w:top w:val="nil"/>
              <w:left w:val="nil"/>
              <w:bottom w:val="single" w:color="000000" w:sz="4" w:space="0"/>
              <w:right w:val="single" w:color="000000" w:sz="4" w:space="0"/>
            </w:tcBorders>
            <w:shd w:val="clear" w:color="auto" w:fill="auto"/>
            <w:vAlign w:val="center"/>
          </w:tcPr>
          <w:p w14:paraId="219E25A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14:paraId="69B04D2A">
        <w:tblPrEx>
          <w:tblCellMar>
            <w:top w:w="0" w:type="dxa"/>
            <w:left w:w="108" w:type="dxa"/>
            <w:bottom w:w="0" w:type="dxa"/>
            <w:right w:w="108" w:type="dxa"/>
          </w:tblCellMar>
        </w:tblPrEx>
        <w:trPr>
          <w:trHeight w:val="435" w:hRule="atLeast"/>
        </w:trPr>
        <w:tc>
          <w:tcPr>
            <w:tcW w:w="4055" w:type="pct"/>
            <w:tcBorders>
              <w:top w:val="nil"/>
              <w:left w:val="single" w:color="000000" w:sz="4" w:space="0"/>
              <w:bottom w:val="single" w:color="000000" w:sz="4" w:space="0"/>
              <w:right w:val="single" w:color="000000" w:sz="4" w:space="0"/>
            </w:tcBorders>
            <w:shd w:val="clear" w:color="auto" w:fill="auto"/>
            <w:vAlign w:val="center"/>
          </w:tcPr>
          <w:p w14:paraId="675366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  （三）接受培训人员数</w:t>
            </w:r>
          </w:p>
        </w:tc>
        <w:tc>
          <w:tcPr>
            <w:tcW w:w="445" w:type="pct"/>
            <w:tcBorders>
              <w:top w:val="nil"/>
              <w:left w:val="nil"/>
              <w:bottom w:val="single" w:color="000000" w:sz="4" w:space="0"/>
              <w:right w:val="single" w:color="000000" w:sz="4" w:space="0"/>
            </w:tcBorders>
            <w:shd w:val="clear" w:color="auto" w:fill="auto"/>
            <w:vAlign w:val="center"/>
          </w:tcPr>
          <w:p w14:paraId="7C3C6CA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人次</w:t>
            </w:r>
          </w:p>
        </w:tc>
        <w:tc>
          <w:tcPr>
            <w:tcW w:w="500" w:type="pct"/>
            <w:tcBorders>
              <w:top w:val="nil"/>
              <w:left w:val="nil"/>
              <w:bottom w:val="single" w:color="000000" w:sz="4" w:space="0"/>
              <w:right w:val="single" w:color="000000" w:sz="4" w:space="0"/>
            </w:tcBorders>
            <w:shd w:val="clear" w:color="auto" w:fill="auto"/>
            <w:vAlign w:val="center"/>
          </w:tcPr>
          <w:p w14:paraId="11C8D4E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171</w:t>
            </w:r>
          </w:p>
        </w:tc>
      </w:tr>
    </w:tbl>
    <w:p w14:paraId="056AA757">
      <w:pPr>
        <w:rPr>
          <w:rFonts w:ascii="仿宋_GB2312" w:hAnsi="Calibri" w:eastAsia="仿宋_GB2312"/>
          <w:color w:val="000000" w:themeColor="text1"/>
          <w:sz w:val="32"/>
          <w:szCs w:val="32"/>
        </w:rPr>
      </w:pPr>
    </w:p>
    <w:p w14:paraId="1F9DBF78">
      <w:pPr>
        <w:rPr>
          <w:rFonts w:ascii="仿宋_GB2312" w:hAnsi="Calibri" w:eastAsia="仿宋_GB2312"/>
          <w:color w:val="000000" w:themeColor="text1"/>
          <w:sz w:val="32"/>
          <w:szCs w:val="32"/>
        </w:rPr>
      </w:pPr>
    </w:p>
    <w:p w14:paraId="07EA3160">
      <w:pPr>
        <w:rPr>
          <w:rFonts w:ascii="仿宋_GB2312" w:hAnsi="Calibri" w:eastAsia="仿宋_GB2312"/>
          <w:color w:val="000000" w:themeColor="text1"/>
          <w:sz w:val="32"/>
          <w:szCs w:val="32"/>
        </w:rPr>
      </w:pPr>
    </w:p>
    <w:p w14:paraId="4D3B9B77">
      <w:pPr>
        <w:rPr>
          <w:rFonts w:ascii="仿宋_GB2312" w:hAnsi="Calibri" w:eastAsia="仿宋_GB2312"/>
          <w:color w:val="000000" w:themeColor="text1"/>
          <w:sz w:val="32"/>
          <w:szCs w:val="32"/>
        </w:rPr>
      </w:pPr>
    </w:p>
    <w:p w14:paraId="0EC52074">
      <w:pPr>
        <w:rPr>
          <w:rFonts w:hint="eastAsia" w:ascii="仿宋_GB2312" w:hAnsi="Times New Roman" w:eastAsia="仿宋_GB2312" w:cs="Times New Roman"/>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5151"/>
    <w:rsid w:val="0000129D"/>
    <w:rsid w:val="00007464"/>
    <w:rsid w:val="00010E21"/>
    <w:rsid w:val="00030415"/>
    <w:rsid w:val="0004311D"/>
    <w:rsid w:val="000571CC"/>
    <w:rsid w:val="00072E8B"/>
    <w:rsid w:val="00082108"/>
    <w:rsid w:val="0008213E"/>
    <w:rsid w:val="000C6E61"/>
    <w:rsid w:val="000D1D5C"/>
    <w:rsid w:val="000E15E9"/>
    <w:rsid w:val="00113999"/>
    <w:rsid w:val="00121E85"/>
    <w:rsid w:val="00123881"/>
    <w:rsid w:val="0017130D"/>
    <w:rsid w:val="001A79A6"/>
    <w:rsid w:val="001E336B"/>
    <w:rsid w:val="002071D3"/>
    <w:rsid w:val="002402F7"/>
    <w:rsid w:val="00257D25"/>
    <w:rsid w:val="00263D90"/>
    <w:rsid w:val="002B5E1D"/>
    <w:rsid w:val="002E6321"/>
    <w:rsid w:val="0030663C"/>
    <w:rsid w:val="00333014"/>
    <w:rsid w:val="00333708"/>
    <w:rsid w:val="0035468C"/>
    <w:rsid w:val="003A2C3C"/>
    <w:rsid w:val="003B4099"/>
    <w:rsid w:val="0043707A"/>
    <w:rsid w:val="00437CD2"/>
    <w:rsid w:val="00480638"/>
    <w:rsid w:val="00480CC9"/>
    <w:rsid w:val="0049636D"/>
    <w:rsid w:val="00497AF4"/>
    <w:rsid w:val="004A25A4"/>
    <w:rsid w:val="004B20FD"/>
    <w:rsid w:val="004C4974"/>
    <w:rsid w:val="004F1FD6"/>
    <w:rsid w:val="005156BE"/>
    <w:rsid w:val="00540248"/>
    <w:rsid w:val="00560751"/>
    <w:rsid w:val="005658CE"/>
    <w:rsid w:val="00596F4B"/>
    <w:rsid w:val="005A275B"/>
    <w:rsid w:val="005B567E"/>
    <w:rsid w:val="005C700E"/>
    <w:rsid w:val="005D790F"/>
    <w:rsid w:val="005E0D36"/>
    <w:rsid w:val="00605142"/>
    <w:rsid w:val="00606DA2"/>
    <w:rsid w:val="00652522"/>
    <w:rsid w:val="00656C0B"/>
    <w:rsid w:val="0065756D"/>
    <w:rsid w:val="0066709D"/>
    <w:rsid w:val="006D3F05"/>
    <w:rsid w:val="00703444"/>
    <w:rsid w:val="0070525E"/>
    <w:rsid w:val="007263D8"/>
    <w:rsid w:val="007400F1"/>
    <w:rsid w:val="007556F1"/>
    <w:rsid w:val="007633C6"/>
    <w:rsid w:val="00774481"/>
    <w:rsid w:val="00795151"/>
    <w:rsid w:val="007C3536"/>
    <w:rsid w:val="007D4989"/>
    <w:rsid w:val="007E2ABB"/>
    <w:rsid w:val="008020A8"/>
    <w:rsid w:val="008330A6"/>
    <w:rsid w:val="008436AA"/>
    <w:rsid w:val="008C00C7"/>
    <w:rsid w:val="008C0587"/>
    <w:rsid w:val="008C1FDF"/>
    <w:rsid w:val="008C582A"/>
    <w:rsid w:val="00923727"/>
    <w:rsid w:val="00960A51"/>
    <w:rsid w:val="0096570C"/>
    <w:rsid w:val="00982AE8"/>
    <w:rsid w:val="009A55E9"/>
    <w:rsid w:val="009B2497"/>
    <w:rsid w:val="009D666B"/>
    <w:rsid w:val="00A13DEE"/>
    <w:rsid w:val="00A164A7"/>
    <w:rsid w:val="00A27580"/>
    <w:rsid w:val="00A408C0"/>
    <w:rsid w:val="00A442C9"/>
    <w:rsid w:val="00A92700"/>
    <w:rsid w:val="00AA4861"/>
    <w:rsid w:val="00AB30C9"/>
    <w:rsid w:val="00AD196E"/>
    <w:rsid w:val="00AD67FD"/>
    <w:rsid w:val="00B00D25"/>
    <w:rsid w:val="00B3065F"/>
    <w:rsid w:val="00B465D5"/>
    <w:rsid w:val="00B633B4"/>
    <w:rsid w:val="00B94EA9"/>
    <w:rsid w:val="00BA4B96"/>
    <w:rsid w:val="00BA4E2D"/>
    <w:rsid w:val="00BA6727"/>
    <w:rsid w:val="00BD0F47"/>
    <w:rsid w:val="00BE50D0"/>
    <w:rsid w:val="00BF550C"/>
    <w:rsid w:val="00C431D6"/>
    <w:rsid w:val="00C717EC"/>
    <w:rsid w:val="00C76ABB"/>
    <w:rsid w:val="00CB4FB9"/>
    <w:rsid w:val="00CE718E"/>
    <w:rsid w:val="00D26B01"/>
    <w:rsid w:val="00D30BAB"/>
    <w:rsid w:val="00D41CC5"/>
    <w:rsid w:val="00D66555"/>
    <w:rsid w:val="00D72C57"/>
    <w:rsid w:val="00DA1059"/>
    <w:rsid w:val="00DB0A38"/>
    <w:rsid w:val="00DC7A9C"/>
    <w:rsid w:val="00DD337F"/>
    <w:rsid w:val="00DF60C0"/>
    <w:rsid w:val="00DF6733"/>
    <w:rsid w:val="00E02E25"/>
    <w:rsid w:val="00E05297"/>
    <w:rsid w:val="00E416C4"/>
    <w:rsid w:val="00E80574"/>
    <w:rsid w:val="00EA172F"/>
    <w:rsid w:val="00EB281D"/>
    <w:rsid w:val="00EC0FB4"/>
    <w:rsid w:val="00ED1509"/>
    <w:rsid w:val="00F16618"/>
    <w:rsid w:val="00F25393"/>
    <w:rsid w:val="00F26BBD"/>
    <w:rsid w:val="00F44D8B"/>
    <w:rsid w:val="00F650BE"/>
    <w:rsid w:val="00F74A29"/>
    <w:rsid w:val="00FA2CC7"/>
    <w:rsid w:val="00FA69C8"/>
    <w:rsid w:val="00FB7220"/>
    <w:rsid w:val="00FC7F85"/>
    <w:rsid w:val="0AC333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eastAsia="宋体" w:cs="Times New Roman"/>
      <w:kern w:val="0"/>
      <w:sz w:val="20"/>
      <w:szCs w:val="21"/>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纯文本 Char"/>
    <w:basedOn w:val="7"/>
    <w:link w:val="2"/>
    <w:qFormat/>
    <w:uiPriority w:val="99"/>
    <w:rPr>
      <w:rFonts w:ascii="宋体" w:hAnsi="Courier New" w:eastAsia="宋体" w:cs="Times New Roman"/>
      <w:kern w:val="0"/>
      <w:sz w:val="20"/>
      <w:szCs w:val="21"/>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13</Pages>
  <Words>4966</Words>
  <Characters>5105</Characters>
  <Lines>52</Lines>
  <Paragraphs>14</Paragraphs>
  <TotalTime>4</TotalTime>
  <ScaleCrop>false</ScaleCrop>
  <LinksUpToDate>false</LinksUpToDate>
  <CharactersWithSpaces>5108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2017-02-21T06:44:00Z</dcterms:created>
  <dc:creator>刘云熹</dc:creator>
  <cp:lastModifiedBy>Administrator</cp:lastModifiedBy>
  <dcterms:modified xsi:type="dcterms:W3CDTF">2025-01-03T08:53:01Z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eyJoZGlkIjoiYmUxZDYzMjkxODI1Mjk4OWVjMTYxNmVkNGZjODA2Y2QifQ==</vt:lpwstr>
  </property>
  <property fmtid="{D5CDD505-2E9C-101B-9397-08002B2CF9AE}" pid="3" name="KSOProductBuildVer">
    <vt:lpwstr>2052-12.1.0.19770</vt:lpwstr>
  </property>
  <property fmtid="{D5CDD505-2E9C-101B-9397-08002B2CF9AE}" pid="4" name="ICV">
    <vt:lpwstr>C41A81DBFDC8466E96476FF71D3748CB_12</vt:lpwstr>
  </property>
</Properties>
</file>