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45D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7F2D037">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bookmarkStart w:id="184" w:name="_GoBack"/>
            <w:bookmarkEnd w:id="184"/>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92AA738">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13.200</w:t>
            </w:r>
          </w:p>
        </w:tc>
      </w:tr>
      <w:tr w14:paraId="7075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3B30BC8">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6D7D0E6">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t>A 90</w:t>
            </w:r>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695A098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1807D76">
            <w:pPr>
              <w:pStyle w:val="53"/>
              <w:framePr w:w="0" w:hRule="auto" w:wrap="auto" w:vAnchor="margin" w:hAnchor="text" w:xAlign="left" w:yAlign="inline"/>
              <w:rPr>
                <w:rFonts w:hint="eastAsia" w:ascii="宋体" w:hAnsi="宋体"/>
                <w:sz w:val="28"/>
                <w:szCs w:val="28"/>
              </w:rPr>
            </w:pPr>
            <w:bookmarkStart w:id="0"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11</w:t>
            </w:r>
            <w:r>
              <w:fldChar w:fldCharType="end"/>
            </w:r>
            <w:bookmarkEnd w:id="1"/>
          </w:p>
        </w:tc>
      </w:tr>
    </w:tbl>
    <w:p w14:paraId="3E2C9560">
      <w:pPr>
        <w:pStyle w:val="54"/>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北京市</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14:paraId="4F6B5E17">
      <w:pPr>
        <w:pStyle w:val="199"/>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rFonts w:hint="eastAsia"/>
          <w:lang w:val="fr-FR"/>
        </w:rPr>
        <w:t>11</w:t>
      </w:r>
      <w:r>
        <w:rPr>
          <w:lang w:val="fr-FR"/>
        </w:rPr>
        <w:t>/T</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65056681">
      <w:pPr>
        <w:pStyle w:val="200"/>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1B3A4E0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6CF9931">
      <w:pPr>
        <w:pStyle w:val="54"/>
        <w:framePr w:w="9639" w:h="6976" w:hRule="exact" w:hSpace="0" w:vSpace="0" w:wrap="around" w:hAnchor="page" w:y="6408"/>
        <w:jc w:val="center"/>
        <w:rPr>
          <w:rFonts w:hint="eastAsia" w:ascii="黑体" w:hAnsi="黑体" w:eastAsia="黑体"/>
          <w:b w:val="0"/>
          <w:bCs w:val="0"/>
          <w:w w:val="100"/>
        </w:rPr>
      </w:pPr>
    </w:p>
    <w:p w14:paraId="0534A6F3">
      <w:pPr>
        <w:pStyle w:val="201"/>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韧性城市建设指南</w:t>
      </w:r>
      <w:r>
        <w:fldChar w:fldCharType="end"/>
      </w:r>
      <w:bookmarkEnd w:id="7"/>
    </w:p>
    <w:p w14:paraId="4FF569F4">
      <w:pPr>
        <w:framePr w:w="9639" w:h="6974" w:hRule="exact" w:wrap="around" w:vAnchor="page" w:hAnchor="page" w:x="1419" w:y="6408" w:anchorLock="1"/>
        <w:ind w:left="-1418"/>
      </w:pPr>
    </w:p>
    <w:p w14:paraId="14EE9FE4">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Guidelines for the construction of resilient city</w:t>
      </w:r>
      <w:r>
        <w:rPr>
          <w:rFonts w:eastAsia="黑体"/>
          <w:szCs w:val="28"/>
        </w:rPr>
        <w:fldChar w:fldCharType="end"/>
      </w:r>
      <w:bookmarkEnd w:id="8"/>
    </w:p>
    <w:p w14:paraId="2178B709">
      <w:pPr>
        <w:framePr w:w="9639" w:h="6974" w:hRule="exact" w:wrap="around" w:vAnchor="page" w:hAnchor="page" w:x="1419" w:y="6408" w:anchorLock="1"/>
        <w:spacing w:line="760" w:lineRule="exact"/>
        <w:ind w:left="-1418"/>
      </w:pPr>
    </w:p>
    <w:p w14:paraId="2F129981">
      <w:pPr>
        <w:pStyle w:val="129"/>
        <w:framePr w:w="9639" w:h="6974" w:hRule="exact" w:wrap="around" w:vAnchor="page" w:hAnchor="page" w:x="1419" w:y="6408" w:anchorLock="1"/>
        <w:textAlignment w:val="bottom"/>
        <w:rPr>
          <w:rFonts w:eastAsia="黑体"/>
          <w:szCs w:val="28"/>
        </w:rPr>
      </w:pPr>
    </w:p>
    <w:p w14:paraId="7797BD68">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 FORMDROPDOWN </w:instrText>
      </w:r>
      <w:r>
        <w:rPr>
          <w:sz w:val="24"/>
          <w:szCs w:val="28"/>
        </w:rPr>
        <w:fldChar w:fldCharType="separate"/>
      </w:r>
      <w:r>
        <w:rPr>
          <w:sz w:val="24"/>
          <w:szCs w:val="28"/>
        </w:rPr>
        <w:fldChar w:fldCharType="end"/>
      </w:r>
    </w:p>
    <w:p w14:paraId="134A2CEE">
      <w:pPr>
        <w:pStyle w:val="129"/>
        <w:framePr w:w="9639" w:h="6974" w:hRule="exact" w:wrap="around" w:vAnchor="page" w:hAnchor="page" w:x="1419" w:y="6408" w:anchorLock="1"/>
        <w:spacing w:before="180" w:line="240" w:lineRule="atLeast"/>
        <w:textAlignment w:val="bottom"/>
        <w:rPr>
          <w:sz w:val="21"/>
          <w:szCs w:val="28"/>
        </w:rPr>
      </w:pPr>
    </w:p>
    <w:p w14:paraId="1FAA5A8A">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14:paraId="65601CD3">
      <w:pPr>
        <w:pStyle w:val="197"/>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333EA970">
      <w:pPr>
        <w:pStyle w:val="198"/>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05F6FEEA">
      <w:pPr>
        <w:pStyle w:val="155"/>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r>
        <w:rPr>
          <w:rFonts w:hAnsi="黑体"/>
          <w:w w:val="100"/>
          <w:sz w:val="28"/>
        </w:rPr>
        <w:instrText xml:space="preserve"> FORMTEXT </w:instrText>
      </w:r>
      <w:r>
        <w:rPr>
          <w:rFonts w:hAnsi="黑体"/>
          <w:w w:val="100"/>
          <w:sz w:val="28"/>
        </w:rPr>
        <w:fldChar w:fldCharType="separate"/>
      </w:r>
      <w:r>
        <w:rPr>
          <w:rFonts w:hint="eastAsia" w:hAnsi="黑体"/>
          <w:w w:val="100"/>
          <w:sz w:val="28"/>
        </w:rPr>
        <w:t>北京市市场监督管理局</w:t>
      </w:r>
      <w:r>
        <w:rPr>
          <w:rFonts w:hAnsi="黑体"/>
          <w:w w:val="100"/>
          <w:sz w:val="28"/>
        </w:rPr>
        <w:fldChar w:fldCharType="end"/>
      </w:r>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6F9E0696">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C6F8F72">
      <w:pPr>
        <w:pStyle w:val="95"/>
        <w:spacing w:before="0" w:after="468" w:afterLines="0"/>
      </w:pPr>
      <w:bookmarkStart w:id="16" w:name="_Toc211265615"/>
      <w:bookmarkStart w:id="17" w:name="_Toc28575"/>
      <w:bookmarkStart w:id="18" w:name="_Toc175557507"/>
      <w:bookmarkStart w:id="19" w:name="_Toc206594468"/>
      <w:bookmarkStart w:id="20" w:name="_Toc175236558"/>
      <w:bookmarkStart w:id="21" w:name="_Toc17885"/>
      <w:bookmarkStart w:id="22" w:name="_Toc202862036"/>
      <w:r>
        <w:rPr>
          <w:rFonts w:hint="eastAsia"/>
          <w:spacing w:val="320"/>
        </w:rPr>
        <w:t>目</w:t>
      </w:r>
      <w:r>
        <w:rPr>
          <w:rFonts w:hint="eastAsia"/>
        </w:rPr>
        <w:t>次</w:t>
      </w:r>
    </w:p>
    <w:p w14:paraId="7EDED211">
      <w:pPr>
        <w:pStyle w:val="20"/>
        <w:tabs>
          <w:tab w:val="right" w:leader="dot" w:pos="9354"/>
        </w:tabs>
        <w:spacing w:line="240" w:lineRule="auto"/>
      </w:pPr>
      <w:r>
        <w:rPr>
          <w:rFonts w:hint="eastAsia"/>
        </w:rPr>
        <w:fldChar w:fldCharType="begin"/>
      </w:r>
      <w:r>
        <w:rPr>
          <w:rFonts w:hint="eastAsia"/>
        </w:rPr>
        <w:instrText xml:space="preserve">TOC \o "1-1" \t "标准文件_一级条标题,2,标准文件_附录一级条标题,2," \h</w:instrText>
      </w:r>
      <w:r>
        <w:rPr>
          <w:rFonts w:hint="eastAsia"/>
        </w:rPr>
        <w:fldChar w:fldCharType="separate"/>
      </w:r>
      <w:r>
        <w:fldChar w:fldCharType="begin"/>
      </w:r>
      <w:r>
        <w:instrText xml:space="preserve"> HYPERLINK \l "_Toc18535" </w:instrText>
      </w:r>
      <w:r>
        <w:fldChar w:fldCharType="separate"/>
      </w:r>
      <w:r>
        <w:rPr>
          <w:rFonts w:hint="eastAsia"/>
        </w:rPr>
        <w:t>前言</w:t>
      </w:r>
      <w:r>
        <w:tab/>
      </w:r>
      <w:r>
        <w:fldChar w:fldCharType="begin"/>
      </w:r>
      <w:r>
        <w:instrText xml:space="preserve"> PAGEREF _Toc18535 \h </w:instrText>
      </w:r>
      <w:r>
        <w:fldChar w:fldCharType="separate"/>
      </w:r>
      <w:r>
        <w:t>II</w:t>
      </w:r>
      <w:r>
        <w:fldChar w:fldCharType="end"/>
      </w:r>
      <w:r>
        <w:fldChar w:fldCharType="end"/>
      </w:r>
    </w:p>
    <w:p w14:paraId="452DC538">
      <w:pPr>
        <w:pStyle w:val="20"/>
        <w:tabs>
          <w:tab w:val="right" w:leader="dot" w:pos="9354"/>
        </w:tabs>
        <w:spacing w:line="240" w:lineRule="auto"/>
      </w:pPr>
      <w:r>
        <w:fldChar w:fldCharType="begin"/>
      </w:r>
      <w:r>
        <w:instrText xml:space="preserve"> HYPERLINK \l "_Toc21235" </w:instrText>
      </w:r>
      <w:r>
        <w:fldChar w:fldCharType="separate"/>
      </w:r>
      <w:r>
        <w:rPr>
          <w:rFonts w:hint="eastAsia"/>
        </w:rPr>
        <w:t>引言</w:t>
      </w:r>
      <w:r>
        <w:tab/>
      </w:r>
      <w:r>
        <w:fldChar w:fldCharType="begin"/>
      </w:r>
      <w:r>
        <w:instrText xml:space="preserve"> PAGEREF _Toc21235 \h </w:instrText>
      </w:r>
      <w:r>
        <w:fldChar w:fldCharType="separate"/>
      </w:r>
      <w:r>
        <w:t>III</w:t>
      </w:r>
      <w:r>
        <w:fldChar w:fldCharType="end"/>
      </w:r>
      <w:r>
        <w:fldChar w:fldCharType="end"/>
      </w:r>
    </w:p>
    <w:p w14:paraId="07F3D6AE">
      <w:pPr>
        <w:pStyle w:val="20"/>
        <w:tabs>
          <w:tab w:val="right" w:leader="dot" w:pos="9354"/>
        </w:tabs>
        <w:spacing w:line="240" w:lineRule="auto"/>
      </w:pPr>
      <w:r>
        <w:fldChar w:fldCharType="begin"/>
      </w:r>
      <w:r>
        <w:instrText xml:space="preserve"> HYPERLINK \l "_Toc18728" </w:instrText>
      </w:r>
      <w:r>
        <w:fldChar w:fldCharType="separate"/>
      </w:r>
      <w:r>
        <w:rPr>
          <w:rFonts w:hint="eastAsia" w:ascii="黑体" w:eastAsia="黑体"/>
        </w:rPr>
        <w:t xml:space="preserve">1  </w:t>
      </w:r>
      <w:r>
        <w:rPr>
          <w:rFonts w:hint="eastAsia"/>
        </w:rPr>
        <w:t>范围</w:t>
      </w:r>
      <w:r>
        <w:tab/>
      </w:r>
      <w:r>
        <w:fldChar w:fldCharType="begin"/>
      </w:r>
      <w:r>
        <w:instrText xml:space="preserve"> PAGEREF _Toc18728 \h </w:instrText>
      </w:r>
      <w:r>
        <w:fldChar w:fldCharType="separate"/>
      </w:r>
      <w:r>
        <w:t>4</w:t>
      </w:r>
      <w:r>
        <w:fldChar w:fldCharType="end"/>
      </w:r>
      <w:r>
        <w:fldChar w:fldCharType="end"/>
      </w:r>
    </w:p>
    <w:p w14:paraId="307F82D1">
      <w:pPr>
        <w:pStyle w:val="20"/>
        <w:tabs>
          <w:tab w:val="right" w:leader="dot" w:pos="9354"/>
        </w:tabs>
        <w:spacing w:line="240" w:lineRule="auto"/>
      </w:pPr>
      <w:r>
        <w:fldChar w:fldCharType="begin"/>
      </w:r>
      <w:r>
        <w:instrText xml:space="preserve"> HYPERLINK \l "_Toc12654"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_Toc12654 \h </w:instrText>
      </w:r>
      <w:r>
        <w:fldChar w:fldCharType="separate"/>
      </w:r>
      <w:r>
        <w:t>4</w:t>
      </w:r>
      <w:r>
        <w:fldChar w:fldCharType="end"/>
      </w:r>
      <w:r>
        <w:fldChar w:fldCharType="end"/>
      </w:r>
    </w:p>
    <w:p w14:paraId="26CA48D8">
      <w:pPr>
        <w:pStyle w:val="20"/>
        <w:tabs>
          <w:tab w:val="right" w:leader="dot" w:pos="9354"/>
        </w:tabs>
        <w:spacing w:line="240" w:lineRule="auto"/>
      </w:pPr>
      <w:r>
        <w:fldChar w:fldCharType="begin"/>
      </w:r>
      <w:r>
        <w:instrText xml:space="preserve"> HYPERLINK \l "_Toc12953"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_Toc12953 \h </w:instrText>
      </w:r>
      <w:r>
        <w:fldChar w:fldCharType="separate"/>
      </w:r>
      <w:r>
        <w:t>4</w:t>
      </w:r>
      <w:r>
        <w:fldChar w:fldCharType="end"/>
      </w:r>
      <w:r>
        <w:fldChar w:fldCharType="end"/>
      </w:r>
    </w:p>
    <w:p w14:paraId="395953CC">
      <w:pPr>
        <w:pStyle w:val="20"/>
        <w:tabs>
          <w:tab w:val="right" w:leader="dot" w:pos="9354"/>
        </w:tabs>
        <w:spacing w:line="240" w:lineRule="auto"/>
      </w:pPr>
      <w:r>
        <w:fldChar w:fldCharType="begin"/>
      </w:r>
      <w:r>
        <w:instrText xml:space="preserve"> HYPERLINK \l "_Toc28950" </w:instrText>
      </w:r>
      <w:r>
        <w:fldChar w:fldCharType="separate"/>
      </w:r>
      <w:r>
        <w:rPr>
          <w:rFonts w:hint="eastAsia" w:ascii="黑体" w:eastAsia="黑体"/>
        </w:rPr>
        <w:t xml:space="preserve">4  </w:t>
      </w:r>
      <w:r>
        <w:rPr>
          <w:rFonts w:hint="eastAsia"/>
        </w:rPr>
        <w:t>建设原则</w:t>
      </w:r>
      <w:r>
        <w:tab/>
      </w:r>
      <w:r>
        <w:fldChar w:fldCharType="begin"/>
      </w:r>
      <w:r>
        <w:instrText xml:space="preserve"> PAGEREF _Toc28950 \h </w:instrText>
      </w:r>
      <w:r>
        <w:fldChar w:fldCharType="separate"/>
      </w:r>
      <w:r>
        <w:t>4</w:t>
      </w:r>
      <w:r>
        <w:fldChar w:fldCharType="end"/>
      </w:r>
      <w:r>
        <w:fldChar w:fldCharType="end"/>
      </w:r>
    </w:p>
    <w:p w14:paraId="32F07DF8">
      <w:pPr>
        <w:pStyle w:val="20"/>
        <w:tabs>
          <w:tab w:val="right" w:leader="dot" w:pos="9354"/>
        </w:tabs>
        <w:spacing w:line="240" w:lineRule="auto"/>
      </w:pPr>
      <w:r>
        <w:fldChar w:fldCharType="begin"/>
      </w:r>
      <w:r>
        <w:instrText xml:space="preserve"> HYPERLINK \l "_Toc30634" </w:instrText>
      </w:r>
      <w:r>
        <w:fldChar w:fldCharType="separate"/>
      </w:r>
      <w:r>
        <w:rPr>
          <w:rFonts w:hint="eastAsia" w:ascii="黑体" w:eastAsia="黑体"/>
        </w:rPr>
        <w:t xml:space="preserve">5  </w:t>
      </w:r>
      <w:r>
        <w:rPr>
          <w:rFonts w:hint="eastAsia"/>
        </w:rPr>
        <w:t>建设内容</w:t>
      </w:r>
      <w:r>
        <w:tab/>
      </w:r>
      <w:r>
        <w:fldChar w:fldCharType="begin"/>
      </w:r>
      <w:r>
        <w:instrText xml:space="preserve"> PAGEREF _Toc30634 \h </w:instrText>
      </w:r>
      <w:r>
        <w:fldChar w:fldCharType="separate"/>
      </w:r>
      <w:r>
        <w:t>4</w:t>
      </w:r>
      <w:r>
        <w:fldChar w:fldCharType="end"/>
      </w:r>
      <w:r>
        <w:fldChar w:fldCharType="end"/>
      </w:r>
    </w:p>
    <w:p w14:paraId="4F1D6A29">
      <w:pPr>
        <w:pStyle w:val="25"/>
        <w:tabs>
          <w:tab w:val="right" w:leader="dot" w:pos="9354"/>
          <w:tab w:val="clear" w:pos="9344"/>
        </w:tabs>
        <w:spacing w:line="240" w:lineRule="auto"/>
      </w:pPr>
      <w:r>
        <w:fldChar w:fldCharType="begin"/>
      </w:r>
      <w:r>
        <w:instrText xml:space="preserve"> HYPERLINK \l "_Toc29713" </w:instrText>
      </w:r>
      <w:r>
        <w:fldChar w:fldCharType="separate"/>
      </w:r>
      <w:r>
        <w:rPr>
          <w:rFonts w:hint="eastAsia" w:ascii="黑体" w:hAnsi="Times New Roman" w:eastAsia="黑体"/>
          <w:kern w:val="0"/>
          <w14:scene3d>
            <w14:lightRig w14:rig="threePt" w14:dir="t">
              <w14:rot w14:lat="0" w14:lon="0" w14:rev="0"/>
            </w14:lightRig>
          </w14:scene3d>
        </w:rPr>
        <w:t xml:space="preserve">5.1  </w:t>
      </w:r>
      <w:r>
        <w:rPr>
          <w:rFonts w:hint="eastAsia"/>
        </w:rPr>
        <w:t>城市生命线工程</w:t>
      </w:r>
      <w:r>
        <w:tab/>
      </w:r>
      <w:r>
        <w:fldChar w:fldCharType="begin"/>
      </w:r>
      <w:r>
        <w:instrText xml:space="preserve"> PAGEREF _Toc29713 \h </w:instrText>
      </w:r>
      <w:r>
        <w:fldChar w:fldCharType="separate"/>
      </w:r>
      <w:r>
        <w:t>5</w:t>
      </w:r>
      <w:r>
        <w:fldChar w:fldCharType="end"/>
      </w:r>
      <w:r>
        <w:fldChar w:fldCharType="end"/>
      </w:r>
    </w:p>
    <w:p w14:paraId="367E8348">
      <w:pPr>
        <w:pStyle w:val="25"/>
        <w:tabs>
          <w:tab w:val="right" w:leader="dot" w:pos="9354"/>
          <w:tab w:val="clear" w:pos="9344"/>
        </w:tabs>
        <w:spacing w:line="240" w:lineRule="auto"/>
      </w:pPr>
      <w:r>
        <w:fldChar w:fldCharType="begin"/>
      </w:r>
      <w:r>
        <w:instrText xml:space="preserve"> HYPERLINK \l "_Toc12278" </w:instrText>
      </w:r>
      <w:r>
        <w:fldChar w:fldCharType="separate"/>
      </w:r>
      <w:r>
        <w:rPr>
          <w:rFonts w:hint="eastAsia" w:ascii="黑体" w:hAnsi="Times New Roman" w:eastAsia="黑体"/>
          <w:kern w:val="0"/>
          <w14:scene3d>
            <w14:lightRig w14:rig="threePt" w14:dir="t">
              <w14:rot w14:lat="0" w14:lon="0" w14:rev="0"/>
            </w14:lightRig>
          </w14:scene3d>
        </w:rPr>
        <w:t xml:space="preserve">5.2  </w:t>
      </w:r>
      <w:r>
        <w:rPr>
          <w:rFonts w:hint="eastAsia"/>
        </w:rPr>
        <w:t>应急保障设施</w:t>
      </w:r>
      <w:r>
        <w:tab/>
      </w:r>
      <w:r>
        <w:fldChar w:fldCharType="begin"/>
      </w:r>
      <w:r>
        <w:instrText xml:space="preserve"> PAGEREF _Toc12278 \h </w:instrText>
      </w:r>
      <w:r>
        <w:fldChar w:fldCharType="separate"/>
      </w:r>
      <w:r>
        <w:t>6</w:t>
      </w:r>
      <w:r>
        <w:fldChar w:fldCharType="end"/>
      </w:r>
      <w:r>
        <w:fldChar w:fldCharType="end"/>
      </w:r>
    </w:p>
    <w:p w14:paraId="2E7F3993">
      <w:pPr>
        <w:pStyle w:val="25"/>
        <w:tabs>
          <w:tab w:val="right" w:leader="dot" w:pos="9354"/>
          <w:tab w:val="clear" w:pos="9344"/>
        </w:tabs>
        <w:spacing w:line="240" w:lineRule="auto"/>
      </w:pPr>
      <w:r>
        <w:fldChar w:fldCharType="begin"/>
      </w:r>
      <w:r>
        <w:instrText xml:space="preserve"> HYPERLINK \l "_Toc6639" </w:instrText>
      </w:r>
      <w:r>
        <w:fldChar w:fldCharType="separate"/>
      </w:r>
      <w:r>
        <w:rPr>
          <w:rFonts w:hint="eastAsia" w:ascii="黑体" w:hAnsi="Times New Roman" w:eastAsia="黑体"/>
          <w:kern w:val="0"/>
          <w14:scene3d>
            <w14:lightRig w14:rig="threePt" w14:dir="t">
              <w14:rot w14:lat="0" w14:lon="0" w14:rev="0"/>
            </w14:lightRig>
          </w14:scene3d>
        </w:rPr>
        <w:t xml:space="preserve">5.3  </w:t>
      </w:r>
      <w:r>
        <w:rPr>
          <w:rFonts w:hint="eastAsia"/>
        </w:rPr>
        <w:t>韧性城市管理能力</w:t>
      </w:r>
      <w:r>
        <w:tab/>
      </w:r>
      <w:r>
        <w:fldChar w:fldCharType="begin"/>
      </w:r>
      <w:r>
        <w:instrText xml:space="preserve"> PAGEREF _Toc6639 \h </w:instrText>
      </w:r>
      <w:r>
        <w:fldChar w:fldCharType="separate"/>
      </w:r>
      <w:r>
        <w:t>7</w:t>
      </w:r>
      <w:r>
        <w:fldChar w:fldCharType="end"/>
      </w:r>
      <w:r>
        <w:fldChar w:fldCharType="end"/>
      </w:r>
    </w:p>
    <w:p w14:paraId="61D07CC4">
      <w:pPr>
        <w:pStyle w:val="25"/>
        <w:tabs>
          <w:tab w:val="right" w:leader="dot" w:pos="9354"/>
          <w:tab w:val="clear" w:pos="9344"/>
        </w:tabs>
        <w:spacing w:line="240" w:lineRule="auto"/>
      </w:pPr>
      <w:r>
        <w:fldChar w:fldCharType="begin"/>
      </w:r>
      <w:r>
        <w:instrText xml:space="preserve"> HYPERLINK \l "_Toc12343" </w:instrText>
      </w:r>
      <w:r>
        <w:fldChar w:fldCharType="separate"/>
      </w:r>
      <w:r>
        <w:rPr>
          <w:rFonts w:hint="eastAsia" w:ascii="黑体" w:hAnsi="Times New Roman" w:eastAsia="黑体"/>
          <w:kern w:val="0"/>
          <w14:scene3d>
            <w14:lightRig w14:rig="threePt" w14:dir="t">
              <w14:rot w14:lat="0" w14:lon="0" w14:rev="0"/>
            </w14:lightRig>
          </w14:scene3d>
        </w:rPr>
        <w:t xml:space="preserve">5.4  </w:t>
      </w:r>
      <w:r>
        <w:rPr>
          <w:rFonts w:hint="eastAsia"/>
        </w:rPr>
        <w:t>韧性城市分区建设</w:t>
      </w:r>
      <w:r>
        <w:tab/>
      </w:r>
      <w:r>
        <w:fldChar w:fldCharType="begin"/>
      </w:r>
      <w:r>
        <w:instrText xml:space="preserve"> PAGEREF _Toc12343 \h </w:instrText>
      </w:r>
      <w:r>
        <w:fldChar w:fldCharType="separate"/>
      </w:r>
      <w:r>
        <w:t>9</w:t>
      </w:r>
      <w:r>
        <w:fldChar w:fldCharType="end"/>
      </w:r>
      <w:r>
        <w:fldChar w:fldCharType="end"/>
      </w:r>
    </w:p>
    <w:p w14:paraId="164F462B">
      <w:pPr>
        <w:pStyle w:val="25"/>
        <w:tabs>
          <w:tab w:val="right" w:leader="dot" w:pos="9354"/>
          <w:tab w:val="clear" w:pos="9344"/>
        </w:tabs>
        <w:spacing w:line="240" w:lineRule="auto"/>
      </w:pPr>
      <w:r>
        <w:fldChar w:fldCharType="begin"/>
      </w:r>
      <w:r>
        <w:instrText xml:space="preserve"> HYPERLINK \l "_Toc10551" </w:instrText>
      </w:r>
      <w:r>
        <w:fldChar w:fldCharType="separate"/>
      </w:r>
      <w:r>
        <w:rPr>
          <w:rFonts w:hint="eastAsia" w:ascii="黑体" w:hAnsi="Times New Roman" w:eastAsia="黑体"/>
          <w:kern w:val="0"/>
          <w14:scene3d>
            <w14:lightRig w14:rig="threePt" w14:dir="t">
              <w14:rot w14:lat="0" w14:lon="0" w14:rev="0"/>
            </w14:lightRig>
          </w14:scene3d>
        </w:rPr>
        <w:t xml:space="preserve">5.5  </w:t>
      </w:r>
      <w:r>
        <w:rPr>
          <w:rFonts w:hint="eastAsia"/>
        </w:rPr>
        <w:t>重大风险灾害防御</w:t>
      </w:r>
      <w:r>
        <w:tab/>
      </w:r>
      <w:r>
        <w:fldChar w:fldCharType="begin"/>
      </w:r>
      <w:r>
        <w:instrText xml:space="preserve"> PAGEREF _Toc10551 \h </w:instrText>
      </w:r>
      <w:r>
        <w:fldChar w:fldCharType="separate"/>
      </w:r>
      <w:r>
        <w:t>9</w:t>
      </w:r>
      <w:r>
        <w:fldChar w:fldCharType="end"/>
      </w:r>
      <w:r>
        <w:fldChar w:fldCharType="end"/>
      </w:r>
    </w:p>
    <w:p w14:paraId="7A43A6BA">
      <w:pPr>
        <w:pStyle w:val="20"/>
        <w:tabs>
          <w:tab w:val="right" w:leader="dot" w:pos="9354"/>
        </w:tabs>
        <w:spacing w:line="240" w:lineRule="auto"/>
      </w:pPr>
      <w:r>
        <w:fldChar w:fldCharType="begin"/>
      </w:r>
      <w:r>
        <w:instrText xml:space="preserve"> HYPERLINK \l "_Toc8549" </w:instrText>
      </w:r>
      <w:r>
        <w:fldChar w:fldCharType="separate"/>
      </w:r>
      <w:r>
        <w:rPr>
          <w:rFonts w:hint="eastAsia" w:ascii="黑体" w:eastAsia="黑体"/>
        </w:rPr>
        <w:t xml:space="preserve">6  </w:t>
      </w:r>
      <w:r>
        <w:rPr>
          <w:rFonts w:hint="eastAsia"/>
        </w:rPr>
        <w:t>建设过程</w:t>
      </w:r>
      <w:r>
        <w:tab/>
      </w:r>
      <w:r>
        <w:fldChar w:fldCharType="begin"/>
      </w:r>
      <w:r>
        <w:instrText xml:space="preserve"> PAGEREF _Toc8549 \h </w:instrText>
      </w:r>
      <w:r>
        <w:fldChar w:fldCharType="separate"/>
      </w:r>
      <w:r>
        <w:t>12</w:t>
      </w:r>
      <w:r>
        <w:fldChar w:fldCharType="end"/>
      </w:r>
      <w:r>
        <w:fldChar w:fldCharType="end"/>
      </w:r>
    </w:p>
    <w:p w14:paraId="106015E0">
      <w:pPr>
        <w:pStyle w:val="25"/>
        <w:tabs>
          <w:tab w:val="right" w:leader="dot" w:pos="9354"/>
          <w:tab w:val="clear" w:pos="9344"/>
        </w:tabs>
        <w:spacing w:line="240" w:lineRule="auto"/>
      </w:pPr>
      <w:r>
        <w:fldChar w:fldCharType="begin"/>
      </w:r>
      <w:r>
        <w:instrText xml:space="preserve"> HYPERLINK \l "_Toc2880" </w:instrText>
      </w:r>
      <w:r>
        <w:fldChar w:fldCharType="separate"/>
      </w:r>
      <w:r>
        <w:rPr>
          <w:rFonts w:hint="eastAsia" w:ascii="黑体" w:hAnsi="Times New Roman" w:eastAsia="黑体"/>
          <w:kern w:val="0"/>
          <w14:scene3d>
            <w14:lightRig w14:rig="threePt" w14:dir="t">
              <w14:rot w14:lat="0" w14:lon="0" w14:rev="0"/>
            </w14:lightRig>
          </w14:scene3d>
        </w:rPr>
        <w:t xml:space="preserve">6.1  </w:t>
      </w:r>
      <w:r>
        <w:rPr>
          <w:rFonts w:hint="eastAsia"/>
        </w:rPr>
        <w:t>建设主体</w:t>
      </w:r>
      <w:r>
        <w:tab/>
      </w:r>
      <w:r>
        <w:fldChar w:fldCharType="begin"/>
      </w:r>
      <w:r>
        <w:instrText xml:space="preserve"> PAGEREF _Toc2880 \h </w:instrText>
      </w:r>
      <w:r>
        <w:fldChar w:fldCharType="separate"/>
      </w:r>
      <w:r>
        <w:t>12</w:t>
      </w:r>
      <w:r>
        <w:fldChar w:fldCharType="end"/>
      </w:r>
      <w:r>
        <w:fldChar w:fldCharType="end"/>
      </w:r>
    </w:p>
    <w:p w14:paraId="5133DFDB">
      <w:pPr>
        <w:pStyle w:val="25"/>
        <w:tabs>
          <w:tab w:val="right" w:leader="dot" w:pos="9354"/>
          <w:tab w:val="clear" w:pos="9344"/>
        </w:tabs>
        <w:spacing w:line="240" w:lineRule="auto"/>
      </w:pPr>
      <w:r>
        <w:fldChar w:fldCharType="begin"/>
      </w:r>
      <w:r>
        <w:instrText xml:space="preserve"> HYPERLINK \l "_Toc8877" </w:instrText>
      </w:r>
      <w:r>
        <w:fldChar w:fldCharType="separate"/>
      </w:r>
      <w:r>
        <w:rPr>
          <w:rFonts w:hint="eastAsia" w:ascii="黑体" w:hAnsi="Times New Roman" w:eastAsia="黑体"/>
          <w:kern w:val="0"/>
          <w14:scene3d>
            <w14:lightRig w14:rig="threePt" w14:dir="t">
              <w14:rot w14:lat="0" w14:lon="0" w14:rev="0"/>
            </w14:lightRig>
          </w14:scene3d>
        </w:rPr>
        <w:t xml:space="preserve">6.2  </w:t>
      </w:r>
      <w:r>
        <w:rPr>
          <w:rFonts w:hint="eastAsia"/>
        </w:rPr>
        <w:t>韧性评估</w:t>
      </w:r>
      <w:r>
        <w:tab/>
      </w:r>
      <w:r>
        <w:fldChar w:fldCharType="begin"/>
      </w:r>
      <w:r>
        <w:instrText xml:space="preserve"> PAGEREF _Toc8877 \h </w:instrText>
      </w:r>
      <w:r>
        <w:fldChar w:fldCharType="separate"/>
      </w:r>
      <w:r>
        <w:t>12</w:t>
      </w:r>
      <w:r>
        <w:fldChar w:fldCharType="end"/>
      </w:r>
      <w:r>
        <w:fldChar w:fldCharType="end"/>
      </w:r>
    </w:p>
    <w:p w14:paraId="4E1FB836">
      <w:pPr>
        <w:pStyle w:val="25"/>
        <w:tabs>
          <w:tab w:val="right" w:leader="dot" w:pos="9354"/>
          <w:tab w:val="clear" w:pos="9344"/>
        </w:tabs>
        <w:spacing w:line="240" w:lineRule="auto"/>
      </w:pPr>
      <w:r>
        <w:fldChar w:fldCharType="begin"/>
      </w:r>
      <w:r>
        <w:instrText xml:space="preserve"> HYPERLINK \l "_Toc3774" </w:instrText>
      </w:r>
      <w:r>
        <w:fldChar w:fldCharType="separate"/>
      </w:r>
      <w:r>
        <w:rPr>
          <w:rFonts w:hint="eastAsia" w:ascii="黑体" w:hAnsi="Times New Roman" w:eastAsia="黑体"/>
          <w:kern w:val="0"/>
          <w14:scene3d>
            <w14:lightRig w14:rig="threePt" w14:dir="t">
              <w14:rot w14:lat="0" w14:lon="0" w14:rev="0"/>
            </w14:lightRig>
          </w14:scene3d>
        </w:rPr>
        <w:t xml:space="preserve">6.3  </w:t>
      </w:r>
      <w:r>
        <w:rPr>
          <w:rFonts w:hint="eastAsia"/>
        </w:rPr>
        <w:t>建设方案</w:t>
      </w:r>
      <w:r>
        <w:tab/>
      </w:r>
      <w:r>
        <w:fldChar w:fldCharType="begin"/>
      </w:r>
      <w:r>
        <w:instrText xml:space="preserve"> PAGEREF _Toc3774 \h </w:instrText>
      </w:r>
      <w:r>
        <w:fldChar w:fldCharType="separate"/>
      </w:r>
      <w:r>
        <w:t>12</w:t>
      </w:r>
      <w:r>
        <w:fldChar w:fldCharType="end"/>
      </w:r>
      <w:r>
        <w:fldChar w:fldCharType="end"/>
      </w:r>
    </w:p>
    <w:p w14:paraId="31EADFC9">
      <w:pPr>
        <w:pStyle w:val="25"/>
        <w:tabs>
          <w:tab w:val="right" w:leader="dot" w:pos="9354"/>
          <w:tab w:val="clear" w:pos="9344"/>
        </w:tabs>
        <w:spacing w:line="240" w:lineRule="auto"/>
      </w:pPr>
      <w:r>
        <w:fldChar w:fldCharType="begin"/>
      </w:r>
      <w:r>
        <w:instrText xml:space="preserve"> HYPERLINK \l "_Toc2141" </w:instrText>
      </w:r>
      <w:r>
        <w:fldChar w:fldCharType="separate"/>
      </w:r>
      <w:r>
        <w:rPr>
          <w:rFonts w:hint="eastAsia" w:ascii="黑体" w:hAnsi="Times New Roman" w:eastAsia="黑体"/>
          <w:kern w:val="0"/>
          <w14:scene3d>
            <w14:lightRig w14:rig="threePt" w14:dir="t">
              <w14:rot w14:lat="0" w14:lon="0" w14:rev="0"/>
            </w14:lightRig>
          </w14:scene3d>
        </w:rPr>
        <w:t xml:space="preserve">6.4  </w:t>
      </w:r>
      <w:r>
        <w:rPr>
          <w:rFonts w:hint="eastAsia"/>
        </w:rPr>
        <w:t>建设实施</w:t>
      </w:r>
      <w:r>
        <w:tab/>
      </w:r>
      <w:r>
        <w:fldChar w:fldCharType="begin"/>
      </w:r>
      <w:r>
        <w:instrText xml:space="preserve"> PAGEREF _Toc2141 \h </w:instrText>
      </w:r>
      <w:r>
        <w:fldChar w:fldCharType="separate"/>
      </w:r>
      <w:r>
        <w:t>12</w:t>
      </w:r>
      <w:r>
        <w:fldChar w:fldCharType="end"/>
      </w:r>
      <w:r>
        <w:fldChar w:fldCharType="end"/>
      </w:r>
    </w:p>
    <w:p w14:paraId="1A97F8A4">
      <w:pPr>
        <w:pStyle w:val="25"/>
        <w:tabs>
          <w:tab w:val="right" w:leader="dot" w:pos="9354"/>
          <w:tab w:val="clear" w:pos="9344"/>
        </w:tabs>
        <w:spacing w:line="240" w:lineRule="auto"/>
      </w:pPr>
      <w:r>
        <w:fldChar w:fldCharType="begin"/>
      </w:r>
      <w:r>
        <w:instrText xml:space="preserve"> HYPERLINK \l "_Toc28897" </w:instrText>
      </w:r>
      <w:r>
        <w:fldChar w:fldCharType="separate"/>
      </w:r>
      <w:r>
        <w:rPr>
          <w:rFonts w:hint="eastAsia" w:ascii="黑体" w:hAnsi="Times New Roman" w:eastAsia="黑体"/>
          <w:kern w:val="0"/>
          <w14:scene3d>
            <w14:lightRig w14:rig="threePt" w14:dir="t">
              <w14:rot w14:lat="0" w14:lon="0" w14:rev="0"/>
            </w14:lightRig>
          </w14:scene3d>
        </w:rPr>
        <w:t xml:space="preserve">6.5  </w:t>
      </w:r>
      <w:r>
        <w:rPr>
          <w:rFonts w:hint="eastAsia"/>
        </w:rPr>
        <w:t>持续改进</w:t>
      </w:r>
      <w:r>
        <w:tab/>
      </w:r>
      <w:r>
        <w:fldChar w:fldCharType="begin"/>
      </w:r>
      <w:r>
        <w:instrText xml:space="preserve"> PAGEREF _Toc28897 \h </w:instrText>
      </w:r>
      <w:r>
        <w:fldChar w:fldCharType="separate"/>
      </w:r>
      <w:r>
        <w:t>12</w:t>
      </w:r>
      <w:r>
        <w:fldChar w:fldCharType="end"/>
      </w:r>
      <w:r>
        <w:fldChar w:fldCharType="end"/>
      </w:r>
    </w:p>
    <w:p w14:paraId="532A5E27">
      <w:pPr>
        <w:pStyle w:val="20"/>
        <w:tabs>
          <w:tab w:val="right" w:leader="dot" w:pos="9354"/>
        </w:tabs>
        <w:spacing w:line="240" w:lineRule="auto"/>
      </w:pPr>
      <w:r>
        <w:fldChar w:fldCharType="begin"/>
      </w:r>
      <w:r>
        <w:instrText xml:space="preserve"> HYPERLINK \l "_Toc28247" </w:instrText>
      </w:r>
      <w:r>
        <w:fldChar w:fldCharType="separate"/>
      </w:r>
      <w:r>
        <w:rPr>
          <w:rFonts w:hint="eastAsia"/>
        </w:rPr>
        <w:t>参考文献</w:t>
      </w:r>
      <w:r>
        <w:tab/>
      </w:r>
      <w:r>
        <w:fldChar w:fldCharType="begin"/>
      </w:r>
      <w:r>
        <w:instrText xml:space="preserve"> PAGEREF _Toc28247 \h </w:instrText>
      </w:r>
      <w:r>
        <w:fldChar w:fldCharType="separate"/>
      </w:r>
      <w:r>
        <w:t>13</w:t>
      </w:r>
      <w:r>
        <w:fldChar w:fldCharType="end"/>
      </w:r>
      <w:r>
        <w:fldChar w:fldCharType="end"/>
      </w:r>
    </w:p>
    <w:p w14:paraId="1B6AEF50">
      <w:pPr>
        <w:pStyle w:val="95"/>
        <w:spacing w:after="468"/>
        <w:sectPr>
          <w:headerReference r:id="rId10" w:type="default"/>
          <w:footerReference r:id="rId11" w:type="default"/>
          <w:pgSz w:w="11906" w:h="16838"/>
          <w:pgMar w:top="1928" w:right="1134" w:bottom="1134" w:left="1134" w:header="1418" w:footer="1134" w:gutter="284"/>
          <w:pgNumType w:fmt="upperRoman" w:start="1"/>
          <w:cols w:space="425" w:num="1"/>
          <w:formProt w:val="0"/>
          <w:docGrid w:type="lines" w:linePitch="312" w:charSpace="0"/>
        </w:sectPr>
      </w:pPr>
      <w:r>
        <w:rPr>
          <w:rFonts w:hint="eastAsia"/>
        </w:rPr>
        <w:fldChar w:fldCharType="end"/>
      </w:r>
    </w:p>
    <w:p w14:paraId="706B8E2D">
      <w:pPr>
        <w:pStyle w:val="93"/>
        <w:spacing w:after="468"/>
        <w:outlineLvl w:val="9"/>
      </w:pPr>
      <w:bookmarkStart w:id="23" w:name="_Toc18535"/>
      <w:bookmarkStart w:id="24" w:name="BookMark2"/>
      <w:r>
        <w:rPr>
          <w:rFonts w:hint="eastAsia"/>
          <w:spacing w:val="320"/>
        </w:rPr>
        <w:t>前</w:t>
      </w:r>
      <w:r>
        <w:rPr>
          <w:rFonts w:hint="eastAsia"/>
        </w:rPr>
        <w:t>言</w:t>
      </w:r>
      <w:bookmarkEnd w:id="16"/>
      <w:bookmarkEnd w:id="17"/>
      <w:bookmarkEnd w:id="18"/>
      <w:bookmarkEnd w:id="19"/>
      <w:bookmarkEnd w:id="20"/>
      <w:bookmarkEnd w:id="21"/>
      <w:bookmarkEnd w:id="22"/>
      <w:bookmarkEnd w:id="23"/>
    </w:p>
    <w:p w14:paraId="693A4470">
      <w:pPr>
        <w:pStyle w:val="60"/>
        <w:ind w:firstLine="420"/>
      </w:pPr>
      <w:r>
        <w:rPr>
          <w:rFonts w:hint="eastAsia"/>
        </w:rPr>
        <w:t>本文件按照GB/T 1.1—2020《标准化工作导则  第1部分：标准化文件的结构和起草规则》的规定起草。</w:t>
      </w:r>
    </w:p>
    <w:p w14:paraId="7B6072B2">
      <w:pPr>
        <w:pStyle w:val="60"/>
        <w:ind w:firstLine="420"/>
      </w:pPr>
      <w:r>
        <w:rPr>
          <w:rFonts w:hint="eastAsia"/>
        </w:rPr>
        <w:t>本文件由北京市应急管理局提出并归口。</w:t>
      </w:r>
    </w:p>
    <w:p w14:paraId="3E1D1A17">
      <w:pPr>
        <w:pStyle w:val="60"/>
        <w:ind w:firstLine="420"/>
      </w:pPr>
      <w:r>
        <w:rPr>
          <w:rFonts w:hint="eastAsia"/>
        </w:rPr>
        <w:t>本文件由北京市应急管理局组织实施。</w:t>
      </w:r>
    </w:p>
    <w:p w14:paraId="7D7EAEE8">
      <w:pPr>
        <w:pStyle w:val="60"/>
        <w:ind w:firstLine="420"/>
      </w:pPr>
      <w:r>
        <w:rPr>
          <w:rFonts w:hint="eastAsia"/>
        </w:rPr>
        <w:t>本文件起草单位：</w:t>
      </w:r>
    </w:p>
    <w:p w14:paraId="0008F039">
      <w:pPr>
        <w:pStyle w:val="60"/>
        <w:ind w:firstLine="420"/>
      </w:pPr>
      <w:r>
        <w:rPr>
          <w:rFonts w:hint="eastAsia"/>
        </w:rPr>
        <w:t>本文件主要起草人：</w:t>
      </w:r>
    </w:p>
    <w:p w14:paraId="71F46A95">
      <w:pPr>
        <w:pStyle w:val="60"/>
        <w:ind w:firstLine="420"/>
      </w:pPr>
    </w:p>
    <w:p w14:paraId="48A9D8F4">
      <w:pPr>
        <w:pStyle w:val="60"/>
        <w:ind w:firstLine="420"/>
        <w:sectPr>
          <w:pgSz w:w="11906" w:h="16838"/>
          <w:pgMar w:top="1928" w:right="1134" w:bottom="1134" w:left="1134" w:header="1418" w:footer="1134" w:gutter="284"/>
          <w:pgNumType w:fmt="upperRoman"/>
          <w:cols w:space="425" w:num="1"/>
          <w:formProt w:val="0"/>
          <w:docGrid w:type="lines" w:linePitch="312" w:charSpace="0"/>
        </w:sectPr>
      </w:pPr>
    </w:p>
    <w:bookmarkEnd w:id="24"/>
    <w:p w14:paraId="36F4F5D0">
      <w:pPr>
        <w:pStyle w:val="93"/>
        <w:spacing w:after="468"/>
      </w:pPr>
      <w:bookmarkStart w:id="25" w:name="_Toc202862037"/>
      <w:bookmarkStart w:id="26" w:name="_Toc523"/>
      <w:bookmarkStart w:id="27" w:name="_Toc211265616"/>
      <w:bookmarkStart w:id="28" w:name="_Toc175557508"/>
      <w:bookmarkStart w:id="29" w:name="_Toc206594469"/>
      <w:bookmarkStart w:id="30" w:name="_Toc26732"/>
      <w:bookmarkStart w:id="31" w:name="_Toc19458"/>
      <w:bookmarkStart w:id="32" w:name="_Toc21235"/>
      <w:bookmarkStart w:id="33" w:name="BookMark3"/>
      <w:r>
        <w:rPr>
          <w:rFonts w:hint="eastAsia"/>
          <w:spacing w:val="320"/>
        </w:rPr>
        <w:t>引</w:t>
      </w:r>
      <w:r>
        <w:rPr>
          <w:rFonts w:hint="eastAsia"/>
        </w:rPr>
        <w:t>言</w:t>
      </w:r>
      <w:bookmarkEnd w:id="25"/>
      <w:bookmarkEnd w:id="26"/>
      <w:bookmarkEnd w:id="27"/>
      <w:bookmarkEnd w:id="28"/>
      <w:bookmarkEnd w:id="29"/>
      <w:bookmarkEnd w:id="30"/>
      <w:bookmarkEnd w:id="31"/>
      <w:bookmarkEnd w:id="32"/>
    </w:p>
    <w:p w14:paraId="6E86F8FD">
      <w:pPr>
        <w:pStyle w:val="60"/>
        <w:ind w:firstLine="420"/>
      </w:pPr>
      <w:r>
        <w:rPr>
          <w:rFonts w:hint="eastAsia"/>
        </w:rPr>
        <w:t>当前，北京正处于高质量发展的关键阶段，城市功能不断集聚、系统复杂性持续提升，发展面临的内外部环境日趋复杂，灾害风险呈现隐蔽性、复杂性和联动性增强的趋势，城市安全风险防控难度加大，对城市治理体系与治理能力提出新的挑战。</w:t>
      </w:r>
    </w:p>
    <w:p w14:paraId="4B0AE63D">
      <w:pPr>
        <w:pStyle w:val="60"/>
        <w:ind w:firstLine="420"/>
      </w:pPr>
      <w:r>
        <w:rPr>
          <w:rFonts w:hint="eastAsia"/>
        </w:rPr>
        <w:t>为落实《中共中央 国务院关于推动城市高质量发展的意见》中“增强城市安全韧性”的战略要求，响应《中共中央办公厅 国务院办公厅关于持续推进城市更新行动的意见》中关于“全面提高城市韧性”的工作要求，推进《北京城市总体规划（2016—2035年）》中“提升城市韧性”的总体部署，本文件系统衔接《关于加快推进韧性城市建设的指导意见》《北京市韧性城市空间专项规划（2022年—2035年）》等文件要求，旨在指导全市各区、各部门稳步有序推进韧性城市建设工作，系统强化城市应对重大风险灾害的能力，提升城市韧性水平。</w:t>
      </w:r>
    </w:p>
    <w:p w14:paraId="7C2F9463">
      <w:pPr>
        <w:pStyle w:val="60"/>
        <w:ind w:firstLine="420"/>
        <w:rPr>
          <w:rFonts w:ascii="Times New Roman"/>
        </w:rPr>
      </w:pPr>
      <w:r>
        <w:rPr>
          <w:rFonts w:hint="eastAsia" w:ascii="Times New Roman"/>
        </w:rPr>
        <w:t>本文件依据有关法律法规及标准，结合北京市韧性城市建设现状和需求，并在广泛征求意见的基础之上制定而成。</w:t>
      </w:r>
    </w:p>
    <w:p w14:paraId="485C9F30">
      <w:pPr>
        <w:pStyle w:val="60"/>
        <w:ind w:firstLine="420"/>
        <w:sectPr>
          <w:pgSz w:w="11906" w:h="16838"/>
          <w:pgMar w:top="1928" w:right="1134" w:bottom="1134" w:left="1134" w:header="1418" w:footer="1134" w:gutter="284"/>
          <w:pgNumType w:fmt="upperRoman"/>
          <w:cols w:space="425" w:num="1"/>
          <w:formProt w:val="0"/>
          <w:docGrid w:type="lines" w:linePitch="312" w:charSpace="0"/>
        </w:sectPr>
      </w:pPr>
    </w:p>
    <w:bookmarkEnd w:id="33"/>
    <w:p w14:paraId="2453CCC8">
      <w:pPr>
        <w:spacing w:line="20" w:lineRule="exact"/>
        <w:jc w:val="center"/>
        <w:rPr>
          <w:rFonts w:hint="eastAsia" w:ascii="黑体" w:hAnsi="黑体" w:eastAsia="黑体"/>
          <w:sz w:val="32"/>
          <w:szCs w:val="32"/>
        </w:rPr>
      </w:pPr>
      <w:bookmarkStart w:id="34" w:name="BookMark4"/>
    </w:p>
    <w:p w14:paraId="3DE3CE0D">
      <w:pPr>
        <w:spacing w:line="20" w:lineRule="exact"/>
        <w:jc w:val="center"/>
        <w:rPr>
          <w:rFonts w:hint="eastAsia" w:ascii="黑体" w:hAnsi="黑体" w:eastAsia="黑体"/>
          <w:sz w:val="32"/>
          <w:szCs w:val="32"/>
        </w:rPr>
      </w:pPr>
    </w:p>
    <w:sdt>
      <w:sdtPr>
        <w:tag w:val="NEW_STAND_NAME"/>
        <w:id w:val="595910757"/>
        <w:lock w:val="sdtLocked"/>
        <w:placeholder>
          <w:docPart w:val="747FE98F422543AC83317399553870EA"/>
        </w:placeholder>
      </w:sdtPr>
      <w:sdtContent>
        <w:p w14:paraId="6764A7CE">
          <w:pPr>
            <w:pStyle w:val="181"/>
            <w:spacing w:before="3" w:beforeLines="1" w:after="686" w:afterLines="220"/>
            <w:rPr>
              <w:rFonts w:hint="eastAsia"/>
            </w:rPr>
          </w:pPr>
          <w:bookmarkStart w:id="35" w:name="NEW_STAND_NAME"/>
          <w:r>
            <w:rPr>
              <w:rFonts w:hint="eastAsia"/>
            </w:rPr>
            <w:t>韧性城市建设指南</w:t>
          </w:r>
        </w:p>
      </w:sdtContent>
    </w:sdt>
    <w:bookmarkEnd w:id="35"/>
    <w:p w14:paraId="1B8676EF">
      <w:pPr>
        <w:pStyle w:val="108"/>
        <w:spacing w:before="312" w:after="312"/>
      </w:pPr>
      <w:bookmarkStart w:id="36" w:name="_Toc97191423"/>
      <w:bookmarkStart w:id="37" w:name="_Toc211265617"/>
      <w:bookmarkStart w:id="38" w:name="_Toc175236559"/>
      <w:bookmarkStart w:id="39" w:name="_Toc26648465"/>
      <w:bookmarkStart w:id="40" w:name="_Toc175236176"/>
      <w:bookmarkStart w:id="41" w:name="_Toc17233333"/>
      <w:bookmarkStart w:id="42" w:name="_Toc26986530"/>
      <w:bookmarkStart w:id="43" w:name="_Toc206594470"/>
      <w:bookmarkStart w:id="44" w:name="_Toc24884211"/>
      <w:bookmarkStart w:id="45" w:name="_Toc13704"/>
      <w:bookmarkStart w:id="46" w:name="_Toc26718930"/>
      <w:bookmarkStart w:id="47" w:name="_Toc202862038"/>
      <w:bookmarkStart w:id="48" w:name="_Toc17233325"/>
      <w:bookmarkStart w:id="49" w:name="_Toc29231"/>
      <w:bookmarkStart w:id="50" w:name="_Toc175557509"/>
      <w:bookmarkStart w:id="51" w:name="_Toc4874"/>
      <w:bookmarkStart w:id="52" w:name="_Toc24884218"/>
      <w:bookmarkStart w:id="53" w:name="_Toc18728"/>
      <w:bookmarkStart w:id="54" w:name="_Toc26986771"/>
      <w:r>
        <w:rPr>
          <w:rFonts w:hint="eastAsia"/>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8D7449">
      <w:pPr>
        <w:pStyle w:val="60"/>
        <w:ind w:firstLine="420"/>
      </w:pPr>
      <w:bookmarkStart w:id="55" w:name="_Toc24884219"/>
      <w:bookmarkStart w:id="56" w:name="_Toc17233326"/>
      <w:bookmarkStart w:id="57" w:name="_Toc26648466"/>
      <w:bookmarkStart w:id="58" w:name="_Toc24884212"/>
      <w:bookmarkStart w:id="59" w:name="_Toc17233334"/>
      <w:r>
        <w:rPr>
          <w:rFonts w:hint="eastAsia"/>
        </w:rPr>
        <w:t>本文件确立了韧性城市建设的建设原则，提供了建设内容和建设过程等方面的信息和指导。</w:t>
      </w:r>
    </w:p>
    <w:p w14:paraId="1DB2D69C">
      <w:pPr>
        <w:pStyle w:val="60"/>
        <w:ind w:firstLine="420"/>
      </w:pPr>
      <w:r>
        <w:rPr>
          <w:rFonts w:hint="eastAsia"/>
        </w:rPr>
        <w:t>本文件适用于指导全市各类相关组织开展韧性城市建设。</w:t>
      </w:r>
    </w:p>
    <w:p w14:paraId="70DFDA16">
      <w:pPr>
        <w:pStyle w:val="108"/>
        <w:spacing w:before="312" w:after="312"/>
      </w:pPr>
      <w:bookmarkStart w:id="60" w:name="_Toc6464"/>
      <w:bookmarkStart w:id="61" w:name="_Toc12654"/>
      <w:bookmarkStart w:id="62" w:name="_Toc26986772"/>
      <w:bookmarkStart w:id="63" w:name="_Toc211265618"/>
      <w:bookmarkStart w:id="64" w:name="_Toc175236560"/>
      <w:bookmarkStart w:id="65" w:name="_Toc206594471"/>
      <w:bookmarkStart w:id="66" w:name="_Toc202862039"/>
      <w:bookmarkStart w:id="67" w:name="_Toc97191424"/>
      <w:bookmarkStart w:id="68" w:name="_Toc26718931"/>
      <w:bookmarkStart w:id="69" w:name="_Toc175236177"/>
      <w:bookmarkStart w:id="70" w:name="_Toc26986531"/>
      <w:bookmarkStart w:id="71" w:name="_Toc16291"/>
      <w:bookmarkStart w:id="72" w:name="_Toc26041"/>
      <w:bookmarkStart w:id="73" w:name="_Toc175557510"/>
      <w:r>
        <w:rPr>
          <w:rFonts w:hint="eastAsia"/>
        </w:rPr>
        <w:t>规范性引用文件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sdt>
      <w:sdtPr>
        <w:rPr>
          <w:rFonts w:hint="eastAsia"/>
        </w:rPr>
        <w:id w:val="715848253"/>
        <w:placeholder>
          <w:docPart w:val="9B683409A0434ACAB3C76C0C6348183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6BE7FC4">
          <w:pPr>
            <w:pStyle w:val="60"/>
            <w:ind w:firstLine="420"/>
          </w:pPr>
          <w:r>
            <w:rPr>
              <w:rFonts w:hint="eastAsia"/>
            </w:rPr>
            <w:t>本文件没有规范性引用文件。</w:t>
          </w:r>
        </w:p>
      </w:sdtContent>
    </w:sdt>
    <w:p w14:paraId="6538731E">
      <w:pPr>
        <w:pStyle w:val="108"/>
        <w:spacing w:before="312" w:after="312"/>
      </w:pPr>
      <w:bookmarkStart w:id="74" w:name="_Toc211265619"/>
      <w:bookmarkStart w:id="75" w:name="_Toc175236561"/>
      <w:bookmarkStart w:id="76" w:name="_Toc97191425"/>
      <w:bookmarkStart w:id="77" w:name="_Toc175236178"/>
      <w:bookmarkStart w:id="78" w:name="_Toc206594472"/>
      <w:bookmarkStart w:id="79" w:name="_Toc32764"/>
      <w:bookmarkStart w:id="80" w:name="_Toc12953"/>
      <w:bookmarkStart w:id="81" w:name="_Toc202862040"/>
      <w:bookmarkStart w:id="82" w:name="_Toc20650"/>
      <w:bookmarkStart w:id="83" w:name="_Toc32157"/>
      <w:bookmarkStart w:id="84" w:name="_Toc175557511"/>
      <w:r>
        <w:rPr>
          <w:rFonts w:hint="eastAsia"/>
          <w:szCs w:val="21"/>
        </w:rPr>
        <w:t>术语和定义</w:t>
      </w:r>
      <w:bookmarkEnd w:id="74"/>
      <w:bookmarkEnd w:id="75"/>
      <w:bookmarkEnd w:id="76"/>
      <w:bookmarkEnd w:id="77"/>
      <w:bookmarkEnd w:id="78"/>
      <w:bookmarkEnd w:id="79"/>
      <w:bookmarkEnd w:id="80"/>
      <w:bookmarkEnd w:id="81"/>
      <w:bookmarkEnd w:id="82"/>
      <w:bookmarkEnd w:id="83"/>
      <w:bookmarkEnd w:id="84"/>
    </w:p>
    <w:sdt>
      <w:sdtPr>
        <w:id w:val="-1"/>
        <w:placeholder>
          <w:docPart w:val="A4108495BBC34E49BC8B675B8C4B129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1A53BD6">
          <w:pPr>
            <w:pStyle w:val="60"/>
            <w:ind w:firstLine="420"/>
          </w:pPr>
          <w:bookmarkStart w:id="85" w:name="_Toc26986532"/>
          <w:bookmarkEnd w:id="85"/>
          <w:r>
            <w:t>下列术语和定义适用于本文件。</w:t>
          </w:r>
        </w:p>
      </w:sdtContent>
    </w:sdt>
    <w:p w14:paraId="7AF556D5">
      <w:pPr>
        <w:pStyle w:val="227"/>
        <w:ind w:left="420" w:hanging="420" w:hangingChars="200"/>
        <w:rPr>
          <w:rFonts w:hint="eastAsia" w:ascii="黑体" w:hAnsi="黑体" w:eastAsia="黑体"/>
        </w:rPr>
      </w:pPr>
    </w:p>
    <w:p w14:paraId="31111E45">
      <w:pPr>
        <w:pStyle w:val="227"/>
        <w:numPr>
          <w:ilvl w:val="0"/>
          <w:numId w:val="0"/>
        </w:numPr>
        <w:spacing w:before="157" w:beforeLines="50" w:after="157" w:afterLines="50"/>
        <w:ind w:left="420"/>
        <w:rPr>
          <w:rFonts w:hint="eastAsia" w:ascii="黑体" w:hAnsi="黑体" w:eastAsia="黑体"/>
        </w:rPr>
      </w:pPr>
      <w:r>
        <w:rPr>
          <w:rFonts w:hint="eastAsia" w:ascii="黑体" w:hAnsi="黑体" w:eastAsia="黑体"/>
        </w:rPr>
        <w:t>韧性城市 resilient city</w:t>
      </w:r>
    </w:p>
    <w:p w14:paraId="78C2FE53">
      <w:pPr>
        <w:pStyle w:val="60"/>
        <w:ind w:firstLine="420"/>
      </w:pPr>
      <w:r>
        <w:rPr>
          <w:rFonts w:hint="eastAsia"/>
        </w:rPr>
        <w:t>具备在重大风险灾害中的承受、适应和恢复能力的城市。</w:t>
      </w:r>
    </w:p>
    <w:p w14:paraId="6BA3BE5F">
      <w:pPr>
        <w:pStyle w:val="60"/>
        <w:ind w:firstLine="420"/>
      </w:pPr>
      <w:r>
        <w:rPr>
          <w:rFonts w:hint="eastAsia"/>
        </w:rPr>
        <w:t>[来源：GB/T 40947-2021，3.1，有修改]</w:t>
      </w:r>
    </w:p>
    <w:p w14:paraId="03CB250C">
      <w:pPr>
        <w:pStyle w:val="108"/>
        <w:spacing w:before="312" w:after="312"/>
      </w:pPr>
      <w:bookmarkStart w:id="86" w:name="_Toc4089"/>
      <w:bookmarkStart w:id="87" w:name="_Toc19173"/>
      <w:bookmarkStart w:id="88" w:name="_Toc28950"/>
      <w:bookmarkStart w:id="89" w:name="_Toc211265625"/>
      <w:bookmarkStart w:id="90" w:name="_Toc206594478"/>
      <w:bookmarkStart w:id="91" w:name="_Toc175557517"/>
      <w:bookmarkStart w:id="92" w:name="_Toc175236567"/>
      <w:bookmarkStart w:id="93" w:name="_Toc202862046"/>
      <w:bookmarkStart w:id="94" w:name="_Toc8397"/>
      <w:r>
        <w:rPr>
          <w:rFonts w:hint="eastAsia"/>
        </w:rPr>
        <w:t>建设原则</w:t>
      </w:r>
      <w:bookmarkEnd w:id="86"/>
      <w:bookmarkEnd w:id="87"/>
      <w:bookmarkEnd w:id="88"/>
    </w:p>
    <w:p w14:paraId="2358EB71">
      <w:pPr>
        <w:pStyle w:val="109"/>
        <w:spacing w:before="156" w:after="156"/>
      </w:pPr>
      <w:bookmarkStart w:id="95" w:name="_Toc24531"/>
      <w:r>
        <w:rPr>
          <w:rFonts w:hint="eastAsia"/>
        </w:rPr>
        <w:t>多元备份、适度提标</w:t>
      </w:r>
      <w:bookmarkEnd w:id="95"/>
    </w:p>
    <w:p w14:paraId="254D1CBA">
      <w:pPr>
        <w:pStyle w:val="109"/>
        <w:numPr>
          <w:ilvl w:val="255"/>
          <w:numId w:val="0"/>
        </w:numPr>
        <w:spacing w:before="156" w:after="156"/>
        <w:ind w:firstLine="420" w:firstLineChars="200"/>
        <w:rPr>
          <w:rFonts w:ascii="宋体" w:eastAsia="宋体"/>
        </w:rPr>
      </w:pPr>
      <w:bookmarkStart w:id="96" w:name="_Toc1133"/>
      <w:r>
        <w:rPr>
          <w:rFonts w:hint="eastAsia" w:ascii="宋体" w:eastAsia="宋体"/>
        </w:rPr>
        <w:t>立足北京城市空间结构，推动多水源、多能源通道布局规划，建设安全可靠的城市生命线工程，结合重大风险灾害和地理环境特点，分区域适度提高建筑和生命线设施建设标准。</w:t>
      </w:r>
      <w:bookmarkEnd w:id="96"/>
    </w:p>
    <w:p w14:paraId="1A53DAC6">
      <w:pPr>
        <w:pStyle w:val="109"/>
        <w:spacing w:before="156" w:after="156"/>
      </w:pPr>
      <w:bookmarkStart w:id="97" w:name="_Toc13788"/>
      <w:r>
        <w:rPr>
          <w:rFonts w:hint="eastAsia"/>
        </w:rPr>
        <w:t>平急结合、急时好用</w:t>
      </w:r>
      <w:bookmarkEnd w:id="97"/>
    </w:p>
    <w:p w14:paraId="1DFC912F">
      <w:pPr>
        <w:pStyle w:val="109"/>
        <w:numPr>
          <w:ilvl w:val="255"/>
          <w:numId w:val="0"/>
        </w:numPr>
        <w:spacing w:before="156" w:after="156"/>
        <w:ind w:firstLine="420" w:firstLineChars="200"/>
        <w:outlineLvl w:val="9"/>
        <w:rPr>
          <w:rFonts w:ascii="宋体" w:eastAsia="宋体"/>
          <w:lang w:bidi="ar"/>
        </w:rPr>
      </w:pPr>
      <w:bookmarkStart w:id="98" w:name="_Toc11974"/>
      <w:r>
        <w:rPr>
          <w:rFonts w:hint="eastAsia" w:ascii="宋体" w:eastAsia="宋体"/>
          <w:lang w:bidi="ar"/>
        </w:rPr>
        <w:t>聚焦重大风险灾害应对，优化应急避难、消防、警务、应急医疗、人民防空设施布局</w:t>
      </w:r>
      <w:r>
        <w:rPr>
          <w:rFonts w:hint="eastAsia" w:ascii="宋体" w:eastAsia="宋体"/>
          <w:lang w:eastAsia="zh-CN" w:bidi="ar"/>
        </w:rPr>
        <w:t>，</w:t>
      </w:r>
      <w:r>
        <w:rPr>
          <w:rFonts w:hint="eastAsia" w:ascii="宋体" w:eastAsia="宋体"/>
          <w:lang w:bidi="ar"/>
        </w:rPr>
        <w:t>嵌入防灾、防疫等应急功能，建设平急两用的公共</w:t>
      </w:r>
      <w:r>
        <w:rPr>
          <w:rFonts w:hint="eastAsia" w:ascii="宋体" w:eastAsia="宋体"/>
          <w:lang w:val="en-US" w:eastAsia="zh-CN" w:bidi="ar"/>
        </w:rPr>
        <w:t>基础</w:t>
      </w:r>
      <w:r>
        <w:rPr>
          <w:rFonts w:hint="eastAsia" w:ascii="宋体" w:eastAsia="宋体"/>
          <w:lang w:bidi="ar"/>
        </w:rPr>
        <w:t>设施，加强重大风险灾害下的快速转换能力。</w:t>
      </w:r>
      <w:bookmarkEnd w:id="98"/>
    </w:p>
    <w:p w14:paraId="7D5A74D6">
      <w:pPr>
        <w:pStyle w:val="109"/>
        <w:spacing w:before="156" w:after="156"/>
      </w:pPr>
      <w:bookmarkStart w:id="99" w:name="_Toc7063"/>
      <w:r>
        <w:rPr>
          <w:rFonts w:hint="eastAsia"/>
        </w:rPr>
        <w:t>内外结合、区域协同</w:t>
      </w:r>
      <w:bookmarkEnd w:id="99"/>
    </w:p>
    <w:p w14:paraId="124141DC">
      <w:pPr>
        <w:pStyle w:val="109"/>
        <w:numPr>
          <w:ilvl w:val="255"/>
          <w:numId w:val="0"/>
        </w:numPr>
        <w:spacing w:before="156" w:after="156"/>
        <w:ind w:firstLine="420" w:firstLineChars="200"/>
        <w:outlineLvl w:val="9"/>
        <w:rPr>
          <w:rFonts w:ascii="宋体" w:eastAsia="宋体"/>
          <w:lang w:bidi="ar"/>
        </w:rPr>
      </w:pPr>
      <w:bookmarkStart w:id="100" w:name="_Toc4329"/>
      <w:r>
        <w:rPr>
          <w:rFonts w:hint="eastAsia" w:ascii="宋体" w:eastAsia="宋体"/>
          <w:lang w:bidi="ar"/>
        </w:rPr>
        <w:t>协同央地、军地和京津冀区域资源，构建重大风险灾害应急指挥和应对体系。开展数智化信息网络、指挥场所、救援装备建设，建设以消防队伍为骨干的专常兼备应急救援力量，发展各领域专业救援力量、基层救援力量和社会救援力量。整合政府、市场和社会资源，建设共建共治共享的社会韧性网络。</w:t>
      </w:r>
      <w:bookmarkEnd w:id="100"/>
    </w:p>
    <w:p w14:paraId="6C88622C">
      <w:pPr>
        <w:pStyle w:val="109"/>
        <w:spacing w:before="156" w:after="156"/>
        <w:rPr>
          <w:lang w:bidi="ar"/>
        </w:rPr>
      </w:pPr>
      <w:bookmarkStart w:id="101" w:name="_Toc30288"/>
      <w:r>
        <w:rPr>
          <w:rFonts w:hint="eastAsia"/>
        </w:rPr>
        <w:t>分散灵活、动态适应</w:t>
      </w:r>
      <w:bookmarkEnd w:id="101"/>
    </w:p>
    <w:p w14:paraId="472B163D">
      <w:pPr>
        <w:pStyle w:val="109"/>
        <w:numPr>
          <w:ilvl w:val="2"/>
          <w:numId w:val="0"/>
        </w:numPr>
        <w:spacing w:before="156" w:after="156"/>
        <w:ind w:firstLine="420"/>
        <w:outlineLvl w:val="9"/>
        <w:rPr>
          <w:rFonts w:ascii="宋体" w:eastAsia="宋体"/>
          <w:lang w:bidi="ar"/>
        </w:rPr>
      </w:pPr>
      <w:bookmarkStart w:id="102" w:name="_Toc19444"/>
      <w:r>
        <w:rPr>
          <w:rFonts w:hint="eastAsia" w:ascii="宋体" w:eastAsia="宋体"/>
          <w:lang w:bidi="ar"/>
        </w:rPr>
        <w:t>以韧性城市组团为基础，推动应急指挥、应急通信、应急供水、应急能源、应急避难、应急医疗、应急物资等重要设施规划建设，分类型开展韧性街镇单元风险</w:t>
      </w:r>
      <w:r>
        <w:rPr>
          <w:rFonts w:hint="eastAsia" w:ascii="宋体" w:eastAsia="宋体"/>
          <w:lang w:val="en-US" w:eastAsia="zh-CN" w:bidi="ar"/>
        </w:rPr>
        <w:t>防控和隐患排查</w:t>
      </w:r>
      <w:r>
        <w:rPr>
          <w:rFonts w:hint="eastAsia" w:ascii="宋体" w:eastAsia="宋体"/>
          <w:lang w:bidi="ar"/>
        </w:rPr>
        <w:t>，提升韧性社村生活圈平急快速转换、紧急救援安置、应急指挥调度等自适应能力。</w:t>
      </w:r>
      <w:bookmarkEnd w:id="102"/>
    </w:p>
    <w:bookmarkEnd w:id="89"/>
    <w:bookmarkEnd w:id="90"/>
    <w:p w14:paraId="5B00FD7F">
      <w:pPr>
        <w:pStyle w:val="108"/>
        <w:spacing w:before="312" w:after="312"/>
      </w:pPr>
      <w:bookmarkStart w:id="103" w:name="_Toc30634"/>
      <w:bookmarkStart w:id="104" w:name="_Toc211265630"/>
      <w:bookmarkStart w:id="105" w:name="_Toc3943"/>
      <w:bookmarkStart w:id="106" w:name="_Toc16288"/>
      <w:bookmarkStart w:id="107" w:name="_Toc206594483"/>
      <w:r>
        <w:rPr>
          <w:rFonts w:hint="eastAsia"/>
        </w:rPr>
        <w:t>建设</w:t>
      </w:r>
      <w:bookmarkEnd w:id="91"/>
      <w:bookmarkEnd w:id="92"/>
      <w:bookmarkEnd w:id="93"/>
      <w:r>
        <w:rPr>
          <w:rFonts w:hint="eastAsia"/>
        </w:rPr>
        <w:t>内容</w:t>
      </w:r>
      <w:bookmarkEnd w:id="94"/>
      <w:bookmarkEnd w:id="103"/>
      <w:bookmarkEnd w:id="104"/>
      <w:bookmarkEnd w:id="105"/>
      <w:bookmarkEnd w:id="106"/>
      <w:bookmarkEnd w:id="107"/>
    </w:p>
    <w:p w14:paraId="5009DB16">
      <w:pPr>
        <w:pStyle w:val="109"/>
        <w:spacing w:before="156" w:after="156"/>
      </w:pPr>
      <w:bookmarkStart w:id="108" w:name="_Toc30302"/>
      <w:bookmarkStart w:id="109" w:name="_Toc29713"/>
      <w:bookmarkStart w:id="110" w:name="_Toc206594489"/>
      <w:bookmarkStart w:id="111" w:name="_Toc14787"/>
      <w:r>
        <w:rPr>
          <w:rFonts w:hint="eastAsia"/>
        </w:rPr>
        <w:t>城市生命线工程</w:t>
      </w:r>
      <w:bookmarkEnd w:id="108"/>
      <w:bookmarkEnd w:id="109"/>
    </w:p>
    <w:p w14:paraId="2526AEB0">
      <w:pPr>
        <w:pStyle w:val="169"/>
        <w:ind w:left="0"/>
      </w:pPr>
      <w:bookmarkStart w:id="112" w:name="_Toc24547"/>
      <w:r>
        <w:rPr>
          <w:rFonts w:hint="eastAsia"/>
        </w:rPr>
        <w:t>水源保障输配工程</w:t>
      </w:r>
      <w:bookmarkEnd w:id="112"/>
      <w:r>
        <w:rPr>
          <w:rFonts w:hint="eastAsia"/>
        </w:rPr>
        <w:t>，建设内容包括但不限于下列：</w:t>
      </w:r>
    </w:p>
    <w:p w14:paraId="58086BA8">
      <w:pPr>
        <w:pStyle w:val="178"/>
      </w:pPr>
      <w:r>
        <w:t>外部水源通道</w:t>
      </w:r>
      <w:r>
        <w:rPr>
          <w:rFonts w:hint="eastAsia"/>
        </w:rPr>
        <w:t>。外部水源中南水北调中线北京段应具备扩能条件，预留南水北调东线干线北京段进京通道；</w:t>
      </w:r>
    </w:p>
    <w:p w14:paraId="5616DE14">
      <w:pPr>
        <w:pStyle w:val="178"/>
      </w:pPr>
      <w:r>
        <w:t>战略水源储备</w:t>
      </w:r>
      <w:r>
        <w:rPr>
          <w:rFonts w:hint="eastAsia"/>
        </w:rPr>
        <w:t>：</w:t>
      </w:r>
    </w:p>
    <w:p w14:paraId="46527B22">
      <w:pPr>
        <w:pStyle w:val="113"/>
      </w:pPr>
      <w:r>
        <w:rPr>
          <w:rFonts w:hint="eastAsia"/>
        </w:rPr>
        <w:t>战略水源储备采用分布式布局，对重要地表水源地实施全封闭管理；</w:t>
      </w:r>
    </w:p>
    <w:p w14:paraId="654AA755">
      <w:pPr>
        <w:pStyle w:val="113"/>
      </w:pPr>
      <w:r>
        <w:rPr>
          <w:rFonts w:hint="eastAsia"/>
        </w:rPr>
        <w:t>通过地下水储备区回补与河湖生态补水，保障“五区四库”的战略储备水量；</w:t>
      </w:r>
    </w:p>
    <w:p w14:paraId="7C025BDD">
      <w:pPr>
        <w:pStyle w:val="183"/>
      </w:pPr>
      <w:r>
        <w:rPr>
          <w:rFonts w:hint="eastAsia"/>
        </w:rPr>
        <w:t>“五区四库”是指密怀顺、西郊、平谷、昌平、房山五处地下水储备区和密云、官厅、怀柔、白河堡四座地表水源水库。</w:t>
      </w:r>
    </w:p>
    <w:p w14:paraId="018B3463">
      <w:pPr>
        <w:pStyle w:val="113"/>
      </w:pPr>
      <w:r>
        <w:rPr>
          <w:rFonts w:hint="eastAsia"/>
        </w:rPr>
        <w:t>管控战略水源地污染源。</w:t>
      </w:r>
    </w:p>
    <w:p w14:paraId="54655A42">
      <w:pPr>
        <w:pStyle w:val="178"/>
      </w:pPr>
      <w:r>
        <w:rPr>
          <w:rFonts w:hint="eastAsia"/>
        </w:rPr>
        <w:t>水资源调配系统：</w:t>
      </w:r>
    </w:p>
    <w:p w14:paraId="4F447AD5">
      <w:pPr>
        <w:pStyle w:val="113"/>
      </w:pPr>
      <w:r>
        <w:rPr>
          <w:rFonts w:hint="eastAsia"/>
        </w:rPr>
        <w:t>构建网络化调配系统，建设第二输水水源环线及向外放射性支线、水厂的连接线；</w:t>
      </w:r>
    </w:p>
    <w:p w14:paraId="11290F0E">
      <w:pPr>
        <w:pStyle w:val="113"/>
      </w:pPr>
      <w:r>
        <w:rPr>
          <w:rFonts w:hint="eastAsia"/>
        </w:rPr>
        <w:t>骨干地表水厂具备多水源、多通道供水条件；</w:t>
      </w:r>
    </w:p>
    <w:p w14:paraId="6F333F1C">
      <w:pPr>
        <w:pStyle w:val="113"/>
      </w:pPr>
      <w:r>
        <w:rPr>
          <w:rFonts w:hint="eastAsia"/>
        </w:rPr>
        <w:t>划定输水干线走廊工程管理保护范围，消除输水干线走廊内违法建设、违法占地、违法施工等影响廊道安全行为。</w:t>
      </w:r>
    </w:p>
    <w:p w14:paraId="1C0909C3">
      <w:pPr>
        <w:pStyle w:val="178"/>
      </w:pPr>
      <w:r>
        <w:rPr>
          <w:rFonts w:hint="eastAsia"/>
        </w:rPr>
        <w:t>应急水源保障：</w:t>
      </w:r>
    </w:p>
    <w:p w14:paraId="21C84998">
      <w:pPr>
        <w:pStyle w:val="113"/>
      </w:pPr>
      <w:r>
        <w:rPr>
          <w:rFonts w:hint="eastAsia"/>
        </w:rPr>
        <w:t>地下水储备区预留战略水源井的井位与管线路由；</w:t>
      </w:r>
    </w:p>
    <w:p w14:paraId="1BBC1833">
      <w:pPr>
        <w:pStyle w:val="113"/>
      </w:pPr>
      <w:r>
        <w:rPr>
          <w:rFonts w:hint="eastAsia"/>
        </w:rPr>
        <w:t>关键应急输水管线保持有效连通状态；</w:t>
      </w:r>
    </w:p>
    <w:p w14:paraId="19F9170D">
      <w:pPr>
        <w:pStyle w:val="113"/>
      </w:pPr>
      <w:r>
        <w:rPr>
          <w:rFonts w:hint="eastAsia"/>
        </w:rPr>
        <w:t>应急水源具备快速开采与输配能力。</w:t>
      </w:r>
    </w:p>
    <w:p w14:paraId="03F5FBE2">
      <w:pPr>
        <w:pStyle w:val="178"/>
      </w:pPr>
      <w:r>
        <w:rPr>
          <w:rFonts w:hint="eastAsia"/>
        </w:rPr>
        <w:t>水源调蓄设施：</w:t>
      </w:r>
    </w:p>
    <w:p w14:paraId="0ECCBC62">
      <w:pPr>
        <w:pStyle w:val="113"/>
      </w:pPr>
      <w:r>
        <w:rPr>
          <w:rFonts w:hint="eastAsia"/>
        </w:rPr>
        <w:t>结合流域关键防洪工程规划实施，对区域内水库纳入年内调节库进行论证；</w:t>
      </w:r>
    </w:p>
    <w:p w14:paraId="5F63C6AE">
      <w:pPr>
        <w:pStyle w:val="113"/>
      </w:pPr>
      <w:r>
        <w:rPr>
          <w:rFonts w:hint="eastAsia"/>
        </w:rPr>
        <w:t>配套地表水厂厂前调蓄设施建设，预留应急情况水源切换时间，具备多级联动与调蓄功能。</w:t>
      </w:r>
    </w:p>
    <w:p w14:paraId="11C9DB34">
      <w:pPr>
        <w:pStyle w:val="178"/>
      </w:pPr>
      <w:r>
        <w:rPr>
          <w:rFonts w:hint="eastAsia"/>
        </w:rPr>
        <w:t>供水设施：</w:t>
      </w:r>
    </w:p>
    <w:p w14:paraId="07EB1324">
      <w:pPr>
        <w:pStyle w:val="113"/>
      </w:pPr>
      <w:r>
        <w:rPr>
          <w:rFonts w:hint="eastAsia"/>
        </w:rPr>
        <w:t>配置应急水源（井）、小型净水设施、供水车等设施；</w:t>
      </w:r>
    </w:p>
    <w:p w14:paraId="6049F6DC">
      <w:pPr>
        <w:pStyle w:val="113"/>
      </w:pPr>
      <w:r>
        <w:rPr>
          <w:rFonts w:hint="eastAsia"/>
        </w:rPr>
        <w:t>建设专业抢修站点，改造提升重点供水厂站的保障运行能力；</w:t>
      </w:r>
    </w:p>
    <w:p w14:paraId="10904B43">
      <w:pPr>
        <w:pStyle w:val="113"/>
      </w:pPr>
      <w:r>
        <w:rPr>
          <w:rFonts w:hint="eastAsia"/>
        </w:rPr>
        <w:t>设施建设宜符合防洪、抗震、应急储备调度相关要求。</w:t>
      </w:r>
    </w:p>
    <w:p w14:paraId="0AA40E0D">
      <w:pPr>
        <w:pStyle w:val="169"/>
        <w:ind w:left="0"/>
      </w:pPr>
      <w:bookmarkStart w:id="113" w:name="_Toc600"/>
      <w:r>
        <w:rPr>
          <w:rFonts w:hint="eastAsia"/>
        </w:rPr>
        <w:t>电力供应工程</w:t>
      </w:r>
      <w:bookmarkEnd w:id="113"/>
      <w:r>
        <w:rPr>
          <w:rFonts w:hint="eastAsia"/>
        </w:rPr>
        <w:t>，建设内容包括但不限于下列：</w:t>
      </w:r>
    </w:p>
    <w:p w14:paraId="52BBD1DA">
      <w:pPr>
        <w:pStyle w:val="178"/>
        <w:numPr>
          <w:ilvl w:val="0"/>
          <w:numId w:val="32"/>
        </w:numPr>
        <w:outlineLvl w:val="4"/>
      </w:pPr>
      <w:bookmarkStart w:id="114" w:name="_Toc27449"/>
      <w:r>
        <w:rPr>
          <w:rFonts w:hint="eastAsia"/>
        </w:rPr>
        <w:t>电源支撑</w:t>
      </w:r>
      <w:r>
        <w:rPr>
          <w:rFonts w:hint="eastAsia" w:ascii="Times New Roman"/>
        </w:rPr>
        <w:t>：</w:t>
      </w:r>
      <w:bookmarkEnd w:id="114"/>
    </w:p>
    <w:p w14:paraId="0A6E7CD4">
      <w:pPr>
        <w:pStyle w:val="113"/>
        <w:numPr>
          <w:ilvl w:val="1"/>
          <w:numId w:val="33"/>
        </w:numPr>
      </w:pPr>
      <w:r>
        <w:rPr>
          <w:rFonts w:hint="eastAsia"/>
        </w:rPr>
        <w:t>引入外埠电力，对接外部绿色能源基地；</w:t>
      </w:r>
    </w:p>
    <w:p w14:paraId="4BB78251">
      <w:pPr>
        <w:pStyle w:val="113"/>
        <w:numPr>
          <w:ilvl w:val="1"/>
          <w:numId w:val="33"/>
        </w:numPr>
      </w:pPr>
      <w:r>
        <w:rPr>
          <w:rFonts w:hint="eastAsia"/>
        </w:rPr>
        <w:t>引入环京电源，保障电源保障能力达到规定比例。</w:t>
      </w:r>
    </w:p>
    <w:p w14:paraId="5A0F4B32">
      <w:pPr>
        <w:pStyle w:val="178"/>
        <w:numPr>
          <w:ilvl w:val="0"/>
          <w:numId w:val="34"/>
        </w:numPr>
        <w:outlineLvl w:val="4"/>
      </w:pPr>
      <w:bookmarkStart w:id="115" w:name="_Toc17673"/>
      <w:r>
        <w:rPr>
          <w:rFonts w:hint="eastAsia"/>
        </w:rPr>
        <w:t>电网架结构</w:t>
      </w:r>
      <w:r>
        <w:rPr>
          <w:rFonts w:hint="eastAsia" w:ascii="Times New Roman"/>
        </w:rPr>
        <w:t>：</w:t>
      </w:r>
      <w:bookmarkEnd w:id="115"/>
    </w:p>
    <w:p w14:paraId="17C49AFA">
      <w:pPr>
        <w:pStyle w:val="113"/>
        <w:numPr>
          <w:ilvl w:val="1"/>
          <w:numId w:val="35"/>
        </w:numPr>
      </w:pPr>
      <w:r>
        <w:rPr>
          <w:rFonts w:hint="eastAsia"/>
        </w:rPr>
        <w:t>主干网依托国家1000kV特高压及500kV网架；</w:t>
      </w:r>
    </w:p>
    <w:p w14:paraId="6C7A2C2E">
      <w:pPr>
        <w:pStyle w:val="113"/>
        <w:numPr>
          <w:ilvl w:val="1"/>
          <w:numId w:val="35"/>
        </w:numPr>
      </w:pPr>
      <w:r>
        <w:rPr>
          <w:rFonts w:hint="eastAsia"/>
        </w:rPr>
        <w:t>分区电网采用220kV分区结构；</w:t>
      </w:r>
    </w:p>
    <w:p w14:paraId="25FDC5DE">
      <w:pPr>
        <w:pStyle w:val="113"/>
        <w:numPr>
          <w:ilvl w:val="1"/>
          <w:numId w:val="35"/>
        </w:numPr>
      </w:pPr>
      <w:r>
        <w:rPr>
          <w:rFonts w:hint="eastAsia"/>
        </w:rPr>
        <w:t>110kV变电站具备高比例的双方向电源；</w:t>
      </w:r>
    </w:p>
    <w:p w14:paraId="139C9185">
      <w:pPr>
        <w:pStyle w:val="113"/>
        <w:numPr>
          <w:ilvl w:val="1"/>
          <w:numId w:val="35"/>
        </w:numPr>
      </w:pPr>
      <w:r>
        <w:rPr>
          <w:rFonts w:hint="eastAsia"/>
        </w:rPr>
        <w:t>满足“</w:t>
      </w:r>
      <w:r>
        <w:t>N-1”</w:t>
      </w:r>
      <w:r>
        <w:rPr>
          <w:rFonts w:hint="eastAsia"/>
        </w:rPr>
        <w:t>安全运行要求，重点地区满足“</w:t>
      </w:r>
      <w:r>
        <w:t>N-2”</w:t>
      </w:r>
      <w:r>
        <w:rPr>
          <w:rFonts w:hint="eastAsia"/>
        </w:rPr>
        <w:t>安全运行要求。</w:t>
      </w:r>
    </w:p>
    <w:p w14:paraId="788753CF">
      <w:pPr>
        <w:pStyle w:val="178"/>
        <w:numPr>
          <w:ilvl w:val="0"/>
          <w:numId w:val="34"/>
        </w:numPr>
        <w:outlineLvl w:val="4"/>
      </w:pPr>
      <w:bookmarkStart w:id="116" w:name="_Toc10932"/>
      <w:r>
        <w:rPr>
          <w:rFonts w:hint="eastAsia"/>
        </w:rPr>
        <w:t>重点区域及重要用户供电保障：</w:t>
      </w:r>
      <w:bookmarkEnd w:id="116"/>
    </w:p>
    <w:p w14:paraId="7AA72AC0">
      <w:pPr>
        <w:pStyle w:val="113"/>
        <w:numPr>
          <w:ilvl w:val="1"/>
          <w:numId w:val="36"/>
        </w:numPr>
      </w:pPr>
      <w:r>
        <w:rPr>
          <w:rFonts w:hint="eastAsia"/>
        </w:rPr>
        <w:t>采用多电源供电、高可靠性接线方式，配置自备应急电源；</w:t>
      </w:r>
    </w:p>
    <w:p w14:paraId="7A200002">
      <w:pPr>
        <w:pStyle w:val="113"/>
        <w:numPr>
          <w:ilvl w:val="1"/>
          <w:numId w:val="36"/>
        </w:numPr>
      </w:pPr>
      <w:r>
        <w:rPr>
          <w:rFonts w:hint="eastAsia"/>
        </w:rPr>
        <w:t>山区电网薄弱区域通过变电站升压等工程加强配网骨干生命线建设，保障35kV及以上电网的可靠性。</w:t>
      </w:r>
    </w:p>
    <w:p w14:paraId="38AD3B19">
      <w:pPr>
        <w:pStyle w:val="178"/>
        <w:numPr>
          <w:ilvl w:val="0"/>
          <w:numId w:val="34"/>
        </w:numPr>
        <w:outlineLvl w:val="4"/>
      </w:pPr>
      <w:bookmarkStart w:id="117" w:name="_Toc20240"/>
      <w:r>
        <w:rPr>
          <w:rFonts w:hint="eastAsia"/>
        </w:rPr>
        <w:t>应急备用和调峰能力：</w:t>
      </w:r>
      <w:bookmarkEnd w:id="117"/>
    </w:p>
    <w:p w14:paraId="68C0F6FC">
      <w:pPr>
        <w:pStyle w:val="113"/>
        <w:numPr>
          <w:ilvl w:val="1"/>
          <w:numId w:val="37"/>
        </w:numPr>
      </w:pPr>
      <w:r>
        <w:rPr>
          <w:rFonts w:hint="eastAsia"/>
        </w:rPr>
        <w:t>应急备用和调峰能力包含本地与外埠资源；</w:t>
      </w:r>
    </w:p>
    <w:p w14:paraId="4DD017A2">
      <w:pPr>
        <w:pStyle w:val="113"/>
        <w:numPr>
          <w:ilvl w:val="1"/>
          <w:numId w:val="37"/>
        </w:numPr>
      </w:pPr>
      <w:r>
        <w:rPr>
          <w:rFonts w:hint="eastAsia"/>
        </w:rPr>
        <w:t>本地应急电源采用燃煤应急备用机组、抽水蓄能电站及燃气热电中心灵活性改造，布局新型储能设施；</w:t>
      </w:r>
    </w:p>
    <w:p w14:paraId="432785E2">
      <w:pPr>
        <w:pStyle w:val="113"/>
        <w:numPr>
          <w:ilvl w:val="1"/>
          <w:numId w:val="37"/>
        </w:numPr>
      </w:pPr>
      <w:r>
        <w:rPr>
          <w:rFonts w:hint="eastAsia"/>
        </w:rPr>
        <w:t>推进外埠系统直送本地电厂的灵活性改造；</w:t>
      </w:r>
    </w:p>
    <w:p w14:paraId="5E47F562">
      <w:pPr>
        <w:pStyle w:val="113"/>
        <w:numPr>
          <w:ilvl w:val="1"/>
          <w:numId w:val="37"/>
        </w:numPr>
      </w:pPr>
      <w:r>
        <w:rPr>
          <w:rFonts w:hint="eastAsia"/>
        </w:rPr>
        <w:t>系统具备虚拟电厂等需求侧协同能力；</w:t>
      </w:r>
    </w:p>
    <w:p w14:paraId="099D98FB">
      <w:pPr>
        <w:pStyle w:val="113"/>
        <w:numPr>
          <w:ilvl w:val="1"/>
          <w:numId w:val="37"/>
        </w:numPr>
      </w:pPr>
      <w:r>
        <w:rPr>
          <w:rFonts w:hint="eastAsia"/>
        </w:rPr>
        <w:t>重要变电站建设宜符合防洪、抗震、应急储备调度相关要求。</w:t>
      </w:r>
    </w:p>
    <w:p w14:paraId="7E0289A1">
      <w:pPr>
        <w:pStyle w:val="169"/>
        <w:ind w:left="0"/>
      </w:pPr>
      <w:bookmarkStart w:id="118" w:name="_Toc5592"/>
      <w:r>
        <w:rPr>
          <w:rFonts w:hint="eastAsia"/>
        </w:rPr>
        <w:t>燃气供应工程，建设内容包括但不限于下列：</w:t>
      </w:r>
      <w:bookmarkEnd w:id="118"/>
      <w:r>
        <w:rPr>
          <w:rFonts w:hint="eastAsia"/>
        </w:rPr>
        <w:t xml:space="preserve"> </w:t>
      </w:r>
    </w:p>
    <w:p w14:paraId="4266EB63">
      <w:pPr>
        <w:pStyle w:val="178"/>
        <w:numPr>
          <w:ilvl w:val="0"/>
          <w:numId w:val="38"/>
        </w:numPr>
        <w:jc w:val="left"/>
      </w:pPr>
      <w:r>
        <w:rPr>
          <w:rFonts w:hint="eastAsia"/>
        </w:rPr>
        <w:t>气源与输配系统：</w:t>
      </w:r>
    </w:p>
    <w:p w14:paraId="0160FF39">
      <w:pPr>
        <w:pStyle w:val="113"/>
        <w:numPr>
          <w:ilvl w:val="1"/>
          <w:numId w:val="39"/>
        </w:numPr>
      </w:pPr>
      <w:r>
        <w:rPr>
          <w:rFonts w:hint="eastAsia"/>
        </w:rPr>
        <w:t>结合运行工况建设上游输气系统场站，实现各区双气源保障；</w:t>
      </w:r>
    </w:p>
    <w:p w14:paraId="012BE169">
      <w:pPr>
        <w:pStyle w:val="113"/>
        <w:numPr>
          <w:ilvl w:val="1"/>
          <w:numId w:val="39"/>
        </w:numPr>
      </w:pPr>
      <w:r>
        <w:rPr>
          <w:rFonts w:hint="eastAsia"/>
        </w:rPr>
        <w:t>建设高压与次高压调压站等设施，满足安全运行要求；</w:t>
      </w:r>
    </w:p>
    <w:p w14:paraId="0B73395D">
      <w:pPr>
        <w:pStyle w:val="113"/>
        <w:numPr>
          <w:ilvl w:val="1"/>
          <w:numId w:val="39"/>
        </w:numPr>
      </w:pPr>
      <w:r>
        <w:rPr>
          <w:rFonts w:hint="eastAsia"/>
        </w:rPr>
        <w:t>市级输气廊道实施用地管控，单条输气廊道控制宽度为100</w:t>
      </w:r>
      <w:r>
        <w:rPr>
          <w:rFonts w:hint="eastAsia"/>
          <w:lang w:val="en-US" w:eastAsia="zh-CN"/>
        </w:rPr>
        <w:t>m</w:t>
      </w:r>
      <w:r>
        <w:rPr>
          <w:rFonts w:hint="eastAsia"/>
        </w:rPr>
        <w:t>。</w:t>
      </w:r>
    </w:p>
    <w:p w14:paraId="5E6C56F2">
      <w:pPr>
        <w:pStyle w:val="178"/>
        <w:numPr>
          <w:ilvl w:val="0"/>
          <w:numId w:val="38"/>
        </w:numPr>
        <w:jc w:val="left"/>
      </w:pPr>
      <w:r>
        <w:rPr>
          <w:rFonts w:hint="eastAsia"/>
        </w:rPr>
        <w:t>设施安全：</w:t>
      </w:r>
    </w:p>
    <w:p w14:paraId="7D506F47">
      <w:pPr>
        <w:pStyle w:val="113"/>
        <w:numPr>
          <w:ilvl w:val="1"/>
          <w:numId w:val="40"/>
        </w:numPr>
      </w:pPr>
      <w:r>
        <w:rPr>
          <w:rFonts w:hint="eastAsia"/>
        </w:rPr>
        <w:t>燃气管网及附属设施定期开展风险</w:t>
      </w:r>
      <w:r>
        <w:rPr>
          <w:rFonts w:hint="eastAsia"/>
          <w:lang w:val="en-US" w:eastAsia="zh-CN"/>
        </w:rPr>
        <w:t>防</w:t>
      </w:r>
      <w:r>
        <w:rPr>
          <w:rFonts w:hint="eastAsia"/>
        </w:rPr>
        <w:t>控和隐患排查，适时实施老旧设施及管线改造工程；</w:t>
      </w:r>
    </w:p>
    <w:p w14:paraId="11C9F713">
      <w:pPr>
        <w:pStyle w:val="113"/>
        <w:numPr>
          <w:ilvl w:val="1"/>
          <w:numId w:val="40"/>
        </w:numPr>
      </w:pPr>
      <w:r>
        <w:rPr>
          <w:rFonts w:hint="eastAsia"/>
        </w:rPr>
        <w:t>天然气门站、热电厂建设宜符合防洪、抗震、应急储备调度相关要求。</w:t>
      </w:r>
    </w:p>
    <w:p w14:paraId="0C18462F">
      <w:pPr>
        <w:pStyle w:val="178"/>
        <w:numPr>
          <w:ilvl w:val="0"/>
          <w:numId w:val="38"/>
        </w:numPr>
        <w:jc w:val="left"/>
      </w:pPr>
      <w:bookmarkStart w:id="119" w:name="OLE_LINK12"/>
      <w:r>
        <w:rPr>
          <w:rFonts w:hint="eastAsia"/>
        </w:rPr>
        <w:t>应急保障体系。建设本地和外埠的燃气应急储备设施，引入多渠道天然气资源。</w:t>
      </w:r>
    </w:p>
    <w:bookmarkEnd w:id="119"/>
    <w:p w14:paraId="1A4927FB">
      <w:pPr>
        <w:pStyle w:val="169"/>
        <w:ind w:left="0"/>
      </w:pPr>
      <w:bookmarkStart w:id="120" w:name="_Toc18974"/>
      <w:r>
        <w:rPr>
          <w:rFonts w:hint="eastAsia"/>
        </w:rPr>
        <w:t>通信设施</w:t>
      </w:r>
      <w:bookmarkEnd w:id="120"/>
      <w:r>
        <w:rPr>
          <w:rFonts w:hint="eastAsia"/>
        </w:rPr>
        <w:t xml:space="preserve">，建设包括但不限于下列： </w:t>
      </w:r>
    </w:p>
    <w:p w14:paraId="038F96CA">
      <w:pPr>
        <w:pStyle w:val="178"/>
        <w:numPr>
          <w:ilvl w:val="0"/>
          <w:numId w:val="41"/>
        </w:numPr>
        <w:outlineLvl w:val="4"/>
      </w:pPr>
      <w:bookmarkStart w:id="121" w:name="_Toc26337"/>
      <w:r>
        <w:rPr>
          <w:rFonts w:hint="eastAsia"/>
        </w:rPr>
        <w:t>通信干线网络：</w:t>
      </w:r>
      <w:bookmarkEnd w:id="121"/>
    </w:p>
    <w:p w14:paraId="36986540">
      <w:pPr>
        <w:pStyle w:val="113"/>
        <w:numPr>
          <w:ilvl w:val="1"/>
          <w:numId w:val="42"/>
        </w:numPr>
      </w:pPr>
      <w:r>
        <w:rPr>
          <w:rFonts w:hint="eastAsia"/>
        </w:rPr>
        <w:t>城镇地区线路采用环状网或双上行组网方式，农村及山区建设至少两个出口路由；</w:t>
      </w:r>
    </w:p>
    <w:p w14:paraId="0F7125FD">
      <w:pPr>
        <w:pStyle w:val="113"/>
        <w:numPr>
          <w:ilvl w:val="1"/>
          <w:numId w:val="42"/>
        </w:numPr>
      </w:pPr>
      <w:r>
        <w:rPr>
          <w:rFonts w:hint="eastAsia"/>
        </w:rPr>
        <w:t>偏远山区组团的干线系统实现至少两个方向的物理路由联络。</w:t>
      </w:r>
    </w:p>
    <w:p w14:paraId="02CB174E">
      <w:pPr>
        <w:pStyle w:val="178"/>
        <w:numPr>
          <w:ilvl w:val="0"/>
          <w:numId w:val="41"/>
        </w:numPr>
        <w:outlineLvl w:val="4"/>
      </w:pPr>
      <w:bookmarkStart w:id="122" w:name="_Toc10631"/>
      <w:r>
        <w:rPr>
          <w:rFonts w:hint="eastAsia"/>
        </w:rPr>
        <w:t>通信基站配置：</w:t>
      </w:r>
      <w:bookmarkEnd w:id="122"/>
    </w:p>
    <w:p w14:paraId="4449CE3F">
      <w:pPr>
        <w:pStyle w:val="113"/>
        <w:numPr>
          <w:ilvl w:val="1"/>
          <w:numId w:val="43"/>
        </w:numPr>
      </w:pPr>
      <w:r>
        <w:rPr>
          <w:rFonts w:hint="eastAsia"/>
        </w:rPr>
        <w:t>配置采用分层分级；</w:t>
      </w:r>
    </w:p>
    <w:p w14:paraId="5E7A2898">
      <w:pPr>
        <w:pStyle w:val="113"/>
        <w:numPr>
          <w:ilvl w:val="1"/>
          <w:numId w:val="43"/>
        </w:numPr>
      </w:pPr>
      <w:r>
        <w:rPr>
          <w:rFonts w:hint="eastAsia"/>
        </w:rPr>
        <w:t>人口集中、灾害风险高的城镇地区适度加密布点；</w:t>
      </w:r>
    </w:p>
    <w:p w14:paraId="0F743AAB">
      <w:pPr>
        <w:pStyle w:val="113"/>
        <w:numPr>
          <w:ilvl w:val="1"/>
          <w:numId w:val="43"/>
        </w:numPr>
      </w:pPr>
      <w:r>
        <w:rPr>
          <w:rFonts w:hint="eastAsia"/>
        </w:rPr>
        <w:t>易灾乡镇建设超级基站，配置有线、无线及卫星等传输手段。</w:t>
      </w:r>
      <w:r>
        <w:t>​</w:t>
      </w:r>
    </w:p>
    <w:p w14:paraId="78FB77BA">
      <w:pPr>
        <w:pStyle w:val="169"/>
        <w:ind w:left="0"/>
      </w:pPr>
      <w:bookmarkStart w:id="123" w:name="_Toc1464"/>
      <w:r>
        <w:rPr>
          <w:rFonts w:hint="eastAsia"/>
        </w:rPr>
        <w:t>交通工程</w:t>
      </w:r>
      <w:bookmarkEnd w:id="123"/>
      <w:r>
        <w:rPr>
          <w:rFonts w:hint="eastAsia"/>
        </w:rPr>
        <w:t>，建设内容包括但不限于下列：</w:t>
      </w:r>
    </w:p>
    <w:p w14:paraId="622D10F5">
      <w:pPr>
        <w:pStyle w:val="178"/>
        <w:numPr>
          <w:ilvl w:val="0"/>
          <w:numId w:val="44"/>
        </w:numPr>
        <w:outlineLvl w:val="4"/>
      </w:pPr>
      <w:bookmarkStart w:id="124" w:name="_Toc30698"/>
      <w:r>
        <w:rPr>
          <w:rFonts w:hint="eastAsia"/>
        </w:rPr>
        <w:t>新建、拓宽改造关键</w:t>
      </w:r>
      <w:r>
        <w:t>跨区域骨干</w:t>
      </w:r>
      <w:r>
        <w:rPr>
          <w:rFonts w:hint="eastAsia"/>
        </w:rPr>
        <w:t>交通</w:t>
      </w:r>
      <w:r>
        <w:t>网络</w:t>
      </w:r>
      <w:bookmarkEnd w:id="124"/>
      <w:r>
        <w:rPr>
          <w:rFonts w:hint="eastAsia"/>
        </w:rPr>
        <w:t>。</w:t>
      </w:r>
    </w:p>
    <w:p w14:paraId="75F0608A">
      <w:pPr>
        <w:pStyle w:val="178"/>
        <w:numPr>
          <w:ilvl w:val="0"/>
          <w:numId w:val="44"/>
        </w:numPr>
        <w:outlineLvl w:val="4"/>
      </w:pPr>
      <w:r>
        <w:t>城市高快速路</w:t>
      </w:r>
      <w:r>
        <w:rPr>
          <w:rFonts w:hint="eastAsia"/>
        </w:rPr>
        <w:t>设置</w:t>
      </w:r>
      <w:bookmarkStart w:id="125" w:name="_Toc29554"/>
      <w:r>
        <w:t>应急专用车道</w:t>
      </w:r>
      <w:r>
        <w:rPr>
          <w:rFonts w:hint="eastAsia"/>
        </w:rPr>
        <w:t>，确保紧急情况下重点路段</w:t>
      </w:r>
      <w:r>
        <w:t>应急车道的畅通</w:t>
      </w:r>
      <w:bookmarkEnd w:id="125"/>
      <w:r>
        <w:rPr>
          <w:rFonts w:hint="eastAsia"/>
        </w:rPr>
        <w:t>。</w:t>
      </w:r>
      <w:r>
        <w:t>​</w:t>
      </w:r>
    </w:p>
    <w:p w14:paraId="21B490A9">
      <w:pPr>
        <w:pStyle w:val="178"/>
        <w:numPr>
          <w:ilvl w:val="0"/>
          <w:numId w:val="44"/>
        </w:numPr>
        <w:outlineLvl w:val="4"/>
      </w:pPr>
      <w:bookmarkStart w:id="126" w:name="_Toc5943"/>
      <w:r>
        <w:t>应急疏散通道</w:t>
      </w:r>
      <w:r>
        <w:rPr>
          <w:rFonts w:hint="eastAsia"/>
        </w:rPr>
        <w:t>：</w:t>
      </w:r>
      <w:bookmarkEnd w:id="126"/>
    </w:p>
    <w:p w14:paraId="271E670E">
      <w:pPr>
        <w:pStyle w:val="113"/>
        <w:numPr>
          <w:ilvl w:val="1"/>
          <w:numId w:val="45"/>
        </w:numPr>
      </w:pPr>
      <w:r>
        <w:rPr>
          <w:rFonts w:hint="eastAsia"/>
        </w:rPr>
        <w:t>建设</w:t>
      </w:r>
      <w:r>
        <w:t>一级、二级、三级</w:t>
      </w:r>
      <w:r>
        <w:rPr>
          <w:rFonts w:hint="eastAsia"/>
        </w:rPr>
        <w:t>应急疏散通道，优先推进一级通道建设；</w:t>
      </w:r>
    </w:p>
    <w:p w14:paraId="54645EC0">
      <w:pPr>
        <w:pStyle w:val="113"/>
        <w:numPr>
          <w:ilvl w:val="1"/>
          <w:numId w:val="45"/>
        </w:numPr>
      </w:pPr>
      <w:r>
        <w:rPr>
          <w:rFonts w:hint="eastAsia"/>
        </w:rPr>
        <w:t>建设航空、铁路、公路协同疏散救援通道。</w:t>
      </w:r>
    </w:p>
    <w:p w14:paraId="2993BD59">
      <w:pPr>
        <w:pStyle w:val="178"/>
        <w:numPr>
          <w:ilvl w:val="0"/>
          <w:numId w:val="44"/>
        </w:numPr>
        <w:outlineLvl w:val="4"/>
      </w:pPr>
      <w:bookmarkStart w:id="127" w:name="_Toc702"/>
      <w:bookmarkStart w:id="128" w:name="OLE_LINK3"/>
      <w:r>
        <w:t>山区</w:t>
      </w:r>
      <w:r>
        <w:rPr>
          <w:rFonts w:hint="eastAsia"/>
        </w:rPr>
        <w:t>交通。山区公路建设结合地形条件，采取隧道穿越、盘山翻越等方式建设。</w:t>
      </w:r>
      <w:bookmarkEnd w:id="127"/>
    </w:p>
    <w:p w14:paraId="23D3D1C1">
      <w:pPr>
        <w:pStyle w:val="178"/>
        <w:numPr>
          <w:ilvl w:val="0"/>
          <w:numId w:val="44"/>
        </w:numPr>
        <w:outlineLvl w:val="4"/>
      </w:pPr>
      <w:r>
        <w:rPr>
          <w:rFonts w:hint="eastAsia"/>
        </w:rPr>
        <w:t>交通枢纽建设宜符合防洪、抗震、应急储备调度相关要求。</w:t>
      </w:r>
    </w:p>
    <w:bookmarkEnd w:id="128"/>
    <w:p w14:paraId="1022AB76">
      <w:pPr>
        <w:pStyle w:val="109"/>
        <w:spacing w:before="156" w:after="156"/>
      </w:pPr>
      <w:bookmarkStart w:id="129" w:name="_Toc32566"/>
      <w:bookmarkStart w:id="130" w:name="_Toc211265634"/>
      <w:bookmarkStart w:id="131" w:name="_Toc31629"/>
      <w:bookmarkStart w:id="132" w:name="_Toc12278"/>
      <w:r>
        <w:rPr>
          <w:rFonts w:hint="eastAsia"/>
        </w:rPr>
        <w:t>应急保障设施</w:t>
      </w:r>
      <w:bookmarkEnd w:id="129"/>
      <w:bookmarkEnd w:id="130"/>
      <w:bookmarkEnd w:id="131"/>
      <w:bookmarkEnd w:id="132"/>
    </w:p>
    <w:p w14:paraId="1D18993F">
      <w:pPr>
        <w:pStyle w:val="169"/>
        <w:ind w:left="0"/>
      </w:pPr>
      <w:bookmarkStart w:id="133" w:name="_Toc4598"/>
      <w:r>
        <w:rPr>
          <w:rFonts w:hint="eastAsia"/>
        </w:rPr>
        <w:t>城市安全保障</w:t>
      </w:r>
      <w:bookmarkEnd w:id="133"/>
      <w:r>
        <w:rPr>
          <w:rFonts w:hint="eastAsia"/>
        </w:rPr>
        <w:t>设施，建设内容包括但不限于下列：</w:t>
      </w:r>
    </w:p>
    <w:p w14:paraId="53BBD562">
      <w:pPr>
        <w:pStyle w:val="178"/>
        <w:numPr>
          <w:ilvl w:val="0"/>
          <w:numId w:val="46"/>
        </w:numPr>
      </w:pPr>
      <w:r>
        <w:rPr>
          <w:rFonts w:hint="eastAsia"/>
        </w:rPr>
        <w:t>应急避难场所：</w:t>
      </w:r>
    </w:p>
    <w:p w14:paraId="67F60616">
      <w:pPr>
        <w:pStyle w:val="113"/>
        <w:numPr>
          <w:ilvl w:val="1"/>
          <w:numId w:val="47"/>
        </w:numPr>
      </w:pPr>
      <w:r>
        <w:rPr>
          <w:rFonts w:hint="eastAsia"/>
        </w:rPr>
        <w:t>建设与人口分布相适应的应急避难场所，紧急、短期、长期避难场所的服务保障系数应分别达到1.3、0.3和0.05，人均有效避难面积不低于2.1</w:t>
      </w:r>
      <w:r>
        <w:rPr>
          <w:rFonts w:hint="eastAsia"/>
          <w:lang w:val="en-US" w:eastAsia="zh-CN"/>
        </w:rPr>
        <w:t>m</w:t>
      </w:r>
      <w:r>
        <w:rPr>
          <w:rFonts w:hint="eastAsia"/>
          <w:vertAlign w:val="superscript"/>
          <w:lang w:val="en-US" w:eastAsia="zh-CN"/>
        </w:rPr>
        <w:t>2</w:t>
      </w:r>
      <w:r>
        <w:rPr>
          <w:rFonts w:hint="eastAsia"/>
        </w:rPr>
        <w:t>；</w:t>
      </w:r>
    </w:p>
    <w:p w14:paraId="64547300">
      <w:pPr>
        <w:pStyle w:val="113"/>
        <w:numPr>
          <w:ilvl w:val="1"/>
          <w:numId w:val="47"/>
        </w:numPr>
      </w:pPr>
      <w:r>
        <w:rPr>
          <w:rFonts w:hint="eastAsia"/>
        </w:rPr>
        <w:t>首都功能核心区补充建设短期避难场所，第一道绿化隔离地区建设具有集散转运功能的长期避难场所，第二道绿化隔离地区建设具备平急转换条件的郊野公园和应急避难场所</w:t>
      </w:r>
      <w:r>
        <w:rPr>
          <w:rFonts w:hint="eastAsia"/>
          <w:lang w:eastAsia="zh-CN"/>
        </w:rPr>
        <w:t>；</w:t>
      </w:r>
    </w:p>
    <w:p w14:paraId="16CCAE41">
      <w:pPr>
        <w:pStyle w:val="183"/>
      </w:pPr>
      <w:r>
        <w:rPr>
          <w:rFonts w:hint="eastAsia"/>
        </w:rPr>
        <w:t>第一道绿化隔离地区，位于三环到五环之间，面积310</w:t>
      </w:r>
      <w:r>
        <w:rPr>
          <w:rFonts w:hint="eastAsia"/>
          <w:lang w:val="en-US" w:eastAsia="zh-CN"/>
        </w:rPr>
        <w:t>km</w:t>
      </w:r>
      <w:r>
        <w:rPr>
          <w:rFonts w:hint="eastAsia"/>
          <w:vertAlign w:val="superscript"/>
          <w:lang w:val="en-US" w:eastAsia="zh-CN"/>
        </w:rPr>
        <w:t>2</w:t>
      </w:r>
      <w:r>
        <w:rPr>
          <w:rFonts w:hint="eastAsia"/>
        </w:rPr>
        <w:t>；第二道绿化隔离地区范围是第一道绿化隔离地区及边缘集团外缘至六环路外侧1000</w:t>
      </w:r>
      <w:r>
        <w:rPr>
          <w:rFonts w:hint="eastAsia"/>
          <w:lang w:val="en-US" w:eastAsia="zh-CN"/>
        </w:rPr>
        <w:t>m</w:t>
      </w:r>
      <w:r>
        <w:rPr>
          <w:rFonts w:hint="eastAsia"/>
        </w:rPr>
        <w:t>，规划面积1650</w:t>
      </w:r>
      <w:r>
        <w:rPr>
          <w:rFonts w:hint="eastAsia"/>
          <w:lang w:val="en-US" w:eastAsia="zh-CN"/>
        </w:rPr>
        <w:t>km</w:t>
      </w:r>
      <w:r>
        <w:rPr>
          <w:rFonts w:hint="eastAsia"/>
          <w:vertAlign w:val="superscript"/>
          <w:lang w:val="en-US" w:eastAsia="zh-CN"/>
        </w:rPr>
        <w:t>2</w:t>
      </w:r>
      <w:r>
        <w:rPr>
          <w:rFonts w:hint="eastAsia"/>
        </w:rPr>
        <w:t>。</w:t>
      </w:r>
    </w:p>
    <w:p w14:paraId="4545B2A1">
      <w:pPr>
        <w:pStyle w:val="113"/>
        <w:numPr>
          <w:ilvl w:val="1"/>
          <w:numId w:val="48"/>
        </w:numPr>
      </w:pPr>
      <w:r>
        <w:rPr>
          <w:rFonts w:hint="eastAsia"/>
        </w:rPr>
        <w:t>各镇街至少建设1处综合性应急避难场所，各村具备满足转移安置基本需求的应急避难场所。</w:t>
      </w:r>
    </w:p>
    <w:p w14:paraId="1DE29B1D">
      <w:pPr>
        <w:pStyle w:val="178"/>
        <w:numPr>
          <w:ilvl w:val="0"/>
          <w:numId w:val="46"/>
        </w:numPr>
      </w:pPr>
      <w:r>
        <w:rPr>
          <w:rFonts w:hint="eastAsia"/>
        </w:rPr>
        <w:t>人民防空设施。人防设施与应急避难场所标准衔接，嵌入应急避难、应急物资代储等功能。</w:t>
      </w:r>
    </w:p>
    <w:p w14:paraId="19656C19">
      <w:pPr>
        <w:pStyle w:val="178"/>
        <w:numPr>
          <w:ilvl w:val="0"/>
          <w:numId w:val="46"/>
        </w:numPr>
      </w:pPr>
      <w:r>
        <w:rPr>
          <w:rFonts w:hint="eastAsia"/>
        </w:rPr>
        <w:t>消防队站设施</w:t>
      </w:r>
      <w:r>
        <w:rPr>
          <w:rFonts w:hint="eastAsia" w:ascii="Times New Roman"/>
        </w:rPr>
        <w:t>：</w:t>
      </w:r>
    </w:p>
    <w:p w14:paraId="62F0B646">
      <w:pPr>
        <w:pStyle w:val="113"/>
        <w:numPr>
          <w:ilvl w:val="1"/>
          <w:numId w:val="49"/>
        </w:numPr>
      </w:pPr>
      <w:r>
        <w:rPr>
          <w:rFonts w:hint="eastAsia"/>
        </w:rPr>
        <w:t>按区域需求配备消防救援站及小型消防站；</w:t>
      </w:r>
    </w:p>
    <w:p w14:paraId="478D884D">
      <w:pPr>
        <w:pStyle w:val="113"/>
        <w:numPr>
          <w:ilvl w:val="1"/>
          <w:numId w:val="49"/>
        </w:numPr>
      </w:pPr>
      <w:r>
        <w:rPr>
          <w:rFonts w:hint="eastAsia"/>
        </w:rPr>
        <w:t>确保消防队站消防救援通道畅通。</w:t>
      </w:r>
    </w:p>
    <w:p w14:paraId="1BB2C8E4">
      <w:pPr>
        <w:pStyle w:val="178"/>
        <w:numPr>
          <w:ilvl w:val="0"/>
          <w:numId w:val="46"/>
        </w:numPr>
      </w:pPr>
      <w:r>
        <w:rPr>
          <w:rFonts w:hint="eastAsia"/>
        </w:rPr>
        <w:t>警务保障设施</w:t>
      </w:r>
      <w:r>
        <w:rPr>
          <w:rFonts w:hint="eastAsia" w:ascii="Times New Roman"/>
        </w:rPr>
        <w:t>：</w:t>
      </w:r>
    </w:p>
    <w:p w14:paraId="34D1A147">
      <w:pPr>
        <w:pStyle w:val="113"/>
        <w:numPr>
          <w:ilvl w:val="1"/>
          <w:numId w:val="50"/>
        </w:numPr>
      </w:pPr>
      <w:r>
        <w:rPr>
          <w:rFonts w:hint="eastAsia"/>
        </w:rPr>
        <w:t>每个乡镇（街道）至少设置1处户籍派出所；</w:t>
      </w:r>
    </w:p>
    <w:p w14:paraId="69250173">
      <w:pPr>
        <w:pStyle w:val="113"/>
        <w:numPr>
          <w:ilvl w:val="1"/>
          <w:numId w:val="50"/>
        </w:numPr>
      </w:pPr>
      <w:r>
        <w:rPr>
          <w:rFonts w:hint="eastAsia"/>
        </w:rPr>
        <w:t>公共交通枢纽、繁华商业区等重点地区布设派出所或警务工作站；</w:t>
      </w:r>
    </w:p>
    <w:p w14:paraId="4BB57EC1">
      <w:pPr>
        <w:pStyle w:val="113"/>
        <w:numPr>
          <w:ilvl w:val="1"/>
          <w:numId w:val="50"/>
        </w:numPr>
      </w:pPr>
      <w:r>
        <w:rPr>
          <w:rFonts w:hint="eastAsia"/>
        </w:rPr>
        <w:t>出警覆盖薄弱地区应补充建设警务工作站。</w:t>
      </w:r>
    </w:p>
    <w:p w14:paraId="0CCC941F">
      <w:pPr>
        <w:pStyle w:val="169"/>
        <w:ind w:left="0"/>
      </w:pPr>
      <w:bookmarkStart w:id="134" w:name="_Toc4435"/>
      <w:r>
        <w:rPr>
          <w:rFonts w:hint="eastAsia"/>
        </w:rPr>
        <w:t>平急两用公共基础设施</w:t>
      </w:r>
      <w:bookmarkEnd w:id="134"/>
      <w:r>
        <w:rPr>
          <w:rFonts w:hint="eastAsia"/>
        </w:rPr>
        <w:t>，建设内容包括但不限于下列：</w:t>
      </w:r>
    </w:p>
    <w:p w14:paraId="1F5B3338">
      <w:pPr>
        <w:pStyle w:val="178"/>
        <w:numPr>
          <w:ilvl w:val="0"/>
          <w:numId w:val="51"/>
        </w:numPr>
      </w:pPr>
      <w:r>
        <w:rPr>
          <w:rFonts w:hint="eastAsia"/>
        </w:rPr>
        <w:t>旅游居住设施。城市地区改造具备条件的酒店、乡村地区新建或改造乡村民宿，具备紧急隔离、集中安置等功能。</w:t>
      </w:r>
    </w:p>
    <w:p w14:paraId="08C8A98A">
      <w:pPr>
        <w:pStyle w:val="178"/>
        <w:numPr>
          <w:ilvl w:val="0"/>
          <w:numId w:val="51"/>
        </w:numPr>
      </w:pPr>
      <w:r>
        <w:rPr>
          <w:rFonts w:hint="eastAsia"/>
        </w:rPr>
        <w:t>高速公路服务区：</w:t>
      </w:r>
    </w:p>
    <w:p w14:paraId="151CBD78">
      <w:pPr>
        <w:pStyle w:val="113"/>
        <w:numPr>
          <w:ilvl w:val="1"/>
          <w:numId w:val="52"/>
        </w:numPr>
      </w:pPr>
      <w:r>
        <w:rPr>
          <w:rFonts w:hint="eastAsia"/>
        </w:rPr>
        <w:t>高速公路服务区具备检疫检测、应急中转等平急两用功能；</w:t>
      </w:r>
    </w:p>
    <w:p w14:paraId="0A9D7020">
      <w:pPr>
        <w:pStyle w:val="113"/>
        <w:numPr>
          <w:ilvl w:val="1"/>
          <w:numId w:val="52"/>
        </w:numPr>
      </w:pPr>
      <w:r>
        <w:rPr>
          <w:rFonts w:hint="eastAsia"/>
        </w:rPr>
        <w:t>山区地带的服务区兼具旅游集散与应急救援等功能。</w:t>
      </w:r>
    </w:p>
    <w:p w14:paraId="54E332B2">
      <w:pPr>
        <w:pStyle w:val="178"/>
        <w:numPr>
          <w:ilvl w:val="0"/>
          <w:numId w:val="51"/>
        </w:numPr>
      </w:pPr>
      <w:r>
        <w:rPr>
          <w:rFonts w:hint="eastAsia"/>
        </w:rPr>
        <w:t>医疗设施：</w:t>
      </w:r>
    </w:p>
    <w:p w14:paraId="2B1CC3E9">
      <w:pPr>
        <w:pStyle w:val="113"/>
        <w:numPr>
          <w:ilvl w:val="1"/>
          <w:numId w:val="53"/>
        </w:numPr>
      </w:pPr>
      <w:r>
        <w:rPr>
          <w:rFonts w:hint="eastAsia"/>
        </w:rPr>
        <w:t>市属综合医院具备平疫转化条件，配置模块化病房和快速检测设备；</w:t>
      </w:r>
    </w:p>
    <w:p w14:paraId="0994950B">
      <w:pPr>
        <w:pStyle w:val="113"/>
        <w:numPr>
          <w:ilvl w:val="1"/>
          <w:numId w:val="53"/>
        </w:numPr>
      </w:pPr>
      <w:r>
        <w:rPr>
          <w:rFonts w:hint="eastAsia"/>
        </w:rPr>
        <w:t>医疗机构配备足够的重症监护床位、负压病房和应急救治设备，具备平急转换功能；</w:t>
      </w:r>
    </w:p>
    <w:p w14:paraId="242680D8">
      <w:pPr>
        <w:pStyle w:val="113"/>
        <w:numPr>
          <w:ilvl w:val="1"/>
          <w:numId w:val="53"/>
        </w:numPr>
      </w:pPr>
      <w:r>
        <w:rPr>
          <w:rFonts w:hint="eastAsia"/>
        </w:rPr>
        <w:t>血液中心和各采供血场所应具备应急状态下血液采集、检测、储存和供应能力。</w:t>
      </w:r>
    </w:p>
    <w:p w14:paraId="74299AA2">
      <w:pPr>
        <w:pStyle w:val="178"/>
        <w:numPr>
          <w:ilvl w:val="0"/>
          <w:numId w:val="51"/>
        </w:numPr>
      </w:pPr>
      <w:r>
        <w:rPr>
          <w:rFonts w:hint="eastAsia"/>
        </w:rPr>
        <w:t>城郊大仓基地：</w:t>
      </w:r>
    </w:p>
    <w:p w14:paraId="7B1E3395">
      <w:pPr>
        <w:pStyle w:val="113"/>
        <w:numPr>
          <w:ilvl w:val="1"/>
          <w:numId w:val="54"/>
        </w:numPr>
      </w:pPr>
      <w:r>
        <w:rPr>
          <w:rFonts w:hint="eastAsia"/>
        </w:rPr>
        <w:t>沿主要交通廊道布局具备平急两用功能的城郊大仓；</w:t>
      </w:r>
    </w:p>
    <w:p w14:paraId="50ADC959">
      <w:pPr>
        <w:pStyle w:val="113"/>
        <w:numPr>
          <w:ilvl w:val="1"/>
          <w:numId w:val="54"/>
        </w:numPr>
      </w:pPr>
      <w:r>
        <w:rPr>
          <w:rFonts w:hint="eastAsia"/>
        </w:rPr>
        <w:t>城郊大仓基地预留应急物资铁路专线接驳条件；</w:t>
      </w:r>
    </w:p>
    <w:p w14:paraId="36123CAA">
      <w:pPr>
        <w:pStyle w:val="113"/>
        <w:numPr>
          <w:ilvl w:val="1"/>
          <w:numId w:val="54"/>
        </w:numPr>
      </w:pPr>
      <w:r>
        <w:rPr>
          <w:rFonts w:hint="eastAsia"/>
        </w:rPr>
        <w:t>采取多能源供应模式，保障断电情况下冷链药品温控时长。</w:t>
      </w:r>
    </w:p>
    <w:p w14:paraId="74AE1DB9">
      <w:pPr>
        <w:pStyle w:val="178"/>
        <w:numPr>
          <w:ilvl w:val="0"/>
          <w:numId w:val="51"/>
        </w:numPr>
      </w:pPr>
      <w:r>
        <w:rPr>
          <w:rFonts w:hint="eastAsia"/>
        </w:rPr>
        <w:t>地下空间：</w:t>
      </w:r>
    </w:p>
    <w:p w14:paraId="56B7257C">
      <w:pPr>
        <w:pStyle w:val="113"/>
        <w:numPr>
          <w:ilvl w:val="1"/>
          <w:numId w:val="55"/>
        </w:numPr>
      </w:pPr>
      <w:r>
        <w:rPr>
          <w:rFonts w:hint="eastAsia"/>
        </w:rPr>
        <w:t>地下空间兼顾防洪、防涝、防震等功能；</w:t>
      </w:r>
    </w:p>
    <w:p w14:paraId="4B25F9D0">
      <w:pPr>
        <w:pStyle w:val="113"/>
        <w:numPr>
          <w:ilvl w:val="1"/>
          <w:numId w:val="55"/>
        </w:numPr>
      </w:pPr>
      <w:r>
        <w:rPr>
          <w:rFonts w:hint="eastAsia"/>
        </w:rPr>
        <w:t>地下人防空间与地面、邻近通道及轨道交通互连互通。</w:t>
      </w:r>
    </w:p>
    <w:p w14:paraId="0AED6C65">
      <w:pPr>
        <w:pStyle w:val="178"/>
        <w:numPr>
          <w:ilvl w:val="0"/>
          <w:numId w:val="51"/>
        </w:numPr>
      </w:pPr>
      <w:r>
        <w:rPr>
          <w:rFonts w:hint="eastAsia"/>
        </w:rPr>
        <w:t>其他设施：</w:t>
      </w:r>
    </w:p>
    <w:p w14:paraId="51640B46">
      <w:pPr>
        <w:pStyle w:val="113"/>
        <w:numPr>
          <w:ilvl w:val="1"/>
          <w:numId w:val="56"/>
        </w:numPr>
      </w:pPr>
      <w:r>
        <w:rPr>
          <w:rFonts w:hint="eastAsia"/>
        </w:rPr>
        <w:t>教育、体育、文化等公共服务设施具备疫情筛查、防灾避险及应急物资储运功能；</w:t>
      </w:r>
    </w:p>
    <w:p w14:paraId="06115932">
      <w:pPr>
        <w:pStyle w:val="113"/>
        <w:numPr>
          <w:ilvl w:val="1"/>
          <w:numId w:val="56"/>
        </w:numPr>
      </w:pPr>
      <w:r>
        <w:rPr>
          <w:rFonts w:hint="eastAsia"/>
        </w:rPr>
        <w:t>单体封闭式大空间建筑进行平急两用适性改造。</w:t>
      </w:r>
    </w:p>
    <w:p w14:paraId="629781B1">
      <w:pPr>
        <w:pStyle w:val="109"/>
        <w:spacing w:before="156" w:after="156"/>
      </w:pPr>
      <w:bookmarkStart w:id="135" w:name="_Toc211265635"/>
      <w:bookmarkStart w:id="136" w:name="_Toc1726"/>
      <w:bookmarkStart w:id="137" w:name="_Toc6639"/>
      <w:bookmarkStart w:id="138" w:name="_Toc3340"/>
      <w:r>
        <w:rPr>
          <w:rFonts w:hint="eastAsia"/>
        </w:rPr>
        <w:t>韧性城市管理能力</w:t>
      </w:r>
      <w:bookmarkEnd w:id="135"/>
      <w:bookmarkEnd w:id="136"/>
      <w:bookmarkEnd w:id="137"/>
      <w:bookmarkEnd w:id="138"/>
    </w:p>
    <w:bookmarkEnd w:id="34"/>
    <w:bookmarkEnd w:id="110"/>
    <w:bookmarkEnd w:id="111"/>
    <w:p w14:paraId="69575BC9">
      <w:pPr>
        <w:pStyle w:val="169"/>
        <w:ind w:left="0"/>
      </w:pPr>
      <w:bookmarkStart w:id="139" w:name="_Toc211265636"/>
      <w:bookmarkStart w:id="140" w:name="_Toc206594497"/>
      <w:r>
        <w:rPr>
          <w:rFonts w:hint="eastAsia"/>
        </w:rPr>
        <w:t>应急指挥与应对能力，建设内容包括但不限于下列：</w:t>
      </w:r>
    </w:p>
    <w:p w14:paraId="57690ADB">
      <w:pPr>
        <w:pStyle w:val="178"/>
        <w:numPr>
          <w:ilvl w:val="0"/>
          <w:numId w:val="57"/>
        </w:numPr>
        <w:outlineLvl w:val="3"/>
      </w:pPr>
      <w:r>
        <w:rPr>
          <w:rFonts w:hint="eastAsia"/>
        </w:rPr>
        <w:t>应急指挥体系：</w:t>
      </w:r>
    </w:p>
    <w:p w14:paraId="73D24F6B">
      <w:pPr>
        <w:pStyle w:val="113"/>
        <w:numPr>
          <w:ilvl w:val="1"/>
          <w:numId w:val="58"/>
        </w:numPr>
      </w:pPr>
      <w:r>
        <w:rPr>
          <w:rFonts w:hint="eastAsia"/>
          <w:lang w:bidi="ar"/>
        </w:rPr>
        <w:t>协调联动外部资源，明确启动条件和程序；</w:t>
      </w:r>
    </w:p>
    <w:p w14:paraId="663DB03C">
      <w:pPr>
        <w:pStyle w:val="113"/>
        <w:numPr>
          <w:ilvl w:val="1"/>
          <w:numId w:val="58"/>
        </w:numPr>
        <w:rPr>
          <w:lang w:bidi="ar"/>
        </w:rPr>
      </w:pPr>
      <w:r>
        <w:rPr>
          <w:rFonts w:hint="eastAsia"/>
          <w:lang w:bidi="ar"/>
        </w:rPr>
        <w:t>明确各类重大风险灾害场景总指挥、专业指挥、协调指挥、属地指挥的岗位设置；</w:t>
      </w:r>
    </w:p>
    <w:p w14:paraId="679ECB15">
      <w:pPr>
        <w:pStyle w:val="113"/>
        <w:numPr>
          <w:ilvl w:val="1"/>
          <w:numId w:val="58"/>
        </w:numPr>
        <w:rPr>
          <w:lang w:bidi="ar"/>
        </w:rPr>
      </w:pPr>
      <w:r>
        <w:rPr>
          <w:rFonts w:hint="eastAsia"/>
          <w:lang w:bidi="ar"/>
        </w:rPr>
        <w:t>明确各类重大风险灾害场景应急救援、群众安置、交通保障、物资保障、医疗防疫等方面的工作路径。</w:t>
      </w:r>
    </w:p>
    <w:p w14:paraId="51E1C3F0">
      <w:pPr>
        <w:pStyle w:val="178"/>
        <w:numPr>
          <w:ilvl w:val="0"/>
          <w:numId w:val="48"/>
        </w:numPr>
        <w:outlineLvl w:val="3"/>
      </w:pPr>
      <w:r>
        <w:rPr>
          <w:rFonts w:hint="eastAsia"/>
        </w:rPr>
        <w:t>应急指挥信息化：</w:t>
      </w:r>
    </w:p>
    <w:p w14:paraId="5D26A9D3">
      <w:pPr>
        <w:pStyle w:val="113"/>
        <w:numPr>
          <w:ilvl w:val="1"/>
          <w:numId w:val="59"/>
        </w:numPr>
      </w:pPr>
      <w:r>
        <w:rPr>
          <w:rFonts w:hint="eastAsia"/>
        </w:rPr>
        <w:t>建立央地、军地、京津冀协同贯通的信息化系统，共享共用预报预警、灾情险情、物资装备等信息；</w:t>
      </w:r>
    </w:p>
    <w:p w14:paraId="2F4DE31D">
      <w:pPr>
        <w:pStyle w:val="113"/>
        <w:numPr>
          <w:ilvl w:val="1"/>
          <w:numId w:val="59"/>
        </w:numPr>
        <w:rPr>
          <w:lang w:bidi="ar"/>
        </w:rPr>
      </w:pPr>
      <w:r>
        <w:rPr>
          <w:rFonts w:hint="eastAsia"/>
          <w:lang w:bidi="ar"/>
        </w:rPr>
        <w:t>建设信息报送和指挥调度信息化系统；</w:t>
      </w:r>
    </w:p>
    <w:p w14:paraId="5A0E92BF">
      <w:pPr>
        <w:pStyle w:val="113"/>
        <w:numPr>
          <w:ilvl w:val="1"/>
          <w:numId w:val="48"/>
        </w:numPr>
        <w:rPr>
          <w:lang w:bidi="ar"/>
        </w:rPr>
      </w:pPr>
      <w:r>
        <w:rPr>
          <w:rFonts w:hint="eastAsia"/>
          <w:lang w:bidi="ar"/>
        </w:rPr>
        <w:t>建设现场应急指挥系统，部署多种应急通信手段，实现各类队伍、物资、场所、方案等数据汇集。</w:t>
      </w:r>
    </w:p>
    <w:p w14:paraId="7C20809A">
      <w:pPr>
        <w:pStyle w:val="178"/>
        <w:numPr>
          <w:ilvl w:val="0"/>
          <w:numId w:val="48"/>
        </w:numPr>
        <w:outlineLvl w:val="3"/>
      </w:pPr>
      <w:r>
        <w:t>基层应急</w:t>
      </w:r>
      <w:r>
        <w:rPr>
          <w:rFonts w:hint="eastAsia"/>
        </w:rPr>
        <w:t>指挥：</w:t>
      </w:r>
    </w:p>
    <w:p w14:paraId="05F27E46">
      <w:pPr>
        <w:pStyle w:val="113"/>
        <w:numPr>
          <w:ilvl w:val="1"/>
          <w:numId w:val="60"/>
        </w:numPr>
      </w:pPr>
      <w:r>
        <w:rPr>
          <w:rFonts w:hint="eastAsia"/>
        </w:rPr>
        <w:t>明确乡镇（街道）应急指挥优先级；</w:t>
      </w:r>
    </w:p>
    <w:p w14:paraId="42E2ED51">
      <w:pPr>
        <w:pStyle w:val="113"/>
        <w:numPr>
          <w:ilvl w:val="1"/>
          <w:numId w:val="60"/>
        </w:numPr>
      </w:pPr>
      <w:r>
        <w:rPr>
          <w:rFonts w:hint="eastAsia"/>
        </w:rPr>
        <w:t>分灾种编制基层应急预案，定期开展村（社区）应急演练。</w:t>
      </w:r>
    </w:p>
    <w:p w14:paraId="16B70482">
      <w:pPr>
        <w:pStyle w:val="169"/>
        <w:ind w:left="0"/>
      </w:pPr>
      <w:r>
        <w:rPr>
          <w:rFonts w:hint="eastAsia"/>
        </w:rPr>
        <w:t>应急救援力量，建设内容包括但不限于下列：</w:t>
      </w:r>
    </w:p>
    <w:p w14:paraId="0634BF07">
      <w:pPr>
        <w:pStyle w:val="178"/>
        <w:numPr>
          <w:ilvl w:val="0"/>
          <w:numId w:val="61"/>
        </w:numPr>
        <w:outlineLvl w:val="3"/>
      </w:pPr>
      <w:r>
        <w:rPr>
          <w:rFonts w:hint="eastAsia"/>
        </w:rPr>
        <w:t>综合性常备骨干力量：</w:t>
      </w:r>
    </w:p>
    <w:p w14:paraId="3091342E">
      <w:pPr>
        <w:pStyle w:val="113"/>
        <w:numPr>
          <w:ilvl w:val="1"/>
          <w:numId w:val="62"/>
        </w:numPr>
      </w:pPr>
      <w:r>
        <w:rPr>
          <w:rFonts w:hint="eastAsia"/>
        </w:rPr>
        <w:t>以专职消防队伍为核心，具备不同灾害场景救援实战能力；</w:t>
      </w:r>
    </w:p>
    <w:p w14:paraId="4D8B8ADF">
      <w:pPr>
        <w:pStyle w:val="113"/>
        <w:numPr>
          <w:ilvl w:val="1"/>
          <w:numId w:val="62"/>
        </w:numPr>
      </w:pPr>
      <w:r>
        <w:rPr>
          <w:rFonts w:hint="eastAsia"/>
        </w:rPr>
        <w:t>建设市级特种灾害专业处置和应急救援训练基地，配备远程供水、大功率排涝、危化品侦检、破冰除雪等装备设备</w:t>
      </w:r>
      <w:r>
        <w:rPr>
          <w:rFonts w:hint="eastAsia" w:hAnsi="仿宋_GB2312" w:eastAsia="仿宋_GB2312" w:cs="仿宋_GB2312"/>
          <w:lang w:bidi="ar"/>
        </w:rPr>
        <w:t>。</w:t>
      </w:r>
    </w:p>
    <w:p w14:paraId="7D5B75C2">
      <w:pPr>
        <w:pStyle w:val="178"/>
        <w:numPr>
          <w:ilvl w:val="0"/>
          <w:numId w:val="61"/>
        </w:numPr>
        <w:outlineLvl w:val="3"/>
      </w:pPr>
      <w:r>
        <w:rPr>
          <w:rFonts w:hint="eastAsia"/>
        </w:rPr>
        <w:t>专业应急救援队伍：</w:t>
      </w:r>
    </w:p>
    <w:p w14:paraId="38C19122">
      <w:pPr>
        <w:pStyle w:val="113"/>
        <w:numPr>
          <w:ilvl w:val="1"/>
          <w:numId w:val="63"/>
        </w:numPr>
      </w:pPr>
      <w:r>
        <w:rPr>
          <w:rFonts w:hint="eastAsia"/>
        </w:rPr>
        <w:t>培育建筑物倒塌搜救、城市轨道交通工程（地下工程）坍塌搜救等领域专业应急救援队伍，定期组织专业技能提升训练，配备专业应急装备；</w:t>
      </w:r>
    </w:p>
    <w:p w14:paraId="74E9905A">
      <w:pPr>
        <w:pStyle w:val="113"/>
        <w:numPr>
          <w:ilvl w:val="1"/>
          <w:numId w:val="63"/>
        </w:numPr>
      </w:pPr>
      <w:r>
        <w:rPr>
          <w:rFonts w:hint="eastAsia"/>
        </w:rPr>
        <w:t>设置中毒、烧伤、创伤、核与辐射事件救治、传染病现场处置、传染病救治、院前急救和心理援助等救援单元；</w:t>
      </w:r>
    </w:p>
    <w:p w14:paraId="3F53C614">
      <w:pPr>
        <w:pStyle w:val="113"/>
        <w:numPr>
          <w:ilvl w:val="1"/>
          <w:numId w:val="63"/>
        </w:numPr>
      </w:pPr>
      <w:r>
        <w:rPr>
          <w:rFonts w:hint="eastAsia"/>
        </w:rPr>
        <w:t>建设直升机、无人机等综合航空救援力量，整合园林绿化和警航航空力量。</w:t>
      </w:r>
    </w:p>
    <w:p w14:paraId="0BE2D100">
      <w:pPr>
        <w:pStyle w:val="178"/>
        <w:numPr>
          <w:ilvl w:val="0"/>
          <w:numId w:val="61"/>
        </w:numPr>
        <w:outlineLvl w:val="3"/>
      </w:pPr>
      <w:r>
        <w:rPr>
          <w:rFonts w:hint="eastAsia"/>
        </w:rPr>
        <w:t>基层应急救援能力：</w:t>
      </w:r>
    </w:p>
    <w:p w14:paraId="1778976A">
      <w:pPr>
        <w:pStyle w:val="113"/>
        <w:numPr>
          <w:ilvl w:val="1"/>
          <w:numId w:val="64"/>
        </w:numPr>
      </w:pPr>
      <w:r>
        <w:rPr>
          <w:rFonts w:hint="eastAsia"/>
        </w:rPr>
        <w:t>整合乡镇（街道）属地内专业救援队、民兵、预备役人员、保安员、医务人员等专兼职应急救援力量，吸收社会人员培育村（社区）应急响应人；</w:t>
      </w:r>
    </w:p>
    <w:p w14:paraId="085569A5">
      <w:pPr>
        <w:pStyle w:val="113"/>
        <w:numPr>
          <w:ilvl w:val="1"/>
          <w:numId w:val="64"/>
        </w:numPr>
      </w:pPr>
      <w:r>
        <w:rPr>
          <w:rFonts w:hint="eastAsia"/>
        </w:rPr>
        <w:t>在灾害风险等级高的乡镇（街道）和村（社区）配置应急装备，建设乡镇（街道）基层应急服务场所。</w:t>
      </w:r>
    </w:p>
    <w:p w14:paraId="4FC291E4">
      <w:pPr>
        <w:pStyle w:val="178"/>
        <w:numPr>
          <w:ilvl w:val="0"/>
          <w:numId w:val="61"/>
        </w:numPr>
        <w:outlineLvl w:val="3"/>
      </w:pPr>
      <w:r>
        <w:rPr>
          <w:rFonts w:hint="eastAsia"/>
        </w:rPr>
        <w:t>社会应急力量：</w:t>
      </w:r>
    </w:p>
    <w:p w14:paraId="7663C572">
      <w:pPr>
        <w:pStyle w:val="113"/>
        <w:numPr>
          <w:ilvl w:val="1"/>
          <w:numId w:val="65"/>
        </w:numPr>
      </w:pPr>
      <w:r>
        <w:rPr>
          <w:rFonts w:hint="eastAsia"/>
        </w:rPr>
        <w:t>分类分级建设社会应急力量，定期组织联训联演；</w:t>
      </w:r>
    </w:p>
    <w:p w14:paraId="6C9A9CA6">
      <w:pPr>
        <w:pStyle w:val="113"/>
        <w:numPr>
          <w:ilvl w:val="1"/>
          <w:numId w:val="65"/>
        </w:numPr>
      </w:pPr>
      <w:r>
        <w:rPr>
          <w:rFonts w:hint="eastAsia"/>
        </w:rPr>
        <w:t>建设市、区、乡镇（街道）三级应急志愿服务队伍，乡镇（街道）按要求招募应急志愿服务队员，提供队伍建设服务和指导工作。</w:t>
      </w:r>
    </w:p>
    <w:p w14:paraId="02787E6D">
      <w:pPr>
        <w:pStyle w:val="169"/>
        <w:ind w:left="0"/>
      </w:pPr>
      <w:r>
        <w:rPr>
          <w:rFonts w:hint="eastAsia"/>
        </w:rPr>
        <w:t>物资保障能力，建设内容包括但不限于下列：</w:t>
      </w:r>
    </w:p>
    <w:p w14:paraId="6396C149">
      <w:pPr>
        <w:pStyle w:val="178"/>
        <w:numPr>
          <w:ilvl w:val="0"/>
          <w:numId w:val="66"/>
        </w:numPr>
      </w:pPr>
      <w:r>
        <w:rPr>
          <w:rFonts w:hint="eastAsia"/>
        </w:rPr>
        <w:t>应急物资实物储备：</w:t>
      </w:r>
    </w:p>
    <w:p w14:paraId="2981F560">
      <w:pPr>
        <w:pStyle w:val="113"/>
        <w:numPr>
          <w:ilvl w:val="1"/>
          <w:numId w:val="65"/>
        </w:numPr>
      </w:pPr>
      <w:r>
        <w:rPr>
          <w:rFonts w:hint="eastAsia"/>
        </w:rPr>
        <w:t>应急物资储备采用家庭－社区－组团三级体系，每层级宜负责3天物资供应；</w:t>
      </w:r>
    </w:p>
    <w:p w14:paraId="79AF24E9">
      <w:pPr>
        <w:pStyle w:val="113"/>
        <w:numPr>
          <w:ilvl w:val="1"/>
          <w:numId w:val="65"/>
        </w:numPr>
      </w:pPr>
      <w:r>
        <w:rPr>
          <w:rFonts w:hint="eastAsia"/>
        </w:rPr>
        <w:t>中心城区每平方公里布局1处应急救援物资点；</w:t>
      </w:r>
    </w:p>
    <w:p w14:paraId="4F27F1F5">
      <w:pPr>
        <w:pStyle w:val="113"/>
        <w:numPr>
          <w:ilvl w:val="1"/>
          <w:numId w:val="65"/>
        </w:numPr>
      </w:pPr>
      <w:r>
        <w:rPr>
          <w:rFonts w:hint="eastAsia"/>
        </w:rPr>
        <w:t>平原新城应急救援物资点结合物流基地设置；</w:t>
      </w:r>
    </w:p>
    <w:p w14:paraId="4A7A32D3">
      <w:pPr>
        <w:pStyle w:val="113"/>
        <w:numPr>
          <w:ilvl w:val="1"/>
          <w:numId w:val="65"/>
        </w:numPr>
      </w:pPr>
      <w:r>
        <w:rPr>
          <w:rFonts w:hint="eastAsia"/>
        </w:rPr>
        <w:t>生态涵养区围绕城镇及交通便利乡镇集中储备。</w:t>
      </w:r>
    </w:p>
    <w:p w14:paraId="4CFC94EE">
      <w:pPr>
        <w:pStyle w:val="178"/>
        <w:numPr>
          <w:ilvl w:val="0"/>
          <w:numId w:val="65"/>
        </w:numPr>
        <w:outlineLvl w:val="3"/>
      </w:pPr>
      <w:r>
        <w:rPr>
          <w:rFonts w:hint="eastAsia"/>
        </w:rPr>
        <w:t>粮食储备与调用：</w:t>
      </w:r>
    </w:p>
    <w:p w14:paraId="10EA44DB">
      <w:pPr>
        <w:pStyle w:val="113"/>
      </w:pPr>
      <w:r>
        <w:rPr>
          <w:rFonts w:hint="eastAsia"/>
        </w:rPr>
        <w:t>粮食储备由市区两级储备、企业社会责任储备和居民家庭储备构成；</w:t>
      </w:r>
    </w:p>
    <w:p w14:paraId="06604999">
      <w:pPr>
        <w:pStyle w:val="113"/>
      </w:pPr>
      <w:r>
        <w:rPr>
          <w:rFonts w:hint="eastAsia"/>
        </w:rPr>
        <w:t>本市粮食储备规模为不少于全市六个月的供应量；</w:t>
      </w:r>
    </w:p>
    <w:p w14:paraId="36F4235C">
      <w:pPr>
        <w:pStyle w:val="113"/>
      </w:pPr>
      <w:r>
        <w:rPr>
          <w:rFonts w:hint="eastAsia"/>
        </w:rPr>
        <w:t>重大物流设施规划布局、设计阶段考虑粮食调运需求；</w:t>
      </w:r>
    </w:p>
    <w:p w14:paraId="4EFD63C7">
      <w:pPr>
        <w:pStyle w:val="113"/>
      </w:pPr>
      <w:r>
        <w:rPr>
          <w:rFonts w:hint="eastAsia"/>
        </w:rPr>
        <w:t>在乡镇（街道）、人口集中社区设置应急供应网点。</w:t>
      </w:r>
    </w:p>
    <w:p w14:paraId="69E99D96">
      <w:pPr>
        <w:pStyle w:val="178"/>
        <w:numPr>
          <w:ilvl w:val="0"/>
          <w:numId w:val="65"/>
        </w:numPr>
        <w:outlineLvl w:val="3"/>
      </w:pPr>
      <w:r>
        <w:rPr>
          <w:rFonts w:hint="eastAsia"/>
        </w:rPr>
        <w:t>生活必需品物资采购储备：</w:t>
      </w:r>
    </w:p>
    <w:p w14:paraId="424F6A98">
      <w:pPr>
        <w:pStyle w:val="113"/>
      </w:pPr>
      <w:r>
        <w:rPr>
          <w:rFonts w:hint="eastAsia"/>
        </w:rPr>
        <w:t>承储企业在应急状态下供应一定比例的生活必需品物资；</w:t>
      </w:r>
    </w:p>
    <w:p w14:paraId="7BB920A8">
      <w:pPr>
        <w:pStyle w:val="113"/>
      </w:pPr>
      <w:r>
        <w:rPr>
          <w:rFonts w:hint="eastAsia"/>
        </w:rPr>
        <w:t>分级建设商贸物流设施；</w:t>
      </w:r>
    </w:p>
    <w:p w14:paraId="0826CC43">
      <w:pPr>
        <w:pStyle w:val="113"/>
      </w:pPr>
      <w:r>
        <w:rPr>
          <w:rFonts w:hint="eastAsia"/>
        </w:rPr>
        <w:t>建设生活必需品物资市内和跨省调运和协同保供。</w:t>
      </w:r>
    </w:p>
    <w:p w14:paraId="5376EA4D">
      <w:pPr>
        <w:pStyle w:val="178"/>
        <w:numPr>
          <w:ilvl w:val="0"/>
          <w:numId w:val="65"/>
        </w:numPr>
        <w:outlineLvl w:val="3"/>
      </w:pPr>
      <w:r>
        <w:rPr>
          <w:rFonts w:hint="eastAsia"/>
        </w:rPr>
        <w:t>药品器械储备与调度：</w:t>
      </w:r>
    </w:p>
    <w:p w14:paraId="14075C26">
      <w:pPr>
        <w:pStyle w:val="113"/>
      </w:pPr>
      <w:r>
        <w:rPr>
          <w:rFonts w:hint="eastAsia"/>
        </w:rPr>
        <w:t>建设“市－区－机构”三级药品器械仓储网络，各区建立物流基地、城郊大仓等区域周转库，在连锁药店等末端节点布局建设微型前置仓；</w:t>
      </w:r>
    </w:p>
    <w:p w14:paraId="7966DEEA">
      <w:pPr>
        <w:pStyle w:val="113"/>
      </w:pPr>
      <w:r>
        <w:rPr>
          <w:rFonts w:hint="eastAsia"/>
        </w:rPr>
        <w:t>药品器械储备采用模块化仓储单元，满足日常按需分储与应急状态下的快速集并；</w:t>
      </w:r>
    </w:p>
    <w:p w14:paraId="7A82B14A">
      <w:pPr>
        <w:pStyle w:val="113"/>
      </w:pPr>
      <w:r>
        <w:rPr>
          <w:rFonts w:hint="eastAsia"/>
        </w:rPr>
        <w:t>整合常规耗材产能储备和商业代储，确保企业保留柔性生产线和30天滚动库存。</w:t>
      </w:r>
    </w:p>
    <w:p w14:paraId="02D84E83">
      <w:pPr>
        <w:pStyle w:val="169"/>
        <w:ind w:left="0"/>
      </w:pPr>
      <w:r>
        <w:rPr>
          <w:rFonts w:hint="eastAsia"/>
        </w:rPr>
        <w:t>社会韧性能力，建设内容包括但不限于下列：</w:t>
      </w:r>
    </w:p>
    <w:p w14:paraId="3F4896FC">
      <w:pPr>
        <w:pStyle w:val="178"/>
        <w:numPr>
          <w:ilvl w:val="0"/>
          <w:numId w:val="67"/>
        </w:numPr>
      </w:pPr>
      <w:r>
        <w:rPr>
          <w:rFonts w:hint="eastAsia"/>
        </w:rPr>
        <w:t>建设融媒体宣教平台，分区建设市级宣传教育基地；</w:t>
      </w:r>
    </w:p>
    <w:p w14:paraId="5ED51F82">
      <w:pPr>
        <w:pStyle w:val="178"/>
        <w:numPr>
          <w:ilvl w:val="0"/>
          <w:numId w:val="67"/>
        </w:numPr>
      </w:pPr>
      <w:r>
        <w:rPr>
          <w:rFonts w:hint="eastAsia"/>
        </w:rPr>
        <w:t>扩大重点人群科普参与率，定期开展市、区、乡镇（街道）、村（社区）各级干部培训；</w:t>
      </w:r>
    </w:p>
    <w:p w14:paraId="3126A687">
      <w:pPr>
        <w:pStyle w:val="178"/>
        <w:numPr>
          <w:ilvl w:val="0"/>
          <w:numId w:val="67"/>
        </w:numPr>
      </w:pPr>
      <w:r>
        <w:rPr>
          <w:rFonts w:hint="eastAsia"/>
        </w:rPr>
        <w:t>将防灾减灾纳入国民教育计划，每校每学期至少开展1次地震、火灾等场景应急演练；</w:t>
      </w:r>
    </w:p>
    <w:p w14:paraId="32CF5CE4">
      <w:pPr>
        <w:pStyle w:val="178"/>
        <w:numPr>
          <w:ilvl w:val="0"/>
          <w:numId w:val="67"/>
        </w:numPr>
      </w:pPr>
      <w:r>
        <w:rPr>
          <w:rFonts w:hint="eastAsia"/>
        </w:rPr>
        <w:t>明确灾后受灾人员应急期和过渡期生活救助工作，建立巨灾保险等市场化保障措施；</w:t>
      </w:r>
    </w:p>
    <w:p w14:paraId="582B541E">
      <w:pPr>
        <w:pStyle w:val="178"/>
        <w:numPr>
          <w:ilvl w:val="0"/>
          <w:numId w:val="67"/>
        </w:numPr>
      </w:pPr>
      <w:r>
        <w:rPr>
          <w:rFonts w:hint="eastAsia"/>
        </w:rPr>
        <w:t>分批次建设校园“安全岛”，山区校园配置卫星通信设备、应急净水装置等设施设备；</w:t>
      </w:r>
    </w:p>
    <w:p w14:paraId="1146F312">
      <w:pPr>
        <w:pStyle w:val="178"/>
        <w:numPr>
          <w:ilvl w:val="0"/>
          <w:numId w:val="67"/>
        </w:numPr>
      </w:pPr>
      <w:r>
        <w:rPr>
          <w:rFonts w:hint="eastAsia"/>
        </w:rPr>
        <w:t>组织属地商超、网购平台加大生活物资备货；</w:t>
      </w:r>
    </w:p>
    <w:p w14:paraId="69E7A9CA">
      <w:pPr>
        <w:pStyle w:val="178"/>
        <w:numPr>
          <w:ilvl w:val="0"/>
          <w:numId w:val="67"/>
        </w:numPr>
      </w:pPr>
      <w:r>
        <w:rPr>
          <w:rFonts w:hint="eastAsia"/>
        </w:rPr>
        <w:t>在社区每年组织1次物资调研、技能培训及模拟演练。</w:t>
      </w:r>
    </w:p>
    <w:p w14:paraId="7769A9AF">
      <w:pPr>
        <w:pStyle w:val="109"/>
        <w:spacing w:before="156" w:after="156"/>
      </w:pPr>
      <w:bookmarkStart w:id="141" w:name="_Toc12343"/>
      <w:r>
        <w:rPr>
          <w:rFonts w:hint="eastAsia"/>
        </w:rPr>
        <w:t>韧性城市分区建设</w:t>
      </w:r>
      <w:bookmarkEnd w:id="141"/>
    </w:p>
    <w:p w14:paraId="2B9F8FB8">
      <w:pPr>
        <w:pStyle w:val="69"/>
        <w:spacing w:before="156" w:after="156"/>
        <w:ind w:left="0"/>
      </w:pPr>
      <w:r>
        <w:rPr>
          <w:rFonts w:hint="eastAsia"/>
        </w:rPr>
        <w:t>韧性城市组团</w:t>
      </w:r>
    </w:p>
    <w:p w14:paraId="2359441C">
      <w:pPr>
        <w:pStyle w:val="178"/>
        <w:numPr>
          <w:ilvl w:val="0"/>
          <w:numId w:val="0"/>
        </w:numPr>
        <w:ind w:left="425"/>
      </w:pPr>
      <w:r>
        <w:rPr>
          <w:rFonts w:hint="eastAsia"/>
        </w:rPr>
        <w:t>全市划分39个韧性城市组团，开展区级城市韧性建设，具体内容包括但不限于下列：</w:t>
      </w:r>
    </w:p>
    <w:p w14:paraId="3296BDD7">
      <w:pPr>
        <w:pStyle w:val="178"/>
        <w:numPr>
          <w:ilvl w:val="0"/>
          <w:numId w:val="68"/>
        </w:numPr>
      </w:pPr>
      <w:r>
        <w:rPr>
          <w:rFonts w:hint="eastAsia"/>
        </w:rPr>
        <w:t>实施规划水厂、能源设施、通信设施等基础设施，改造既有设施独立供应条件；按照常住人口规模及保障系数需求，建设应急避难、消防、警务、医疗、物资储备等防灾救灾设施；补充跨区域供电线路、供水管网、通信干线、应急疏散救援通道。</w:t>
      </w:r>
    </w:p>
    <w:p w14:paraId="5BFDA883">
      <w:pPr>
        <w:pStyle w:val="178"/>
        <w:numPr>
          <w:ilvl w:val="0"/>
          <w:numId w:val="68"/>
        </w:numPr>
      </w:pPr>
      <w:r>
        <w:rPr>
          <w:rFonts w:hint="eastAsia"/>
        </w:rPr>
        <w:t>补充移动式应急指挥终端、应急备用水源、超级基站、应急抢修队、应急抢修站点等；配备应急无人机、连锁药店、方舱医院等。</w:t>
      </w:r>
    </w:p>
    <w:p w14:paraId="2D368767">
      <w:pPr>
        <w:pStyle w:val="69"/>
        <w:spacing w:before="156" w:after="156"/>
        <w:ind w:left="0"/>
      </w:pPr>
      <w:r>
        <w:rPr>
          <w:rFonts w:hint="eastAsia"/>
        </w:rPr>
        <w:t>韧性街镇单元</w:t>
      </w:r>
    </w:p>
    <w:p w14:paraId="1FF53DC8">
      <w:pPr>
        <w:pStyle w:val="178"/>
        <w:numPr>
          <w:ilvl w:val="0"/>
          <w:numId w:val="0"/>
        </w:numPr>
        <w:ind w:left="425"/>
      </w:pPr>
      <w:r>
        <w:rPr>
          <w:rFonts w:hint="eastAsia"/>
        </w:rPr>
        <w:t>以乡镇（街道）行政为主体开展建设，具体内容包括但不限于下列：</w:t>
      </w:r>
    </w:p>
    <w:p w14:paraId="1E4FE073">
      <w:pPr>
        <w:pStyle w:val="178"/>
        <w:numPr>
          <w:ilvl w:val="0"/>
          <w:numId w:val="69"/>
        </w:numPr>
      </w:pPr>
      <w:r>
        <w:rPr>
          <w:rFonts w:hint="eastAsia"/>
        </w:rPr>
        <w:t>街镇单元类型划分。依据致灾因子风险性、承灾体脆弱性、供应保障能力、救援响应水平和可利用空间资源等整体情况划分韧性街镇单元，单元划分为治理型、应对型、指挥型、供应型、支援型等类型。</w:t>
      </w:r>
    </w:p>
    <w:p w14:paraId="7962577E">
      <w:pPr>
        <w:pStyle w:val="178"/>
        <w:numPr>
          <w:ilvl w:val="0"/>
          <w:numId w:val="69"/>
        </w:numPr>
      </w:pPr>
      <w:r>
        <w:rPr>
          <w:rFonts w:hint="eastAsia"/>
        </w:rPr>
        <w:t>设施配置。优化小型消防站、派出所、基层医疗卫生机构布局，配置应急避难场所及相关设施，健全二级、三级应急疏散救援通道体系，建设街镇级综合应急物资仓库，储备各类应急物资。</w:t>
      </w:r>
    </w:p>
    <w:p w14:paraId="4CC3740F">
      <w:pPr>
        <w:pStyle w:val="178"/>
        <w:numPr>
          <w:ilvl w:val="0"/>
          <w:numId w:val="69"/>
        </w:numPr>
      </w:pPr>
      <w:r>
        <w:rPr>
          <w:rFonts w:hint="eastAsia"/>
        </w:rPr>
        <w:t>灾害风险防治。实施建筑抗震加固、地质灾害隐患点工程加固、水利工程监测预警设施加密等建设工程，开展消防设施优化与隐患治理、内涝易发区防涝改造等。</w:t>
      </w:r>
    </w:p>
    <w:p w14:paraId="014843E3">
      <w:pPr>
        <w:pStyle w:val="178"/>
        <w:numPr>
          <w:ilvl w:val="0"/>
          <w:numId w:val="69"/>
        </w:numPr>
      </w:pPr>
      <w:r>
        <w:rPr>
          <w:rFonts w:hint="eastAsia"/>
        </w:rPr>
        <w:t>高密度片区韧性。建筑应具备抗震、防火、防风等能力，实施安全监测；配置消防救援站、急救中心、派出所、应急避难场所等，具备瞬时人流风险防控、应急疏散等能力。</w:t>
      </w:r>
    </w:p>
    <w:p w14:paraId="4C61062C">
      <w:pPr>
        <w:pStyle w:val="69"/>
        <w:spacing w:before="156" w:after="156"/>
        <w:ind w:left="0"/>
      </w:pPr>
      <w:r>
        <w:rPr>
          <w:rFonts w:hint="eastAsia"/>
        </w:rPr>
        <w:t>韧性社村生活圈</w:t>
      </w:r>
    </w:p>
    <w:p w14:paraId="4136B45B">
      <w:pPr>
        <w:pStyle w:val="178"/>
        <w:numPr>
          <w:ilvl w:val="0"/>
          <w:numId w:val="0"/>
        </w:numPr>
        <w:ind w:left="425"/>
      </w:pPr>
      <w:r>
        <w:rPr>
          <w:rFonts w:hint="eastAsia"/>
        </w:rPr>
        <w:t>以社区、村为主体开展建设，具体内容包括但不限于下列：</w:t>
      </w:r>
    </w:p>
    <w:p w14:paraId="6AB1DB5A">
      <w:pPr>
        <w:pStyle w:val="178"/>
        <w:numPr>
          <w:ilvl w:val="0"/>
          <w:numId w:val="70"/>
        </w:numPr>
      </w:pPr>
      <w:r>
        <w:rPr>
          <w:rFonts w:hint="eastAsia"/>
        </w:rPr>
        <w:t>基本设施配置。村（社区）1000</w:t>
      </w:r>
      <w:r>
        <w:rPr>
          <w:rFonts w:hint="eastAsia"/>
          <w:lang w:val="en-US" w:eastAsia="zh-CN"/>
        </w:rPr>
        <w:t>m</w:t>
      </w:r>
      <w:r>
        <w:rPr>
          <w:rFonts w:hint="eastAsia"/>
        </w:rPr>
        <w:t>～1500</w:t>
      </w:r>
      <w:r>
        <w:rPr>
          <w:rFonts w:hint="eastAsia"/>
          <w:lang w:val="en-US" w:eastAsia="zh-CN"/>
        </w:rPr>
        <w:t>m</w:t>
      </w:r>
      <w:r>
        <w:rPr>
          <w:rFonts w:hint="eastAsia"/>
        </w:rPr>
        <w:t>服务半径内配置应急储水、应急供电、风险监测、紧急避难场所、三级应急疏散救援通道、社区通信机房、基站等设施。高风险区村庄提高</w:t>
      </w:r>
      <w:r>
        <w:rPr>
          <w:rFonts w:hint="eastAsia"/>
          <w:lang w:val="en-US" w:eastAsia="zh-CN"/>
        </w:rPr>
        <w:t>重要</w:t>
      </w:r>
      <w:r>
        <w:rPr>
          <w:rFonts w:hint="eastAsia"/>
        </w:rPr>
        <w:t>设施设防标准。</w:t>
      </w:r>
    </w:p>
    <w:p w14:paraId="4438F2CC">
      <w:pPr>
        <w:pStyle w:val="178"/>
        <w:numPr>
          <w:ilvl w:val="0"/>
          <w:numId w:val="70"/>
        </w:numPr>
      </w:pPr>
      <w:r>
        <w:rPr>
          <w:rFonts w:hint="eastAsia"/>
        </w:rPr>
        <w:t>平急功能转换。村（社区）内超市、便利店、餐馆、学校教学楼、公园、公共体育场、文化设施、物业用房、党群活动中心、酒店等实施平急功能转换改造，调度灾时人员、物资、空间资源。</w:t>
      </w:r>
    </w:p>
    <w:p w14:paraId="57C7538D">
      <w:pPr>
        <w:pStyle w:val="178"/>
        <w:numPr>
          <w:ilvl w:val="0"/>
          <w:numId w:val="70"/>
        </w:numPr>
      </w:pPr>
      <w:r>
        <w:rPr>
          <w:rFonts w:hint="eastAsia"/>
        </w:rPr>
        <w:t>基层自组织能力。构建灾时村（社区）基本资源需求、弱势群体分布情况和既有空间资源等清单。</w:t>
      </w:r>
    </w:p>
    <w:p w14:paraId="14DD2117">
      <w:pPr>
        <w:pStyle w:val="109"/>
        <w:spacing w:before="156" w:after="156"/>
      </w:pPr>
      <w:bookmarkStart w:id="142" w:name="_Toc10551"/>
      <w:r>
        <w:rPr>
          <w:rFonts w:hint="eastAsia"/>
        </w:rPr>
        <w:t>重大风险灾害防御</w:t>
      </w:r>
      <w:bookmarkEnd w:id="142"/>
    </w:p>
    <w:p w14:paraId="024B332B">
      <w:pPr>
        <w:pStyle w:val="169"/>
        <w:ind w:left="0"/>
      </w:pPr>
      <w:r>
        <w:rPr>
          <w:rFonts w:hint="eastAsia"/>
        </w:rPr>
        <w:t>巨震防范，具体建设内容包括但不限于下列：</w:t>
      </w:r>
    </w:p>
    <w:p w14:paraId="19F6BADC">
      <w:pPr>
        <w:pStyle w:val="178"/>
        <w:numPr>
          <w:ilvl w:val="0"/>
          <w:numId w:val="71"/>
        </w:numPr>
        <w:outlineLvl w:val="4"/>
      </w:pPr>
      <w:r>
        <w:rPr>
          <w:rFonts w:hint="eastAsia"/>
        </w:rPr>
        <w:t>地震监测预警：</w:t>
      </w:r>
    </w:p>
    <w:p w14:paraId="296B5348">
      <w:pPr>
        <w:pStyle w:val="113"/>
        <w:numPr>
          <w:ilvl w:val="1"/>
          <w:numId w:val="72"/>
        </w:numPr>
      </w:pPr>
      <w:r>
        <w:rPr>
          <w:rFonts w:hint="eastAsia"/>
        </w:rPr>
        <w:t>实施地震构造探测与观测工程；</w:t>
      </w:r>
    </w:p>
    <w:p w14:paraId="1566B4F8">
      <w:pPr>
        <w:pStyle w:val="113"/>
        <w:numPr>
          <w:ilvl w:val="1"/>
          <w:numId w:val="72"/>
        </w:numPr>
      </w:pPr>
      <w:r>
        <w:rPr>
          <w:rFonts w:hint="eastAsia"/>
        </w:rPr>
        <w:t>依据台站平均间距约2</w:t>
      </w:r>
      <w:r>
        <w:rPr>
          <w:rFonts w:hint="eastAsia"/>
          <w:lang w:val="en-US" w:eastAsia="zh-CN"/>
        </w:rPr>
        <w:t>km</w:t>
      </w:r>
      <w:r>
        <w:rPr>
          <w:rFonts w:hint="eastAsia"/>
        </w:rPr>
        <w:t>，人口密集区约1</w:t>
      </w:r>
      <w:r>
        <w:rPr>
          <w:rFonts w:hint="eastAsia"/>
          <w:lang w:val="en-US" w:eastAsia="zh-CN"/>
        </w:rPr>
        <w:t>km</w:t>
      </w:r>
      <w:r>
        <w:rPr>
          <w:rFonts w:hint="eastAsia"/>
        </w:rPr>
        <w:t>要求，加密建设强震与烈度计台站；</w:t>
      </w:r>
    </w:p>
    <w:p w14:paraId="20395055">
      <w:pPr>
        <w:pStyle w:val="113"/>
        <w:numPr>
          <w:ilvl w:val="1"/>
          <w:numId w:val="72"/>
        </w:numPr>
      </w:pPr>
      <w:r>
        <w:rPr>
          <w:rFonts w:hint="eastAsia"/>
        </w:rPr>
        <w:t>预警信息与在强震下可能产生重大次生风险的</w:t>
      </w:r>
      <w:r>
        <w:rPr>
          <w:rFonts w:hint="eastAsia"/>
          <w:lang w:val="en-US" w:eastAsia="zh-CN"/>
        </w:rPr>
        <w:t>重要</w:t>
      </w:r>
      <w:r>
        <w:rPr>
          <w:rFonts w:hint="eastAsia"/>
        </w:rPr>
        <w:t>设施（如核设施、高铁等）紧急制动系统联动；</w:t>
      </w:r>
    </w:p>
    <w:p w14:paraId="51CB963C">
      <w:pPr>
        <w:pStyle w:val="113"/>
        <w:numPr>
          <w:ilvl w:val="1"/>
          <w:numId w:val="72"/>
        </w:numPr>
      </w:pPr>
      <w:r>
        <w:rPr>
          <w:rFonts w:hint="eastAsia"/>
        </w:rPr>
        <w:t>多渠道发布预警信息。</w:t>
      </w:r>
    </w:p>
    <w:p w14:paraId="0A4F4EF9">
      <w:pPr>
        <w:pStyle w:val="178"/>
        <w:numPr>
          <w:ilvl w:val="0"/>
          <w:numId w:val="71"/>
        </w:numPr>
        <w:outlineLvl w:val="4"/>
      </w:pPr>
      <w:r>
        <w:rPr>
          <w:rFonts w:hint="eastAsia"/>
        </w:rPr>
        <w:t>建构筑物抗震：</w:t>
      </w:r>
    </w:p>
    <w:p w14:paraId="1F954B66">
      <w:pPr>
        <w:pStyle w:val="113"/>
        <w:numPr>
          <w:ilvl w:val="1"/>
          <w:numId w:val="73"/>
        </w:numPr>
      </w:pPr>
      <w:r>
        <w:rPr>
          <w:rFonts w:hint="eastAsia"/>
        </w:rPr>
        <w:t>高层建筑采取减隔震措施；</w:t>
      </w:r>
    </w:p>
    <w:p w14:paraId="3D7A5096">
      <w:pPr>
        <w:pStyle w:val="113"/>
        <w:numPr>
          <w:ilvl w:val="1"/>
          <w:numId w:val="73"/>
        </w:numPr>
      </w:pPr>
      <w:r>
        <w:rPr>
          <w:rFonts w:hint="eastAsia"/>
        </w:rPr>
        <w:t>电梯系统具备震时智能控制与就近停靠功能；</w:t>
      </w:r>
    </w:p>
    <w:p w14:paraId="18725DBE">
      <w:pPr>
        <w:pStyle w:val="113"/>
        <w:numPr>
          <w:ilvl w:val="1"/>
          <w:numId w:val="73"/>
        </w:numPr>
      </w:pPr>
      <w:r>
        <w:rPr>
          <w:rFonts w:hint="eastAsia"/>
        </w:rPr>
        <w:t>人员密集场所通过建筑退线、广场空间优化及流线设计设置安全缓冲区域；</w:t>
      </w:r>
    </w:p>
    <w:p w14:paraId="7682EDEE">
      <w:pPr>
        <w:pStyle w:val="113"/>
        <w:numPr>
          <w:ilvl w:val="1"/>
          <w:numId w:val="73"/>
        </w:numPr>
      </w:pPr>
      <w:r>
        <w:rPr>
          <w:rFonts w:hint="eastAsia"/>
        </w:rPr>
        <w:t>对重点隐患房屋实施复核鉴定与加固，布设结构安全监测设备；</w:t>
      </w:r>
    </w:p>
    <w:p w14:paraId="17EEAE3D">
      <w:pPr>
        <w:pStyle w:val="113"/>
        <w:numPr>
          <w:ilvl w:val="1"/>
          <w:numId w:val="73"/>
        </w:numPr>
      </w:pPr>
      <w:r>
        <w:rPr>
          <w:rFonts w:hint="eastAsia"/>
        </w:rPr>
        <w:t>对一般隐患房屋结合城市更新逐步改造。</w:t>
      </w:r>
    </w:p>
    <w:p w14:paraId="3A9F077E">
      <w:pPr>
        <w:pStyle w:val="178"/>
        <w:numPr>
          <w:ilvl w:val="0"/>
          <w:numId w:val="71"/>
        </w:numPr>
        <w:outlineLvl w:val="4"/>
      </w:pPr>
      <w:r>
        <w:rPr>
          <w:rFonts w:hint="eastAsia"/>
        </w:rPr>
        <w:t>应急救援能力：</w:t>
      </w:r>
    </w:p>
    <w:p w14:paraId="01EF427F">
      <w:pPr>
        <w:pStyle w:val="113"/>
        <w:numPr>
          <w:ilvl w:val="1"/>
          <w:numId w:val="74"/>
        </w:numPr>
      </w:pPr>
      <w:r>
        <w:rPr>
          <w:rFonts w:hint="eastAsia"/>
        </w:rPr>
        <w:t>依据“黑箱期、应急初期、紧急救援期、全面救援期、响应结束期”五个阶段构建响应流程与任务指令；</w:t>
      </w:r>
    </w:p>
    <w:p w14:paraId="52D6ADD2">
      <w:pPr>
        <w:pStyle w:val="113"/>
        <w:numPr>
          <w:ilvl w:val="1"/>
          <w:numId w:val="74"/>
        </w:numPr>
      </w:pPr>
      <w:r>
        <w:rPr>
          <w:rFonts w:hint="eastAsia"/>
        </w:rPr>
        <w:t>构建房屋倒塌、生命线中断、地铁被困、人员滞留、次生灾害及群众安置等典型灾害场景，明确应急救援重点。</w:t>
      </w:r>
    </w:p>
    <w:p w14:paraId="10D7272A">
      <w:pPr>
        <w:pStyle w:val="169"/>
        <w:ind w:left="0"/>
      </w:pPr>
      <w:r>
        <w:rPr>
          <w:rFonts w:hint="eastAsia"/>
        </w:rPr>
        <w:t>洪涝灾害防御，具体建设内容包括但不限于下列：</w:t>
      </w:r>
    </w:p>
    <w:p w14:paraId="29062085">
      <w:pPr>
        <w:pStyle w:val="178"/>
        <w:numPr>
          <w:ilvl w:val="0"/>
          <w:numId w:val="75"/>
        </w:numPr>
      </w:pPr>
      <w:r>
        <w:rPr>
          <w:rFonts w:hint="eastAsia"/>
        </w:rPr>
        <w:t>流域防洪工程。系统规划水库、蓄滞洪区等流域控制性工程，防洪工程运行管理宜具备应急洪涝联排联调的能力。</w:t>
      </w:r>
    </w:p>
    <w:p w14:paraId="6B1A52E0">
      <w:pPr>
        <w:pStyle w:val="178"/>
        <w:numPr>
          <w:ilvl w:val="0"/>
          <w:numId w:val="75"/>
        </w:numPr>
      </w:pPr>
      <w:r>
        <w:rPr>
          <w:rFonts w:hint="eastAsia"/>
        </w:rPr>
        <w:t>重点区域防洪。首都功能核心区、中心城区、北京城市副中心等重点区域及大兴国际机场、首都机场、高铁场站等重要基础设施提高洪水防御标准。</w:t>
      </w:r>
    </w:p>
    <w:p w14:paraId="6BEA3CEE">
      <w:pPr>
        <w:pStyle w:val="178"/>
        <w:numPr>
          <w:ilvl w:val="0"/>
          <w:numId w:val="75"/>
        </w:numPr>
      </w:pPr>
      <w:r>
        <w:rPr>
          <w:rFonts w:hint="eastAsia"/>
        </w:rPr>
        <w:t>堤防与河道治理：</w:t>
      </w:r>
    </w:p>
    <w:p w14:paraId="1430637C">
      <w:pPr>
        <w:pStyle w:val="113"/>
        <w:numPr>
          <w:ilvl w:val="1"/>
          <w:numId w:val="67"/>
        </w:numPr>
      </w:pPr>
      <w:r>
        <w:rPr>
          <w:rFonts w:hint="eastAsia"/>
        </w:rPr>
        <w:t>定期开展永定河、潮白河、北运河等骨干河道超标准行洪能力及安全评估；</w:t>
      </w:r>
    </w:p>
    <w:p w14:paraId="1F654A9D">
      <w:pPr>
        <w:pStyle w:val="113"/>
        <w:numPr>
          <w:ilvl w:val="1"/>
          <w:numId w:val="67"/>
        </w:numPr>
      </w:pPr>
      <w:r>
        <w:rPr>
          <w:rFonts w:hint="eastAsia"/>
        </w:rPr>
        <w:t>实施重点河道治理工程，采用上游坡面与沟道自然恢复、中游防冲消能、下游生态治理相结合的综合治理方案。</w:t>
      </w:r>
    </w:p>
    <w:p w14:paraId="0BEC3637">
      <w:pPr>
        <w:pStyle w:val="178"/>
        <w:numPr>
          <w:ilvl w:val="0"/>
          <w:numId w:val="71"/>
        </w:numPr>
      </w:pPr>
      <w:r>
        <w:rPr>
          <w:rFonts w:hint="eastAsia"/>
        </w:rPr>
        <w:t>水库、库群及闸坝的优化调度：</w:t>
      </w:r>
    </w:p>
    <w:p w14:paraId="7FE892E6">
      <w:pPr>
        <w:pStyle w:val="113"/>
        <w:numPr>
          <w:ilvl w:val="1"/>
          <w:numId w:val="76"/>
        </w:numPr>
      </w:pPr>
      <w:r>
        <w:rPr>
          <w:rFonts w:hint="eastAsia"/>
        </w:rPr>
        <w:t>建设山区洪水控制性工程，规划水库建设满足流域洪水调控与减轻下游防洪压力要求；</w:t>
      </w:r>
    </w:p>
    <w:p w14:paraId="1858873B">
      <w:pPr>
        <w:pStyle w:val="113"/>
        <w:numPr>
          <w:ilvl w:val="1"/>
          <w:numId w:val="76"/>
        </w:numPr>
      </w:pPr>
      <w:r>
        <w:rPr>
          <w:rFonts w:hint="eastAsia"/>
        </w:rPr>
        <w:t>对排查确定的病险水库及大中型病险水闸，实施除险加固并完成安全鉴定。</w:t>
      </w:r>
    </w:p>
    <w:p w14:paraId="174897B6">
      <w:pPr>
        <w:pStyle w:val="178"/>
        <w:numPr>
          <w:ilvl w:val="0"/>
          <w:numId w:val="71"/>
        </w:numPr>
      </w:pPr>
      <w:r>
        <w:rPr>
          <w:rFonts w:hint="eastAsia"/>
        </w:rPr>
        <w:t>蓄洪（涝）区建设</w:t>
      </w:r>
      <w:r>
        <w:rPr>
          <w:rFonts w:hint="eastAsia" w:ascii="Times New Roman"/>
        </w:rPr>
        <w:t>：</w:t>
      </w:r>
    </w:p>
    <w:p w14:paraId="56F0DA36">
      <w:pPr>
        <w:pStyle w:val="113"/>
        <w:numPr>
          <w:ilvl w:val="1"/>
          <w:numId w:val="77"/>
        </w:numPr>
      </w:pPr>
      <w:r>
        <w:rPr>
          <w:rFonts w:hint="eastAsia"/>
        </w:rPr>
        <w:t>已建或部分建成的蓄洪（涝）区完善配套设施建设；</w:t>
      </w:r>
    </w:p>
    <w:p w14:paraId="70F03330">
      <w:pPr>
        <w:pStyle w:val="113"/>
        <w:numPr>
          <w:ilvl w:val="1"/>
          <w:numId w:val="77"/>
        </w:numPr>
      </w:pPr>
      <w:r>
        <w:rPr>
          <w:rFonts w:hint="eastAsia"/>
        </w:rPr>
        <w:t>制定应对超标准洪水临时分洪区布设方案与联动调度路径。</w:t>
      </w:r>
    </w:p>
    <w:p w14:paraId="49E8B604">
      <w:pPr>
        <w:pStyle w:val="178"/>
        <w:numPr>
          <w:ilvl w:val="0"/>
          <w:numId w:val="71"/>
        </w:numPr>
      </w:pPr>
      <w:r>
        <w:rPr>
          <w:rFonts w:hint="eastAsia"/>
        </w:rPr>
        <w:t>城市内涝治理</w:t>
      </w:r>
      <w:r>
        <w:rPr>
          <w:rFonts w:hint="eastAsia" w:ascii="Times New Roman"/>
        </w:rPr>
        <w:t>：</w:t>
      </w:r>
    </w:p>
    <w:p w14:paraId="7F9BA1C6">
      <w:pPr>
        <w:pStyle w:val="113"/>
        <w:numPr>
          <w:ilvl w:val="1"/>
          <w:numId w:val="78"/>
        </w:numPr>
      </w:pPr>
      <w:r>
        <w:rPr>
          <w:rFonts w:hint="eastAsia"/>
        </w:rPr>
        <w:t>实施源头雨水控制与利用工程；</w:t>
      </w:r>
    </w:p>
    <w:p w14:paraId="109A1F78">
      <w:pPr>
        <w:pStyle w:val="113"/>
        <w:numPr>
          <w:ilvl w:val="1"/>
          <w:numId w:val="78"/>
        </w:numPr>
      </w:pPr>
      <w:r>
        <w:rPr>
          <w:rFonts w:hint="eastAsia"/>
        </w:rPr>
        <w:t>下凹桥区综合治理、重点区域雨水设施建设改造；</w:t>
      </w:r>
    </w:p>
    <w:p w14:paraId="03B5FFDC">
      <w:pPr>
        <w:pStyle w:val="113"/>
        <w:numPr>
          <w:ilvl w:val="1"/>
          <w:numId w:val="78"/>
        </w:numPr>
      </w:pPr>
      <w:r>
        <w:rPr>
          <w:rFonts w:hint="eastAsia"/>
        </w:rPr>
        <w:t>新建重要基础设施选址开展洪涝风险论证；</w:t>
      </w:r>
    </w:p>
    <w:p w14:paraId="78255669">
      <w:pPr>
        <w:pStyle w:val="113"/>
        <w:numPr>
          <w:ilvl w:val="1"/>
          <w:numId w:val="78"/>
        </w:numPr>
      </w:pPr>
      <w:r>
        <w:rPr>
          <w:rFonts w:hint="eastAsia"/>
        </w:rPr>
        <w:t>重要基础设施、公共建筑及地下空间出入口标高符合规定要求，设置可快速部署的防洪构件。</w:t>
      </w:r>
    </w:p>
    <w:p w14:paraId="4B7102E3">
      <w:pPr>
        <w:pStyle w:val="169"/>
        <w:ind w:left="0"/>
      </w:pPr>
      <w:r>
        <w:rPr>
          <w:rFonts w:hint="eastAsia"/>
        </w:rPr>
        <w:t>极端天气应对，具体建设内容包括但不限于下列：</w:t>
      </w:r>
    </w:p>
    <w:p w14:paraId="4988AB56">
      <w:pPr>
        <w:pStyle w:val="178"/>
        <w:numPr>
          <w:ilvl w:val="0"/>
          <w:numId w:val="79"/>
        </w:numPr>
        <w:outlineLvl w:val="4"/>
      </w:pPr>
      <w:r>
        <w:rPr>
          <w:rFonts w:hint="eastAsia"/>
        </w:rPr>
        <w:t>气象监测预报</w:t>
      </w:r>
      <w:r>
        <w:rPr>
          <w:rFonts w:hint="eastAsia" w:ascii="Times New Roman"/>
        </w:rPr>
        <w:t>：</w:t>
      </w:r>
    </w:p>
    <w:p w14:paraId="1B21D929">
      <w:pPr>
        <w:pStyle w:val="113"/>
        <w:numPr>
          <w:ilvl w:val="1"/>
          <w:numId w:val="80"/>
        </w:numPr>
      </w:pPr>
      <w:r>
        <w:rPr>
          <w:rFonts w:hint="eastAsia"/>
        </w:rPr>
        <w:t>建设高标准野外科学观测站，开展长序列气象要素观测及重点行业气候变化风险评估；</w:t>
      </w:r>
    </w:p>
    <w:p w14:paraId="7C94C857">
      <w:pPr>
        <w:pStyle w:val="113"/>
        <w:numPr>
          <w:ilvl w:val="1"/>
          <w:numId w:val="80"/>
        </w:numPr>
      </w:pPr>
      <w:r>
        <w:rPr>
          <w:rFonts w:hint="eastAsia"/>
        </w:rPr>
        <w:t>在山区、临水等自然灾害高风险区域部署北斗卫星等备份通信手段，宜采用智能化专用观测设备。</w:t>
      </w:r>
    </w:p>
    <w:p w14:paraId="72D6B8A0">
      <w:pPr>
        <w:pStyle w:val="178"/>
        <w:numPr>
          <w:ilvl w:val="0"/>
          <w:numId w:val="79"/>
        </w:numPr>
        <w:outlineLvl w:val="4"/>
      </w:pPr>
      <w:r>
        <w:rPr>
          <w:rFonts w:hint="eastAsia"/>
        </w:rPr>
        <w:t>预报预警平台：</w:t>
      </w:r>
    </w:p>
    <w:p w14:paraId="3275B841">
      <w:pPr>
        <w:pStyle w:val="113"/>
        <w:numPr>
          <w:ilvl w:val="1"/>
          <w:numId w:val="81"/>
        </w:numPr>
      </w:pPr>
      <w:r>
        <w:rPr>
          <w:rFonts w:hint="eastAsia"/>
        </w:rPr>
        <w:t>构建高分辨率数值预报模式，实现关键区域“米级、分钟级”预报；</w:t>
      </w:r>
    </w:p>
    <w:p w14:paraId="692A5F44">
      <w:pPr>
        <w:pStyle w:val="113"/>
        <w:numPr>
          <w:ilvl w:val="1"/>
          <w:numId w:val="81"/>
        </w:numPr>
      </w:pPr>
      <w:r>
        <w:rPr>
          <w:rFonts w:hint="eastAsia"/>
        </w:rPr>
        <w:t>极端天气预报业务构建0-60天三维智能网格预报体系。</w:t>
      </w:r>
    </w:p>
    <w:p w14:paraId="1995A2C0">
      <w:pPr>
        <w:pStyle w:val="169"/>
        <w:ind w:left="0"/>
      </w:pPr>
      <w:r>
        <w:rPr>
          <w:rFonts w:hint="eastAsia"/>
        </w:rPr>
        <w:t>地质灾害防控，具体建设内容包括但不限于下列：</w:t>
      </w:r>
    </w:p>
    <w:p w14:paraId="1C915A92">
      <w:pPr>
        <w:pStyle w:val="178"/>
        <w:numPr>
          <w:ilvl w:val="0"/>
          <w:numId w:val="82"/>
        </w:numPr>
        <w:jc w:val="left"/>
        <w:outlineLvl w:val="4"/>
      </w:pPr>
      <w:r>
        <w:rPr>
          <w:rFonts w:hint="eastAsia"/>
        </w:rPr>
        <w:t>风险评估及隐患排查</w:t>
      </w:r>
      <w:r>
        <w:rPr>
          <w:rFonts w:hint="eastAsia" w:ascii="Times New Roman"/>
        </w:rPr>
        <w:t>：</w:t>
      </w:r>
    </w:p>
    <w:p w14:paraId="0F4C5D12">
      <w:pPr>
        <w:pStyle w:val="113"/>
        <w:numPr>
          <w:ilvl w:val="1"/>
          <w:numId w:val="83"/>
        </w:numPr>
      </w:pPr>
      <w:r>
        <w:rPr>
          <w:rFonts w:hint="eastAsia"/>
        </w:rPr>
        <w:t>地质灾害风险调查评估常态化与动态更新；</w:t>
      </w:r>
    </w:p>
    <w:p w14:paraId="7F9B40B2">
      <w:pPr>
        <w:pStyle w:val="113"/>
        <w:numPr>
          <w:ilvl w:val="1"/>
          <w:numId w:val="83"/>
        </w:numPr>
      </w:pPr>
      <w:r>
        <w:rPr>
          <w:rFonts w:hint="eastAsia"/>
        </w:rPr>
        <w:t>开展灾区沟域流域综合评估及浅山区、新业态区域专项风险评估；</w:t>
      </w:r>
    </w:p>
    <w:p w14:paraId="020DDF9C">
      <w:pPr>
        <w:pStyle w:val="113"/>
        <w:numPr>
          <w:ilvl w:val="1"/>
          <w:numId w:val="83"/>
        </w:numPr>
      </w:pPr>
      <w:r>
        <w:rPr>
          <w:rFonts w:hint="eastAsia"/>
        </w:rPr>
        <w:t>实施城市隐伏断裂与地裂缝专项排查，开展与控详规比例尺匹配的地面沉降精细化调查；</w:t>
      </w:r>
    </w:p>
    <w:p w14:paraId="6948095C">
      <w:pPr>
        <w:pStyle w:val="113"/>
        <w:numPr>
          <w:ilvl w:val="1"/>
          <w:numId w:val="83"/>
        </w:numPr>
      </w:pPr>
      <w:r>
        <w:rPr>
          <w:rFonts w:hint="eastAsia"/>
        </w:rPr>
        <w:t>动态更新山区重要交通廊道沿线地质灾害隐患点数据库。</w:t>
      </w:r>
    </w:p>
    <w:p w14:paraId="0B9BF647">
      <w:pPr>
        <w:pStyle w:val="178"/>
        <w:numPr>
          <w:ilvl w:val="0"/>
          <w:numId w:val="82"/>
        </w:numPr>
        <w:jc w:val="left"/>
        <w:outlineLvl w:val="4"/>
      </w:pPr>
      <w:r>
        <w:rPr>
          <w:rFonts w:hint="eastAsia"/>
        </w:rPr>
        <w:t>监测预警网络：</w:t>
      </w:r>
    </w:p>
    <w:p w14:paraId="7943C2D4">
      <w:pPr>
        <w:pStyle w:val="113"/>
        <w:numPr>
          <w:ilvl w:val="1"/>
          <w:numId w:val="84"/>
        </w:numPr>
      </w:pPr>
      <w:r>
        <w:rPr>
          <w:rFonts w:hint="eastAsia"/>
        </w:rPr>
        <w:t>地质灾害极高、高风险区优化野外监测站网布局，实施网格化预警；</w:t>
      </w:r>
    </w:p>
    <w:p w14:paraId="37963255">
      <w:pPr>
        <w:pStyle w:val="113"/>
        <w:numPr>
          <w:ilvl w:val="1"/>
          <w:numId w:val="84"/>
        </w:numPr>
      </w:pPr>
      <w:r>
        <w:rPr>
          <w:rFonts w:hint="eastAsia"/>
        </w:rPr>
        <w:t>地面沉降和地裂缝监测网络覆盖城市东部、南部及重大线性工程。</w:t>
      </w:r>
    </w:p>
    <w:p w14:paraId="1815AF56">
      <w:pPr>
        <w:pStyle w:val="178"/>
        <w:numPr>
          <w:ilvl w:val="0"/>
          <w:numId w:val="82"/>
        </w:numPr>
        <w:jc w:val="left"/>
        <w:outlineLvl w:val="4"/>
      </w:pPr>
      <w:r>
        <w:rPr>
          <w:rFonts w:hint="eastAsia"/>
        </w:rPr>
        <w:t>风险管控与治理：</w:t>
      </w:r>
    </w:p>
    <w:p w14:paraId="12F44286">
      <w:pPr>
        <w:pStyle w:val="113"/>
        <w:numPr>
          <w:ilvl w:val="1"/>
          <w:numId w:val="85"/>
        </w:numPr>
      </w:pPr>
      <w:r>
        <w:rPr>
          <w:rFonts w:hint="eastAsia"/>
        </w:rPr>
        <w:t>科学规划山区空间布局；</w:t>
      </w:r>
    </w:p>
    <w:p w14:paraId="3FA8BEB6">
      <w:pPr>
        <w:pStyle w:val="113"/>
        <w:numPr>
          <w:ilvl w:val="1"/>
          <w:numId w:val="85"/>
        </w:numPr>
      </w:pPr>
      <w:r>
        <w:rPr>
          <w:rFonts w:hint="eastAsia"/>
        </w:rPr>
        <w:t>有效维护既有治理工程；</w:t>
      </w:r>
    </w:p>
    <w:p w14:paraId="47A91027">
      <w:pPr>
        <w:pStyle w:val="113"/>
        <w:numPr>
          <w:ilvl w:val="1"/>
          <w:numId w:val="85"/>
        </w:numPr>
      </w:pPr>
      <w:r>
        <w:rPr>
          <w:rFonts w:hint="eastAsia"/>
        </w:rPr>
        <w:t>人口集聚区及重要基础设施的风险</w:t>
      </w:r>
      <w:r>
        <w:rPr>
          <w:rFonts w:hint="eastAsia"/>
          <w:lang w:val="en-US" w:eastAsia="zh-CN"/>
        </w:rPr>
        <w:t>防</w:t>
      </w:r>
      <w:r>
        <w:rPr>
          <w:rFonts w:hint="eastAsia"/>
        </w:rPr>
        <w:t>控与治理；</w:t>
      </w:r>
    </w:p>
    <w:p w14:paraId="3BDD7F4F">
      <w:pPr>
        <w:pStyle w:val="113"/>
        <w:numPr>
          <w:ilvl w:val="1"/>
          <w:numId w:val="85"/>
        </w:numPr>
      </w:pPr>
      <w:r>
        <w:rPr>
          <w:rFonts w:hint="eastAsia"/>
        </w:rPr>
        <w:t>两大国际机场等平原重点区域针对地面沉降等缓变灾害编制风险防控规范；</w:t>
      </w:r>
    </w:p>
    <w:p w14:paraId="3B69DD0E">
      <w:pPr>
        <w:pStyle w:val="113"/>
        <w:numPr>
          <w:ilvl w:val="1"/>
          <w:numId w:val="85"/>
        </w:numPr>
      </w:pPr>
      <w:r>
        <w:rPr>
          <w:rFonts w:hint="eastAsia"/>
        </w:rPr>
        <w:t>裂缝发育区域线性工程采用柔性穿越等技术，实施地表建筑避让。</w:t>
      </w:r>
    </w:p>
    <w:p w14:paraId="67523661">
      <w:pPr>
        <w:pStyle w:val="169"/>
        <w:ind w:left="0"/>
      </w:pPr>
      <w:r>
        <w:rPr>
          <w:rFonts w:hint="eastAsia"/>
        </w:rPr>
        <w:t>地下水位回升风险防控，具体建设内容包括但不限于下列：</w:t>
      </w:r>
    </w:p>
    <w:p w14:paraId="57FD0E57">
      <w:pPr>
        <w:pStyle w:val="178"/>
        <w:numPr>
          <w:ilvl w:val="0"/>
          <w:numId w:val="86"/>
        </w:numPr>
      </w:pPr>
      <w:r>
        <w:rPr>
          <w:rFonts w:hint="eastAsia"/>
        </w:rPr>
        <w:t>监测预警系统。开展多情景下地下水位变化趋势分析，对重</w:t>
      </w:r>
      <w:r>
        <w:rPr>
          <w:rFonts w:hint="eastAsia"/>
          <w:lang w:val="en-US" w:eastAsia="zh-CN"/>
        </w:rPr>
        <w:t>要</w:t>
      </w:r>
      <w:r>
        <w:rPr>
          <w:rFonts w:hint="eastAsia"/>
        </w:rPr>
        <w:t>基础设施及周边地下水动态实施监测。</w:t>
      </w:r>
    </w:p>
    <w:p w14:paraId="221BF70D">
      <w:pPr>
        <w:pStyle w:val="178"/>
        <w:numPr>
          <w:ilvl w:val="0"/>
          <w:numId w:val="86"/>
        </w:numPr>
      </w:pPr>
      <w:r>
        <w:rPr>
          <w:rFonts w:hint="eastAsia"/>
        </w:rPr>
        <w:t>风险评估与隐患治理：</w:t>
      </w:r>
    </w:p>
    <w:p w14:paraId="25E1603A">
      <w:pPr>
        <w:pStyle w:val="113"/>
        <w:numPr>
          <w:ilvl w:val="1"/>
          <w:numId w:val="87"/>
        </w:numPr>
      </w:pPr>
      <w:r>
        <w:rPr>
          <w:rFonts w:hint="eastAsia"/>
        </w:rPr>
        <w:t>地下基础设施常态化开展风险评估与隐患治理；</w:t>
      </w:r>
    </w:p>
    <w:p w14:paraId="523554E1">
      <w:pPr>
        <w:pStyle w:val="113"/>
        <w:numPr>
          <w:ilvl w:val="1"/>
          <w:numId w:val="87"/>
        </w:numPr>
      </w:pPr>
      <w:r>
        <w:rPr>
          <w:rFonts w:hint="eastAsia"/>
        </w:rPr>
        <w:t>既有及在建工程进行抗浮、抗渗及结构安全评估，对不达标设施实施预防性治理；</w:t>
      </w:r>
    </w:p>
    <w:p w14:paraId="63062456">
      <w:pPr>
        <w:pStyle w:val="113"/>
        <w:numPr>
          <w:ilvl w:val="1"/>
          <w:numId w:val="87"/>
        </w:numPr>
      </w:pPr>
      <w:r>
        <w:rPr>
          <w:rFonts w:hint="eastAsia"/>
        </w:rPr>
        <w:t>地铁运营和在建线路定期开展整体抗浮安全评估与病害治理；</w:t>
      </w:r>
    </w:p>
    <w:p w14:paraId="7DACE6F5">
      <w:pPr>
        <w:pStyle w:val="113"/>
        <w:numPr>
          <w:ilvl w:val="1"/>
          <w:numId w:val="87"/>
        </w:numPr>
      </w:pPr>
      <w:r>
        <w:rPr>
          <w:rFonts w:hint="eastAsia"/>
        </w:rPr>
        <w:t>高液化风险区域的地下工程优化施工流程以提升结构稳定性。</w:t>
      </w:r>
    </w:p>
    <w:p w14:paraId="6D253E89">
      <w:pPr>
        <w:pStyle w:val="178"/>
        <w:numPr>
          <w:ilvl w:val="0"/>
          <w:numId w:val="86"/>
        </w:numPr>
      </w:pPr>
      <w:r>
        <w:rPr>
          <w:rFonts w:hint="eastAsia"/>
        </w:rPr>
        <w:t>区域综合治理</w:t>
      </w:r>
      <w:r>
        <w:rPr>
          <w:rFonts w:hint="eastAsia" w:ascii="Times New Roman"/>
        </w:rPr>
        <w:t>。</w:t>
      </w:r>
    </w:p>
    <w:p w14:paraId="48DCFF96">
      <w:pPr>
        <w:pStyle w:val="113"/>
        <w:numPr>
          <w:ilvl w:val="1"/>
          <w:numId w:val="88"/>
        </w:numPr>
      </w:pPr>
      <w:r>
        <w:rPr>
          <w:rFonts w:hint="eastAsia"/>
        </w:rPr>
        <w:t>以减缓地面沉降、促进泉域复涌及实现地下水与地表水良性交互为目标状态，综合治理地下水超采区、重要泉域等区域；</w:t>
      </w:r>
    </w:p>
    <w:p w14:paraId="6145F408">
      <w:pPr>
        <w:pStyle w:val="113"/>
        <w:numPr>
          <w:ilvl w:val="1"/>
          <w:numId w:val="88"/>
        </w:numPr>
      </w:pPr>
      <w:r>
        <w:rPr>
          <w:rFonts w:hint="eastAsia"/>
        </w:rPr>
        <w:t>生活垃圾填埋场实施定期环境安全隐患排查与污染治理。</w:t>
      </w:r>
    </w:p>
    <w:p w14:paraId="53AFCF3D">
      <w:pPr>
        <w:pStyle w:val="169"/>
        <w:ind w:left="0"/>
      </w:pPr>
      <w:r>
        <w:rPr>
          <w:rFonts w:hint="eastAsia"/>
        </w:rPr>
        <w:t>森林火灾防治，具体建设内容包括但不限于下列：</w:t>
      </w:r>
    </w:p>
    <w:p w14:paraId="1AAE4C6D">
      <w:pPr>
        <w:pStyle w:val="178"/>
        <w:numPr>
          <w:ilvl w:val="0"/>
          <w:numId w:val="89"/>
        </w:numPr>
        <w:outlineLvl w:val="4"/>
      </w:pPr>
      <w:r>
        <w:rPr>
          <w:rFonts w:hint="eastAsia"/>
        </w:rPr>
        <w:t>防火基础设施：</w:t>
      </w:r>
    </w:p>
    <w:p w14:paraId="2BB6AF57">
      <w:pPr>
        <w:pStyle w:val="113"/>
        <w:numPr>
          <w:ilvl w:val="1"/>
          <w:numId w:val="90"/>
        </w:numPr>
      </w:pPr>
      <w:r>
        <w:rPr>
          <w:rFonts w:hint="eastAsia"/>
        </w:rPr>
        <w:t>满足灭火作战与物资输送需求；</w:t>
      </w:r>
    </w:p>
    <w:p w14:paraId="1A7169DC">
      <w:pPr>
        <w:pStyle w:val="113"/>
        <w:numPr>
          <w:ilvl w:val="1"/>
          <w:numId w:val="90"/>
        </w:numPr>
      </w:pPr>
      <w:r>
        <w:rPr>
          <w:rFonts w:hint="eastAsia"/>
        </w:rPr>
        <w:t>林区路网密度不低于8.89</w:t>
      </w:r>
      <w:r>
        <w:rPr>
          <w:rFonts w:hint="eastAsia"/>
          <w:lang w:val="en-US" w:eastAsia="zh-CN"/>
        </w:rPr>
        <w:t>m</w:t>
      </w:r>
      <w:r>
        <w:rPr>
          <w:rFonts w:hint="eastAsia"/>
        </w:rPr>
        <w:t>/h</w:t>
      </w:r>
      <w:r>
        <w:rPr>
          <w:rFonts w:hint="eastAsia"/>
          <w:lang w:val="en-US" w:eastAsia="zh-CN"/>
        </w:rPr>
        <w:t>m</w:t>
      </w:r>
      <w:r>
        <w:rPr>
          <w:rFonts w:hint="eastAsia"/>
          <w:vertAlign w:val="superscript"/>
          <w:lang w:val="en-US" w:eastAsia="zh-CN"/>
        </w:rPr>
        <w:t>2</w:t>
      </w:r>
      <w:r>
        <w:rPr>
          <w:rFonts w:hint="eastAsia"/>
        </w:rPr>
        <w:t>；</w:t>
      </w:r>
    </w:p>
    <w:p w14:paraId="0BF6DAD1">
      <w:pPr>
        <w:pStyle w:val="113"/>
        <w:numPr>
          <w:ilvl w:val="1"/>
          <w:numId w:val="90"/>
        </w:numPr>
      </w:pPr>
      <w:r>
        <w:rPr>
          <w:rFonts w:hint="eastAsia"/>
        </w:rPr>
        <w:t>建设防火蓄水池、消防水鹤等水源供给设施；</w:t>
      </w:r>
    </w:p>
    <w:p w14:paraId="183538C1">
      <w:pPr>
        <w:pStyle w:val="113"/>
        <w:numPr>
          <w:ilvl w:val="1"/>
          <w:numId w:val="90"/>
        </w:numPr>
      </w:pPr>
      <w:r>
        <w:rPr>
          <w:rFonts w:hint="eastAsia"/>
        </w:rPr>
        <w:t>林区部署无人机系统，实现监测与集群灭火全覆盖。</w:t>
      </w:r>
    </w:p>
    <w:p w14:paraId="4CCEF9C3">
      <w:pPr>
        <w:pStyle w:val="178"/>
        <w:numPr>
          <w:ilvl w:val="0"/>
          <w:numId w:val="89"/>
        </w:numPr>
        <w:outlineLvl w:val="4"/>
      </w:pPr>
      <w:r>
        <w:rPr>
          <w:rFonts w:hint="eastAsia"/>
        </w:rPr>
        <w:t>火源管控体系：</w:t>
      </w:r>
    </w:p>
    <w:p w14:paraId="3B5089C7">
      <w:pPr>
        <w:pStyle w:val="113"/>
        <w:numPr>
          <w:ilvl w:val="1"/>
          <w:numId w:val="91"/>
        </w:numPr>
      </w:pPr>
      <w:r>
        <w:rPr>
          <w:rFonts w:hint="eastAsia"/>
        </w:rPr>
        <w:t>林缘村庄、涉林景区等具备防火能力；</w:t>
      </w:r>
    </w:p>
    <w:p w14:paraId="1BC26C44">
      <w:pPr>
        <w:pStyle w:val="113"/>
        <w:numPr>
          <w:ilvl w:val="1"/>
          <w:numId w:val="91"/>
        </w:numPr>
      </w:pPr>
      <w:r>
        <w:rPr>
          <w:rFonts w:hint="eastAsia"/>
        </w:rPr>
        <w:t>林区施工动火管理与涉林输配电设施隐患治理符合规定要求；</w:t>
      </w:r>
    </w:p>
    <w:p w14:paraId="0CC01F6F">
      <w:pPr>
        <w:pStyle w:val="113"/>
        <w:numPr>
          <w:ilvl w:val="1"/>
          <w:numId w:val="91"/>
        </w:numPr>
      </w:pPr>
      <w:r>
        <w:rPr>
          <w:rFonts w:hint="eastAsia"/>
        </w:rPr>
        <w:t>防火检查站与警示系统配置完备。</w:t>
      </w:r>
    </w:p>
    <w:p w14:paraId="418297AD">
      <w:pPr>
        <w:pStyle w:val="178"/>
        <w:numPr>
          <w:ilvl w:val="0"/>
          <w:numId w:val="89"/>
        </w:numPr>
        <w:outlineLvl w:val="4"/>
      </w:pPr>
      <w:r>
        <w:rPr>
          <w:rFonts w:hint="eastAsia"/>
        </w:rPr>
        <w:t>森林生态防火体系：</w:t>
      </w:r>
    </w:p>
    <w:p w14:paraId="4A01A416">
      <w:pPr>
        <w:pStyle w:val="113"/>
        <w:numPr>
          <w:ilvl w:val="1"/>
          <w:numId w:val="92"/>
        </w:numPr>
      </w:pPr>
      <w:r>
        <w:rPr>
          <w:rFonts w:hint="eastAsia"/>
        </w:rPr>
        <w:t>改造易燃的大面积油松、侧柏纯林，种植耐燃树种；</w:t>
      </w:r>
    </w:p>
    <w:p w14:paraId="3C00AA79">
      <w:pPr>
        <w:pStyle w:val="113"/>
        <w:numPr>
          <w:ilvl w:val="1"/>
          <w:numId w:val="92"/>
        </w:numPr>
      </w:pPr>
      <w:r>
        <w:rPr>
          <w:rFonts w:hint="eastAsia"/>
        </w:rPr>
        <w:t>在城林接驳处、农林结合部等关键区域种植具有隔离效果的灌木。</w:t>
      </w:r>
    </w:p>
    <w:p w14:paraId="0098AC91">
      <w:pPr>
        <w:pStyle w:val="169"/>
        <w:ind w:left="0"/>
      </w:pPr>
      <w:r>
        <w:rPr>
          <w:rFonts w:hint="eastAsia"/>
        </w:rPr>
        <w:t>重点领域大面积停电事故应对，具体建设内容包括但不限于下列：</w:t>
      </w:r>
    </w:p>
    <w:p w14:paraId="7C20EA86">
      <w:pPr>
        <w:pStyle w:val="178"/>
        <w:numPr>
          <w:ilvl w:val="0"/>
          <w:numId w:val="93"/>
        </w:numPr>
        <w:outlineLvl w:val="4"/>
      </w:pPr>
      <w:r>
        <w:rPr>
          <w:rFonts w:hint="eastAsia"/>
        </w:rPr>
        <w:t>电力保障与恢复：</w:t>
      </w:r>
    </w:p>
    <w:p w14:paraId="15D20B32">
      <w:pPr>
        <w:pStyle w:val="113"/>
        <w:numPr>
          <w:ilvl w:val="1"/>
          <w:numId w:val="94"/>
        </w:numPr>
      </w:pPr>
      <w:r>
        <w:rPr>
          <w:rFonts w:hint="eastAsia"/>
        </w:rPr>
        <w:t>重要电力用户配置自备应急电源，安装移动电源快速接入装置；</w:t>
      </w:r>
    </w:p>
    <w:p w14:paraId="36044D90">
      <w:pPr>
        <w:pStyle w:val="113"/>
        <w:numPr>
          <w:ilvl w:val="1"/>
          <w:numId w:val="94"/>
        </w:numPr>
      </w:pPr>
      <w:r>
        <w:rPr>
          <w:rFonts w:hint="eastAsia"/>
        </w:rPr>
        <w:t>城市内部电网具备黑启动能力，黑启动电源布局与实施路径满足停电状态下机组自启动。</w:t>
      </w:r>
    </w:p>
    <w:p w14:paraId="5E206354">
      <w:pPr>
        <w:pStyle w:val="178"/>
        <w:numPr>
          <w:ilvl w:val="0"/>
          <w:numId w:val="93"/>
        </w:numPr>
        <w:outlineLvl w:val="4"/>
      </w:pPr>
      <w:r>
        <w:rPr>
          <w:rFonts w:hint="eastAsia"/>
        </w:rPr>
        <w:t>交通秩序维护</w:t>
      </w:r>
      <w:r>
        <w:rPr>
          <w:rFonts w:hint="eastAsia" w:ascii="Times New Roman"/>
        </w:rPr>
        <w:t>：</w:t>
      </w:r>
    </w:p>
    <w:p w14:paraId="1B8F7B70">
      <w:pPr>
        <w:pStyle w:val="113"/>
        <w:numPr>
          <w:ilvl w:val="1"/>
          <w:numId w:val="95"/>
        </w:numPr>
      </w:pPr>
      <w:r>
        <w:rPr>
          <w:rFonts w:hint="eastAsia"/>
        </w:rPr>
        <w:t>地面交通在停电状态下保持基本秩序；</w:t>
      </w:r>
    </w:p>
    <w:p w14:paraId="6A7F3D12">
      <w:pPr>
        <w:pStyle w:val="113"/>
        <w:numPr>
          <w:ilvl w:val="1"/>
          <w:numId w:val="95"/>
        </w:numPr>
      </w:pPr>
      <w:r>
        <w:rPr>
          <w:rFonts w:hint="eastAsia"/>
        </w:rPr>
        <w:t>重点地段交通信号灯配置备用发电设备、配置警力实施疏导分流；</w:t>
      </w:r>
    </w:p>
    <w:p w14:paraId="2E56BD06">
      <w:pPr>
        <w:pStyle w:val="113"/>
        <w:numPr>
          <w:ilvl w:val="1"/>
          <w:numId w:val="95"/>
        </w:numPr>
      </w:pPr>
      <w:r>
        <w:rPr>
          <w:rFonts w:hint="eastAsia"/>
        </w:rPr>
        <w:t>轨道交通应急照明电源供电时长不低于1小时，制定隧道内、高架桥上等不同区间场景疏散方案。</w:t>
      </w:r>
    </w:p>
    <w:p w14:paraId="509E4EB8">
      <w:pPr>
        <w:pStyle w:val="178"/>
        <w:numPr>
          <w:ilvl w:val="0"/>
          <w:numId w:val="93"/>
        </w:numPr>
        <w:outlineLvl w:val="4"/>
      </w:pPr>
      <w:r>
        <w:rPr>
          <w:rFonts w:hint="eastAsia"/>
        </w:rPr>
        <w:t>信息传输与发布</w:t>
      </w:r>
      <w:r>
        <w:rPr>
          <w:rFonts w:hint="eastAsia" w:ascii="Times New Roman"/>
        </w:rPr>
        <w:t>：</w:t>
      </w:r>
    </w:p>
    <w:p w14:paraId="643EC3E1">
      <w:pPr>
        <w:pStyle w:val="113"/>
        <w:numPr>
          <w:ilvl w:val="1"/>
          <w:numId w:val="96"/>
        </w:numPr>
      </w:pPr>
      <w:r>
        <w:rPr>
          <w:rFonts w:hint="eastAsia"/>
        </w:rPr>
        <w:t>政务信息传输网络在停电场景下的运行时长达到规定标准；</w:t>
      </w:r>
    </w:p>
    <w:p w14:paraId="56ED832D">
      <w:pPr>
        <w:pStyle w:val="113"/>
        <w:numPr>
          <w:ilvl w:val="1"/>
          <w:numId w:val="96"/>
        </w:numPr>
      </w:pPr>
      <w:r>
        <w:rPr>
          <w:rFonts w:hint="eastAsia"/>
        </w:rPr>
        <w:t>800M无线专网等关键通信设施配置冗余供电保障；</w:t>
      </w:r>
    </w:p>
    <w:p w14:paraId="70CE3986">
      <w:pPr>
        <w:pStyle w:val="113"/>
        <w:numPr>
          <w:ilvl w:val="1"/>
          <w:numId w:val="96"/>
        </w:numPr>
      </w:pPr>
      <w:r>
        <w:rPr>
          <w:rFonts w:hint="eastAsia"/>
        </w:rPr>
        <w:t>城镇公共区域部署具备自供电、自动解析与自动播放功能的应急广播专用终端，用于接收和发布公共信息；</w:t>
      </w:r>
    </w:p>
    <w:p w14:paraId="3281C443">
      <w:pPr>
        <w:pStyle w:val="113"/>
        <w:numPr>
          <w:ilvl w:val="1"/>
          <w:numId w:val="96"/>
        </w:numPr>
      </w:pPr>
      <w:r>
        <w:rPr>
          <w:rFonts w:hint="eastAsia"/>
        </w:rPr>
        <w:t>公网通信基站配置电力后备系统。</w:t>
      </w:r>
    </w:p>
    <w:p w14:paraId="37531E79">
      <w:pPr>
        <w:pStyle w:val="178"/>
        <w:numPr>
          <w:ilvl w:val="0"/>
          <w:numId w:val="93"/>
        </w:numPr>
        <w:outlineLvl w:val="4"/>
      </w:pPr>
      <w:r>
        <w:rPr>
          <w:rFonts w:hint="eastAsia"/>
        </w:rPr>
        <w:t>应急响应与处置</w:t>
      </w:r>
      <w:r>
        <w:rPr>
          <w:rFonts w:hint="eastAsia"/>
          <w:lang w:eastAsia="zh-CN"/>
        </w:rPr>
        <w:t>：</w:t>
      </w:r>
    </w:p>
    <w:p w14:paraId="0AC4E386">
      <w:pPr>
        <w:pStyle w:val="113"/>
        <w:numPr>
          <w:ilvl w:val="1"/>
          <w:numId w:val="97"/>
        </w:numPr>
      </w:pPr>
      <w:r>
        <w:rPr>
          <w:rFonts w:hint="eastAsia"/>
        </w:rPr>
        <w:t>针对不同场景细化大面积停电应急预案响应措施；</w:t>
      </w:r>
    </w:p>
    <w:p w14:paraId="3E593DCF">
      <w:pPr>
        <w:pStyle w:val="113"/>
        <w:numPr>
          <w:ilvl w:val="1"/>
          <w:numId w:val="97"/>
        </w:numPr>
        <w:rPr>
          <w:lang w:bidi="ar"/>
        </w:rPr>
      </w:pPr>
      <w:r>
        <w:rPr>
          <w:rFonts w:hint="eastAsia"/>
        </w:rPr>
        <w:t>电力应急抢修队伍的空间布局、专业装备配置及业务培训等满足应急处置。</w:t>
      </w:r>
    </w:p>
    <w:bookmarkEnd w:id="139"/>
    <w:p w14:paraId="00A4F589">
      <w:pPr>
        <w:pStyle w:val="108"/>
        <w:spacing w:before="312" w:after="312"/>
      </w:pPr>
      <w:bookmarkStart w:id="143" w:name="_Toc7159"/>
      <w:bookmarkStart w:id="144" w:name="_Toc4997"/>
      <w:bookmarkStart w:id="145" w:name="_Toc8549"/>
      <w:r>
        <w:rPr>
          <w:rFonts w:hint="eastAsia"/>
        </w:rPr>
        <w:t>建设过程</w:t>
      </w:r>
      <w:bookmarkEnd w:id="143"/>
      <w:bookmarkEnd w:id="144"/>
      <w:bookmarkEnd w:id="145"/>
    </w:p>
    <w:p w14:paraId="536C393F">
      <w:pPr>
        <w:pStyle w:val="109"/>
        <w:spacing w:before="156" w:after="156"/>
      </w:pPr>
      <w:bookmarkStart w:id="146" w:name="_Toc2880"/>
      <w:bookmarkStart w:id="147" w:name="_Toc7074"/>
      <w:bookmarkStart w:id="148" w:name="_Toc211265637"/>
      <w:bookmarkStart w:id="149" w:name="_Toc17004"/>
      <w:bookmarkStart w:id="150" w:name="_Toc206594490"/>
      <w:r>
        <w:rPr>
          <w:rFonts w:hint="eastAsia"/>
        </w:rPr>
        <w:t>建设主体</w:t>
      </w:r>
      <w:bookmarkEnd w:id="146"/>
      <w:bookmarkEnd w:id="147"/>
      <w:bookmarkEnd w:id="148"/>
      <w:bookmarkEnd w:id="149"/>
      <w:bookmarkEnd w:id="150"/>
    </w:p>
    <w:p w14:paraId="79DD13BB">
      <w:pPr>
        <w:pStyle w:val="178"/>
        <w:numPr>
          <w:ilvl w:val="255"/>
          <w:numId w:val="0"/>
        </w:numPr>
        <w:ind w:firstLine="420" w:firstLineChars="200"/>
      </w:pPr>
      <w:r>
        <w:rPr>
          <w:rFonts w:hint="eastAsia"/>
        </w:rPr>
        <w:t>确定韧性城市建设的建设主体，明确各主体职责。统筹</w:t>
      </w:r>
      <w:r>
        <w:rPr>
          <w:rFonts w:hint="eastAsia"/>
          <w:lang w:bidi="ar"/>
        </w:rPr>
        <w:t>重大事项决策，搭建沟通平台，协调跨部门、跨层级的协同推进。配置建设资源，提供必要的人员、技术和资金保障</w:t>
      </w:r>
      <w:r>
        <w:rPr>
          <w:rFonts w:hint="eastAsia"/>
        </w:rPr>
        <w:t>。</w:t>
      </w:r>
    </w:p>
    <w:p w14:paraId="314ADD2D">
      <w:pPr>
        <w:pStyle w:val="109"/>
        <w:spacing w:before="156" w:after="156"/>
      </w:pPr>
      <w:bookmarkStart w:id="151" w:name="_Toc15643"/>
      <w:bookmarkStart w:id="152" w:name="_Toc8877"/>
      <w:bookmarkStart w:id="153" w:name="_Toc211265638"/>
      <w:bookmarkStart w:id="154" w:name="_Toc11082"/>
      <w:r>
        <w:rPr>
          <w:rFonts w:hint="eastAsia"/>
        </w:rPr>
        <w:t>韧性评估</w:t>
      </w:r>
      <w:bookmarkEnd w:id="151"/>
      <w:bookmarkEnd w:id="152"/>
      <w:bookmarkEnd w:id="153"/>
      <w:bookmarkEnd w:id="154"/>
    </w:p>
    <w:p w14:paraId="2013E516">
      <w:pPr>
        <w:pStyle w:val="109"/>
        <w:numPr>
          <w:ilvl w:val="255"/>
          <w:numId w:val="0"/>
        </w:numPr>
        <w:spacing w:before="156" w:after="156"/>
        <w:ind w:firstLine="420" w:firstLineChars="200"/>
        <w:outlineLvl w:val="9"/>
        <w:rPr>
          <w:rFonts w:ascii="宋体" w:eastAsia="宋体"/>
        </w:rPr>
      </w:pPr>
      <w:bookmarkStart w:id="155" w:name="_Toc17848"/>
      <w:bookmarkStart w:id="156" w:name="_Toc14550"/>
      <w:bookmarkStart w:id="157" w:name="_Toc3030"/>
      <w:r>
        <w:rPr>
          <w:rFonts w:hint="eastAsia" w:ascii="宋体" w:eastAsia="宋体"/>
        </w:rPr>
        <w:t>开展系统化的韧性评估，韧性评估包括市/区韧性、社区韧性、乡村韧性，分析韧性城市建设薄弱环节，识别城市、社区韧性、乡村韧性建设的需求。</w:t>
      </w:r>
      <w:bookmarkEnd w:id="155"/>
      <w:bookmarkEnd w:id="156"/>
      <w:bookmarkEnd w:id="157"/>
    </w:p>
    <w:p w14:paraId="36483963">
      <w:pPr>
        <w:pStyle w:val="109"/>
        <w:spacing w:before="156" w:after="156"/>
      </w:pPr>
      <w:bookmarkStart w:id="158" w:name="_Toc2176"/>
      <w:bookmarkStart w:id="159" w:name="_Toc26501"/>
      <w:bookmarkStart w:id="160" w:name="_Toc3774"/>
      <w:r>
        <w:rPr>
          <w:rFonts w:hint="eastAsia"/>
        </w:rPr>
        <w:t>建设方案</w:t>
      </w:r>
      <w:bookmarkEnd w:id="158"/>
      <w:bookmarkEnd w:id="159"/>
      <w:bookmarkEnd w:id="160"/>
    </w:p>
    <w:p w14:paraId="0BCE4DE1">
      <w:pPr>
        <w:pStyle w:val="109"/>
        <w:numPr>
          <w:ilvl w:val="255"/>
          <w:numId w:val="0"/>
        </w:numPr>
        <w:spacing w:before="156" w:after="156"/>
        <w:ind w:firstLine="420" w:firstLineChars="200"/>
        <w:outlineLvl w:val="9"/>
        <w:rPr>
          <w:rFonts w:ascii="宋体" w:eastAsia="宋体"/>
        </w:rPr>
      </w:pPr>
      <w:bookmarkStart w:id="161" w:name="_Toc31442"/>
      <w:bookmarkStart w:id="162" w:name="_Toc2773"/>
      <w:bookmarkStart w:id="163" w:name="_Toc10341"/>
      <w:r>
        <w:rPr>
          <w:rFonts w:hint="eastAsia" w:ascii="宋体" w:eastAsia="宋体"/>
        </w:rPr>
        <w:t>依据评估结果和薄弱环节分析，编制建设方案。建设方案内容包括：韧性城市建设任务；韧性城市建设长期目标、中期目标和阶段性目标；建设主体；建设时间；项目清单；技术方案；保障资金；交付成果等。</w:t>
      </w:r>
      <w:bookmarkEnd w:id="161"/>
      <w:bookmarkEnd w:id="162"/>
      <w:bookmarkEnd w:id="163"/>
    </w:p>
    <w:p w14:paraId="048E6C16">
      <w:pPr>
        <w:pStyle w:val="109"/>
        <w:spacing w:before="156" w:after="156"/>
      </w:pPr>
      <w:bookmarkStart w:id="164" w:name="_Toc21947"/>
      <w:bookmarkStart w:id="165" w:name="_Toc1965"/>
      <w:bookmarkStart w:id="166" w:name="_Toc2141"/>
      <w:bookmarkStart w:id="167" w:name="_Toc211265640"/>
      <w:r>
        <w:rPr>
          <w:rFonts w:hint="eastAsia"/>
        </w:rPr>
        <w:t>建设</w:t>
      </w:r>
      <w:bookmarkEnd w:id="164"/>
      <w:bookmarkEnd w:id="165"/>
      <w:r>
        <w:rPr>
          <w:rFonts w:hint="eastAsia"/>
        </w:rPr>
        <w:t>实施</w:t>
      </w:r>
      <w:bookmarkEnd w:id="166"/>
    </w:p>
    <w:p w14:paraId="66D53612">
      <w:pPr>
        <w:pStyle w:val="109"/>
        <w:numPr>
          <w:ilvl w:val="255"/>
          <w:numId w:val="0"/>
        </w:numPr>
        <w:spacing w:before="156" w:after="156"/>
        <w:ind w:firstLine="420" w:firstLineChars="200"/>
        <w:outlineLvl w:val="9"/>
      </w:pPr>
      <w:bookmarkStart w:id="168" w:name="_Toc23360"/>
      <w:bookmarkStart w:id="169" w:name="_Toc31387"/>
      <w:bookmarkStart w:id="170" w:name="_Toc22739"/>
      <w:r>
        <w:rPr>
          <w:rFonts w:hint="eastAsia" w:ascii="宋体" w:eastAsia="宋体"/>
        </w:rPr>
        <w:t>依据建设方案，细化具体建设项目的技术方案和时间节点，结合本文件第5章的相关内容开展韧性城市建设，监督相关项目执行。</w:t>
      </w:r>
      <w:bookmarkEnd w:id="167"/>
      <w:bookmarkEnd w:id="168"/>
      <w:bookmarkEnd w:id="169"/>
      <w:bookmarkEnd w:id="170"/>
    </w:p>
    <w:p w14:paraId="1C884594">
      <w:pPr>
        <w:pStyle w:val="109"/>
        <w:spacing w:before="156" w:after="156"/>
      </w:pPr>
      <w:bookmarkStart w:id="171" w:name="_Toc28897"/>
      <w:bookmarkStart w:id="172" w:name="_Toc9567"/>
      <w:bookmarkStart w:id="173" w:name="_Toc31894"/>
      <w:bookmarkStart w:id="174" w:name="_Toc18817"/>
      <w:bookmarkStart w:id="175" w:name="_Toc206594495"/>
      <w:bookmarkStart w:id="176" w:name="_Toc211265641"/>
      <w:r>
        <w:rPr>
          <w:rFonts w:hint="eastAsia"/>
        </w:rPr>
        <w:t>持续改进</w:t>
      </w:r>
      <w:bookmarkEnd w:id="171"/>
      <w:bookmarkEnd w:id="172"/>
      <w:bookmarkEnd w:id="173"/>
      <w:bookmarkEnd w:id="174"/>
      <w:bookmarkEnd w:id="175"/>
      <w:bookmarkEnd w:id="176"/>
    </w:p>
    <w:p w14:paraId="32E20DF7">
      <w:pPr>
        <w:pStyle w:val="178"/>
        <w:numPr>
          <w:ilvl w:val="255"/>
          <w:numId w:val="0"/>
        </w:numPr>
        <w:ind w:firstLine="420" w:firstLineChars="200"/>
      </w:pPr>
      <w:r>
        <w:rPr>
          <w:rFonts w:hint="eastAsia"/>
        </w:rPr>
        <w:t>分阶段开展韧性城市建设效果评价，针对评价结果优化建设方案，明确改进目标，制定改进方案和措施。</w:t>
      </w:r>
    </w:p>
    <w:p w14:paraId="253E9659">
      <w:pPr>
        <w:pStyle w:val="67"/>
        <w:spacing w:after="156"/>
        <w:outlineLvl w:val="9"/>
        <w:rPr>
          <w:spacing w:val="105"/>
        </w:rPr>
      </w:pPr>
      <w:r>
        <w:rPr>
          <w:spacing w:val="105"/>
        </w:rPr>
        <w:br w:type="page"/>
      </w:r>
    </w:p>
    <w:p w14:paraId="6D1A9119">
      <w:pPr>
        <w:pStyle w:val="67"/>
        <w:spacing w:after="156"/>
      </w:pPr>
      <w:bookmarkStart w:id="177" w:name="_Toc28247"/>
      <w:bookmarkStart w:id="178" w:name="_Toc7098"/>
      <w:bookmarkStart w:id="179" w:name="_Toc211265642"/>
      <w:bookmarkStart w:id="180" w:name="_Toc6061"/>
      <w:r>
        <w:rPr>
          <w:rFonts w:hint="eastAsia"/>
          <w:spacing w:val="105"/>
        </w:rPr>
        <w:t>参考文</w:t>
      </w:r>
      <w:r>
        <w:rPr>
          <w:rFonts w:hint="eastAsia"/>
        </w:rPr>
        <w:t>献</w:t>
      </w:r>
      <w:bookmarkEnd w:id="140"/>
      <w:bookmarkEnd w:id="177"/>
      <w:bookmarkEnd w:id="178"/>
      <w:bookmarkEnd w:id="179"/>
      <w:bookmarkEnd w:id="180"/>
      <w:bookmarkStart w:id="181" w:name="BookMark6"/>
    </w:p>
    <w:bookmarkEnd w:id="181"/>
    <w:p w14:paraId="2F3D51D6">
      <w:pPr>
        <w:pStyle w:val="60"/>
        <w:ind w:firstLine="420"/>
      </w:pPr>
      <w:bookmarkStart w:id="182" w:name="BookMark8"/>
      <w:r>
        <w:t>[1]</w:t>
      </w:r>
      <w:bookmarkStart w:id="183" w:name="OLE_LINK10"/>
      <w:r>
        <w:rPr>
          <w:rFonts w:hint="eastAsia"/>
        </w:rPr>
        <w:t xml:space="preserve"> </w:t>
      </w:r>
      <w:r>
        <w:fldChar w:fldCharType="begin"/>
      </w:r>
      <w:r>
        <w:instrText xml:space="preserve"> HYPERLINK "http://www.baidu.com/link?url=Sx-JF0BXv3B7pdXPae5RaZZ4awiJPOk6Xzqg1fekINMPPmvrw2cP6qo-JNfR6JqDom2cL0ikCjME-zS6xvmf7NHBNkvNUE6oHQnpWEUkaOm" \t "_blank" </w:instrText>
      </w:r>
      <w:r>
        <w:fldChar w:fldCharType="separate"/>
      </w:r>
      <w:r>
        <w:rPr>
          <w:rStyle w:val="35"/>
        </w:rPr>
        <w:t>GB</w:t>
      </w:r>
      <w:r>
        <w:t>/</w:t>
      </w:r>
      <w:r>
        <w:rPr>
          <w:rStyle w:val="35"/>
          <w:rFonts w:hint="eastAsia"/>
        </w:rPr>
        <w:t>T 40947-2021 安全韧性城市评价指南</w:t>
      </w:r>
      <w:r>
        <w:rPr>
          <w:rStyle w:val="35"/>
          <w:rFonts w:hint="eastAsia"/>
        </w:rPr>
        <w:fldChar w:fldCharType="end"/>
      </w:r>
    </w:p>
    <w:p w14:paraId="5E794BFE">
      <w:pPr>
        <w:pStyle w:val="60"/>
        <w:ind w:firstLine="420"/>
      </w:pPr>
      <w:r>
        <w:t>[</w:t>
      </w:r>
      <w:r>
        <w:rPr>
          <w:rFonts w:hint="eastAsia"/>
        </w:rPr>
        <w:t>2</w:t>
      </w:r>
      <w:r>
        <w:t>]</w:t>
      </w:r>
      <w:r>
        <w:rPr>
          <w:rFonts w:hint="eastAsia"/>
        </w:rPr>
        <w:t xml:space="preserve"> GB/T 50293</w:t>
      </w:r>
      <w:r>
        <w:rPr>
          <w:rStyle w:val="35"/>
          <w:rFonts w:hint="eastAsia"/>
        </w:rPr>
        <w:t>-2014</w:t>
      </w:r>
      <w:r>
        <w:rPr>
          <w:rFonts w:hint="eastAsia"/>
        </w:rPr>
        <w:t xml:space="preserve"> 城市电力规划规范</w:t>
      </w:r>
    </w:p>
    <w:p w14:paraId="6E653386">
      <w:pPr>
        <w:pStyle w:val="60"/>
        <w:ind w:firstLine="420"/>
      </w:pPr>
      <w:r>
        <w:t>[</w:t>
      </w:r>
      <w:r>
        <w:rPr>
          <w:rFonts w:hint="eastAsia"/>
        </w:rPr>
        <w:t>3</w:t>
      </w:r>
      <w:r>
        <w:t>]</w:t>
      </w:r>
      <w:r>
        <w:rPr>
          <w:rFonts w:hint="eastAsia"/>
        </w:rPr>
        <w:t xml:space="preserve"> DB11/T 2280-2024 城市韧性评价导则 </w:t>
      </w:r>
    </w:p>
    <w:p w14:paraId="3B769D3B">
      <w:pPr>
        <w:pStyle w:val="60"/>
        <w:ind w:firstLine="420"/>
      </w:pPr>
      <w:r>
        <w:t>[</w:t>
      </w:r>
      <w:r>
        <w:rPr>
          <w:rFonts w:hint="eastAsia"/>
        </w:rPr>
        <w:t>4</w:t>
      </w:r>
      <w:r>
        <w:t>]</w:t>
      </w:r>
      <w:r>
        <w:rPr>
          <w:rFonts w:hint="eastAsia"/>
        </w:rPr>
        <w:t xml:space="preserve"> DB11/T 2281-2024 社区韧性评价导则</w:t>
      </w:r>
    </w:p>
    <w:p w14:paraId="507ABC85">
      <w:pPr>
        <w:pStyle w:val="60"/>
        <w:ind w:firstLine="420"/>
      </w:pPr>
      <w:r>
        <w:t>[</w:t>
      </w:r>
      <w:r>
        <w:rPr>
          <w:rFonts w:hint="eastAsia"/>
        </w:rPr>
        <w:t>5</w:t>
      </w:r>
      <w:r>
        <w:t>]</w:t>
      </w:r>
      <w:r>
        <w:rPr>
          <w:rFonts w:hint="eastAsia"/>
        </w:rPr>
        <w:t xml:space="preserve"> DB11/T 2459-2025 社区韧性压力测试技术导则 城镇内涝</w:t>
      </w:r>
    </w:p>
    <w:bookmarkEnd w:id="183"/>
    <w:p w14:paraId="0F9F1D3A">
      <w:pPr>
        <w:pStyle w:val="178"/>
        <w:numPr>
          <w:ilvl w:val="255"/>
          <w:numId w:val="0"/>
        </w:numPr>
        <w:ind w:left="425"/>
      </w:pPr>
      <w:r>
        <w:t>[</w:t>
      </w:r>
      <w:r>
        <w:rPr>
          <w:rFonts w:hint="eastAsia"/>
        </w:rPr>
        <w:t>6</w:t>
      </w:r>
      <w:r>
        <w:t>]</w:t>
      </w:r>
      <w:r>
        <w:rPr>
          <w:rFonts w:hint="eastAsia"/>
        </w:rPr>
        <w:t xml:space="preserve"> DB11/T 1891-2021 建（构）筑物与应急设施地震安全韧性建设指南</w:t>
      </w:r>
    </w:p>
    <w:p w14:paraId="6630E48D">
      <w:pPr>
        <w:pStyle w:val="178"/>
        <w:numPr>
          <w:ilvl w:val="255"/>
          <w:numId w:val="0"/>
        </w:numPr>
        <w:ind w:left="425"/>
      </w:pPr>
      <w:r>
        <w:t>[</w:t>
      </w:r>
      <w:r>
        <w:rPr>
          <w:rFonts w:hint="eastAsia"/>
        </w:rPr>
        <w:t>7</w:t>
      </w:r>
      <w:r>
        <w:t>]</w:t>
      </w:r>
      <w:r>
        <w:rPr>
          <w:rFonts w:hint="eastAsia"/>
        </w:rPr>
        <w:t xml:space="preserve"> DB11/T 2214-2024  城市社区地震安全韧性评估技术规范</w:t>
      </w:r>
    </w:p>
    <w:p w14:paraId="61D5F6B0">
      <w:pPr>
        <w:pStyle w:val="60"/>
        <w:ind w:firstLine="0" w:firstLineChars="0"/>
        <w:jc w:val="center"/>
      </w:pPr>
      <w:r>
        <w:drawing>
          <wp:inline distT="0" distB="0" distL="0" distR="0">
            <wp:extent cx="1485900" cy="317500"/>
            <wp:effectExtent l="0" t="0" r="0" b="6350"/>
            <wp:docPr id="1858776877" name="图片 3"/>
            <wp:cNvGraphicFramePr/>
            <a:graphic xmlns:a="http://schemas.openxmlformats.org/drawingml/2006/main">
              <a:graphicData uri="http://schemas.openxmlformats.org/drawingml/2006/picture">
                <pic:pic xmlns:pic="http://schemas.openxmlformats.org/drawingml/2006/picture">
                  <pic:nvPicPr>
                    <pic:cNvPr id="1858776877" name="图片 3"/>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82"/>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2BA3F">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E7406">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2AD94">
    <w:pPr>
      <w:pStyle w:val="56"/>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4B60F">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4B823">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F5F2">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CC1BD">
    <w:pPr>
      <w:pStyle w:val="65"/>
      <w:rPr>
        <w:rFonts w:hint="eastAsia"/>
      </w:rPr>
    </w:pPr>
    <w:r>
      <w:fldChar w:fldCharType="begin"/>
    </w:r>
    <w:r>
      <w:instrText xml:space="preserve"> STYLEREF  标准文件_文件编号  \* MERGEFORMAT </w:instrText>
    </w:r>
    <w:r>
      <w:fldChar w:fldCharType="separate"/>
    </w:r>
    <w:r>
      <w:t>DB 11/T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FFF93"/>
    <w:multiLevelType w:val="multilevel"/>
    <w:tmpl w:val="907FFF93"/>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BCFF399F"/>
    <w:multiLevelType w:val="multilevel"/>
    <w:tmpl w:val="BCFF399F"/>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D5EDC9EE"/>
    <w:multiLevelType w:val="multilevel"/>
    <w:tmpl w:val="D5EDC9EE"/>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6">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8">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0">
    <w:nsid w:val="13D03C39"/>
    <w:multiLevelType w:val="multilevel"/>
    <w:tmpl w:val="13D03C3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4">
    <w:nsid w:val="275D14D0"/>
    <w:multiLevelType w:val="multilevel"/>
    <w:tmpl w:val="275D14D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2C5917C3"/>
    <w:multiLevelType w:val="multilevel"/>
    <w:tmpl w:val="2C5917C3"/>
    <w:lvl w:ilvl="0" w:tentative="0">
      <w:start w:val="1"/>
      <w:numFmt w:val="none"/>
      <w:pStyle w:val="136"/>
      <w:lvlText w:val="%1——"/>
      <w:lvlJc w:val="left"/>
      <w:pPr>
        <w:tabs>
          <w:tab w:val="left" w:pos="3828"/>
        </w:tabs>
        <w:ind w:left="3828" w:hanging="426"/>
      </w:pPr>
      <w:rPr>
        <w:rFonts w:hint="eastAsia" w:ascii="宋体" w:hAnsi="Times New Roman" w:eastAsia="宋体"/>
        <w:b w:val="0"/>
        <w:i w:val="0"/>
        <w:sz w:val="21"/>
        <w:lang w:val="en-US"/>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6">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34CF3A4F"/>
    <w:multiLevelType w:val="multilevel"/>
    <w:tmpl w:val="34CF3A4F"/>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41D54899"/>
    <w:multiLevelType w:val="multilevel"/>
    <w:tmpl w:val="41D5489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44C50F90"/>
    <w:multiLevelType w:val="multilevel"/>
    <w:tmpl w:val="44C50F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2">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4">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8">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9">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0">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1">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2">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1276" w:firstLine="0"/>
      </w:pPr>
      <w:rPr>
        <w:rFonts w:hint="eastAsia" w:ascii="黑体" w:eastAsia="黑体"/>
        <w:b w:val="0"/>
        <w:i w:val="0"/>
        <w:sz w:val="21"/>
      </w:rPr>
    </w:lvl>
    <w:lvl w:ilvl="2" w:tentative="0">
      <w:start w:val="1"/>
      <w:numFmt w:val="decimal"/>
      <w:pStyle w:val="109"/>
      <w:suff w:val="nothing"/>
      <w:lvlText w:val="%1%2.%3　"/>
      <w:lvlJc w:val="left"/>
      <w:pPr>
        <w:ind w:left="1417"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1985" w:firstLine="0"/>
      </w:pPr>
      <w:rPr>
        <w:rFonts w:hint="eastAsia" w:ascii="黑体" w:eastAsia="黑体"/>
        <w:b w:val="0"/>
        <w:i w:val="0"/>
        <w:sz w:val="21"/>
      </w:rPr>
    </w:lvl>
    <w:lvl w:ilvl="4" w:tentative="0">
      <w:start w:val="1"/>
      <w:numFmt w:val="decimal"/>
      <w:pStyle w:val="98"/>
      <w:suff w:val="nothing"/>
      <w:lvlText w:val="%1%2.%3.%4.%5　"/>
      <w:lvlJc w:val="left"/>
      <w:pPr>
        <w:ind w:left="2127" w:firstLine="0"/>
      </w:pPr>
      <w:rPr>
        <w:rFonts w:hint="eastAsia" w:ascii="黑体" w:eastAsia="黑体"/>
        <w:b w:val="0"/>
        <w:i w:val="0"/>
        <w:sz w:val="21"/>
      </w:rPr>
    </w:lvl>
    <w:lvl w:ilvl="5" w:tentative="0">
      <w:start w:val="1"/>
      <w:numFmt w:val="decimal"/>
      <w:pStyle w:val="102"/>
      <w:suff w:val="nothing"/>
      <w:lvlText w:val="%1%2.%3.%4.%5.%6　"/>
      <w:lvlJc w:val="left"/>
      <w:pPr>
        <w:ind w:left="5811"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5">
    <w:nsid w:val="6DA111B8"/>
    <w:multiLevelType w:val="multilevel"/>
    <w:tmpl w:val="6DA111B8"/>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6">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7">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8">
    <w:nsid w:val="75EB78C2"/>
    <w:multiLevelType w:val="multilevel"/>
    <w:tmpl w:val="75EB78C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9">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2819F9"/>
    <w:multiLevelType w:val="multilevel"/>
    <w:tmpl w:val="7D2819F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3"/>
  </w:num>
  <w:num w:numId="2">
    <w:abstractNumId w:val="34"/>
  </w:num>
  <w:num w:numId="3">
    <w:abstractNumId w:val="8"/>
  </w:num>
  <w:num w:numId="4">
    <w:abstractNumId w:val="30"/>
  </w:num>
  <w:num w:numId="5">
    <w:abstractNumId w:val="25"/>
  </w:num>
  <w:num w:numId="6">
    <w:abstractNumId w:val="20"/>
  </w:num>
  <w:num w:numId="7">
    <w:abstractNumId w:val="12"/>
  </w:num>
  <w:num w:numId="8">
    <w:abstractNumId w:val="6"/>
  </w:num>
  <w:num w:numId="9">
    <w:abstractNumId w:val="13"/>
  </w:num>
  <w:num w:numId="10">
    <w:abstractNumId w:val="23"/>
  </w:num>
  <w:num w:numId="11">
    <w:abstractNumId w:val="32"/>
  </w:num>
  <w:num w:numId="12">
    <w:abstractNumId w:val="16"/>
  </w:num>
  <w:num w:numId="13">
    <w:abstractNumId w:val="2"/>
  </w:num>
  <w:num w:numId="14">
    <w:abstractNumId w:val="11"/>
  </w:num>
  <w:num w:numId="15">
    <w:abstractNumId w:val="26"/>
  </w:num>
  <w:num w:numId="16">
    <w:abstractNumId w:val="28"/>
  </w:num>
  <w:num w:numId="17">
    <w:abstractNumId w:val="24"/>
  </w:num>
  <w:num w:numId="18">
    <w:abstractNumId w:val="37"/>
  </w:num>
  <w:num w:numId="19">
    <w:abstractNumId w:val="22"/>
  </w:num>
  <w:num w:numId="20">
    <w:abstractNumId w:val="4"/>
  </w:num>
  <w:num w:numId="21">
    <w:abstractNumId w:val="15"/>
  </w:num>
  <w:num w:numId="22">
    <w:abstractNumId w:val="39"/>
  </w:num>
  <w:num w:numId="23">
    <w:abstractNumId w:val="27"/>
  </w:num>
  <w:num w:numId="24">
    <w:abstractNumId w:val="9"/>
  </w:num>
  <w:num w:numId="25">
    <w:abstractNumId w:val="33"/>
  </w:num>
  <w:num w:numId="26">
    <w:abstractNumId w:val="36"/>
  </w:num>
  <w:num w:numId="27">
    <w:abstractNumId w:val="5"/>
  </w:num>
  <w:num w:numId="28">
    <w:abstractNumId w:val="7"/>
  </w:num>
  <w:num w:numId="29">
    <w:abstractNumId w:val="21"/>
  </w:num>
  <w:num w:numId="30">
    <w:abstractNumId w:val="31"/>
  </w:num>
  <w:num w:numId="31">
    <w:abstractNumId w:val="2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num>
  <w:num w:numId="71">
    <w:abstractNumId w:val="18"/>
  </w:num>
  <w:num w:numId="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num>
  <w:num w:numId="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5"/>
  </w:num>
  <w:num w:numId="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0"/>
  </w:num>
  <w:num w:numId="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kMzI0MTExMjlkNDM2Y2I0Y2NiYjgxM2EyMjI5NTkifQ=="/>
  </w:docVars>
  <w:rsids>
    <w:rsidRoot w:val="00E9279A"/>
    <w:rsid w:val="0000040A"/>
    <w:rsid w:val="00000A94"/>
    <w:rsid w:val="00001972"/>
    <w:rsid w:val="00001D9A"/>
    <w:rsid w:val="0000556C"/>
    <w:rsid w:val="000074F3"/>
    <w:rsid w:val="00007B3A"/>
    <w:rsid w:val="000107E0"/>
    <w:rsid w:val="00011C40"/>
    <w:rsid w:val="00011FDE"/>
    <w:rsid w:val="00012FFD"/>
    <w:rsid w:val="00014162"/>
    <w:rsid w:val="00014340"/>
    <w:rsid w:val="00016A9C"/>
    <w:rsid w:val="00022184"/>
    <w:rsid w:val="00022762"/>
    <w:rsid w:val="000238E0"/>
    <w:rsid w:val="000249DB"/>
    <w:rsid w:val="0002595E"/>
    <w:rsid w:val="000267EC"/>
    <w:rsid w:val="0002721A"/>
    <w:rsid w:val="000303C3"/>
    <w:rsid w:val="000331D3"/>
    <w:rsid w:val="000346A5"/>
    <w:rsid w:val="000354D6"/>
    <w:rsid w:val="000359C3"/>
    <w:rsid w:val="00035A7D"/>
    <w:rsid w:val="000365ED"/>
    <w:rsid w:val="000400FC"/>
    <w:rsid w:val="0004249A"/>
    <w:rsid w:val="00042F5C"/>
    <w:rsid w:val="00043282"/>
    <w:rsid w:val="00044286"/>
    <w:rsid w:val="00045B85"/>
    <w:rsid w:val="00047347"/>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C1F"/>
    <w:rsid w:val="00067F1E"/>
    <w:rsid w:val="00071CC0"/>
    <w:rsid w:val="000732D8"/>
    <w:rsid w:val="00073C8C"/>
    <w:rsid w:val="00077B64"/>
    <w:rsid w:val="00080A1C"/>
    <w:rsid w:val="00082317"/>
    <w:rsid w:val="00083D2C"/>
    <w:rsid w:val="0008529E"/>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37F"/>
    <w:rsid w:val="000C0F6C"/>
    <w:rsid w:val="000C11DB"/>
    <w:rsid w:val="000C1492"/>
    <w:rsid w:val="000C2FBD"/>
    <w:rsid w:val="000C4B41"/>
    <w:rsid w:val="000C57D6"/>
    <w:rsid w:val="000C6362"/>
    <w:rsid w:val="000C7666"/>
    <w:rsid w:val="000D0663"/>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435"/>
    <w:rsid w:val="00124E4F"/>
    <w:rsid w:val="001260B7"/>
    <w:rsid w:val="001265CB"/>
    <w:rsid w:val="001321C6"/>
    <w:rsid w:val="001325C4"/>
    <w:rsid w:val="00133010"/>
    <w:rsid w:val="001338EE"/>
    <w:rsid w:val="00133AAE"/>
    <w:rsid w:val="00135323"/>
    <w:rsid w:val="001356C4"/>
    <w:rsid w:val="00141114"/>
    <w:rsid w:val="00142969"/>
    <w:rsid w:val="001446C2"/>
    <w:rsid w:val="00145030"/>
    <w:rsid w:val="001457E7"/>
    <w:rsid w:val="00145D9D"/>
    <w:rsid w:val="00146388"/>
    <w:rsid w:val="001529E5"/>
    <w:rsid w:val="00153C7E"/>
    <w:rsid w:val="00156B25"/>
    <w:rsid w:val="00156E1A"/>
    <w:rsid w:val="00157894"/>
    <w:rsid w:val="00157B55"/>
    <w:rsid w:val="001633DB"/>
    <w:rsid w:val="001634B6"/>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E37"/>
    <w:rsid w:val="00176A37"/>
    <w:rsid w:val="00176DFD"/>
    <w:rsid w:val="001852C9"/>
    <w:rsid w:val="0018610F"/>
    <w:rsid w:val="001869C1"/>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4EE7"/>
    <w:rsid w:val="001E6AE4"/>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066FB"/>
    <w:rsid w:val="00210B15"/>
    <w:rsid w:val="00211974"/>
    <w:rsid w:val="002142EA"/>
    <w:rsid w:val="002204BB"/>
    <w:rsid w:val="00220845"/>
    <w:rsid w:val="00221B79"/>
    <w:rsid w:val="00221C6B"/>
    <w:rsid w:val="002230E9"/>
    <w:rsid w:val="00224BD3"/>
    <w:rsid w:val="002253A1"/>
    <w:rsid w:val="00225CF8"/>
    <w:rsid w:val="0022794E"/>
    <w:rsid w:val="00232D7C"/>
    <w:rsid w:val="00233D64"/>
    <w:rsid w:val="0023482A"/>
    <w:rsid w:val="002359CB"/>
    <w:rsid w:val="002410E3"/>
    <w:rsid w:val="00243540"/>
    <w:rsid w:val="0024497B"/>
    <w:rsid w:val="0024515B"/>
    <w:rsid w:val="00246021"/>
    <w:rsid w:val="0024666E"/>
    <w:rsid w:val="00247F52"/>
    <w:rsid w:val="00250B25"/>
    <w:rsid w:val="00250B4C"/>
    <w:rsid w:val="00250BBE"/>
    <w:rsid w:val="002515C2"/>
    <w:rsid w:val="0025194F"/>
    <w:rsid w:val="0026148A"/>
    <w:rsid w:val="00261EBD"/>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7C9"/>
    <w:rsid w:val="002A3AAB"/>
    <w:rsid w:val="002A4CEA"/>
    <w:rsid w:val="002A5977"/>
    <w:rsid w:val="002A5A13"/>
    <w:rsid w:val="002A6D51"/>
    <w:rsid w:val="002A757F"/>
    <w:rsid w:val="002A7F44"/>
    <w:rsid w:val="002B0C40"/>
    <w:rsid w:val="002B1966"/>
    <w:rsid w:val="002B4508"/>
    <w:rsid w:val="002B5179"/>
    <w:rsid w:val="002B5779"/>
    <w:rsid w:val="002B7332"/>
    <w:rsid w:val="002B7F51"/>
    <w:rsid w:val="002C09E7"/>
    <w:rsid w:val="002C1E06"/>
    <w:rsid w:val="002C1E1C"/>
    <w:rsid w:val="002C3F07"/>
    <w:rsid w:val="002C5278"/>
    <w:rsid w:val="002C7EBB"/>
    <w:rsid w:val="002C7FD6"/>
    <w:rsid w:val="002D06C1"/>
    <w:rsid w:val="002D42B5"/>
    <w:rsid w:val="002D4F1A"/>
    <w:rsid w:val="002D5570"/>
    <w:rsid w:val="002D5E6C"/>
    <w:rsid w:val="002D6EC6"/>
    <w:rsid w:val="002D79AC"/>
    <w:rsid w:val="002E039D"/>
    <w:rsid w:val="002E32DD"/>
    <w:rsid w:val="002E4D5A"/>
    <w:rsid w:val="002E6326"/>
    <w:rsid w:val="002F30E0"/>
    <w:rsid w:val="002F35E4"/>
    <w:rsid w:val="002F3730"/>
    <w:rsid w:val="002F38E1"/>
    <w:rsid w:val="002F77D1"/>
    <w:rsid w:val="002F7AF6"/>
    <w:rsid w:val="00300E63"/>
    <w:rsid w:val="00301251"/>
    <w:rsid w:val="003015B7"/>
    <w:rsid w:val="00302F5F"/>
    <w:rsid w:val="0030441D"/>
    <w:rsid w:val="003053BB"/>
    <w:rsid w:val="00306063"/>
    <w:rsid w:val="00313B85"/>
    <w:rsid w:val="00317988"/>
    <w:rsid w:val="0032061D"/>
    <w:rsid w:val="003221B4"/>
    <w:rsid w:val="0032258D"/>
    <w:rsid w:val="00322E62"/>
    <w:rsid w:val="00324D13"/>
    <w:rsid w:val="00324D2A"/>
    <w:rsid w:val="00324EDD"/>
    <w:rsid w:val="00326165"/>
    <w:rsid w:val="003331E4"/>
    <w:rsid w:val="00336C64"/>
    <w:rsid w:val="00337162"/>
    <w:rsid w:val="0034194F"/>
    <w:rsid w:val="00344605"/>
    <w:rsid w:val="003474AA"/>
    <w:rsid w:val="00350D1D"/>
    <w:rsid w:val="00352C83"/>
    <w:rsid w:val="003615D2"/>
    <w:rsid w:val="00361939"/>
    <w:rsid w:val="0036429C"/>
    <w:rsid w:val="00364A53"/>
    <w:rsid w:val="003654CB"/>
    <w:rsid w:val="00365AA9"/>
    <w:rsid w:val="00365F86"/>
    <w:rsid w:val="00365F87"/>
    <w:rsid w:val="00366E89"/>
    <w:rsid w:val="003705F4"/>
    <w:rsid w:val="00370D58"/>
    <w:rsid w:val="00371316"/>
    <w:rsid w:val="00374087"/>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980"/>
    <w:rsid w:val="00397CC5"/>
    <w:rsid w:val="003A0946"/>
    <w:rsid w:val="003A1582"/>
    <w:rsid w:val="003A4077"/>
    <w:rsid w:val="003B09AD"/>
    <w:rsid w:val="003B1F18"/>
    <w:rsid w:val="003B5BF0"/>
    <w:rsid w:val="003B60BF"/>
    <w:rsid w:val="003B6BE3"/>
    <w:rsid w:val="003C010C"/>
    <w:rsid w:val="003C0A6C"/>
    <w:rsid w:val="003C14F8"/>
    <w:rsid w:val="003C5949"/>
    <w:rsid w:val="003C5A43"/>
    <w:rsid w:val="003D0519"/>
    <w:rsid w:val="003D0FF6"/>
    <w:rsid w:val="003D262C"/>
    <w:rsid w:val="003D3B98"/>
    <w:rsid w:val="003D6D61"/>
    <w:rsid w:val="003D79C6"/>
    <w:rsid w:val="003E091D"/>
    <w:rsid w:val="003E0A5A"/>
    <w:rsid w:val="003E1C53"/>
    <w:rsid w:val="003E2A69"/>
    <w:rsid w:val="003E2D49"/>
    <w:rsid w:val="003E2FD4"/>
    <w:rsid w:val="003E49F6"/>
    <w:rsid w:val="003E660F"/>
    <w:rsid w:val="003F0841"/>
    <w:rsid w:val="003F23D3"/>
    <w:rsid w:val="003F23F8"/>
    <w:rsid w:val="003F2AB4"/>
    <w:rsid w:val="003F3F08"/>
    <w:rsid w:val="003F49F1"/>
    <w:rsid w:val="003F6272"/>
    <w:rsid w:val="00400E72"/>
    <w:rsid w:val="00401400"/>
    <w:rsid w:val="00404869"/>
    <w:rsid w:val="00405884"/>
    <w:rsid w:val="00407177"/>
    <w:rsid w:val="00407D39"/>
    <w:rsid w:val="0041477A"/>
    <w:rsid w:val="004167A3"/>
    <w:rsid w:val="004242C8"/>
    <w:rsid w:val="00424E1C"/>
    <w:rsid w:val="00432DAA"/>
    <w:rsid w:val="00433911"/>
    <w:rsid w:val="00434305"/>
    <w:rsid w:val="00435513"/>
    <w:rsid w:val="00435DF7"/>
    <w:rsid w:val="004403CF"/>
    <w:rsid w:val="0044083F"/>
    <w:rsid w:val="00441154"/>
    <w:rsid w:val="00441AE7"/>
    <w:rsid w:val="00445574"/>
    <w:rsid w:val="004467FB"/>
    <w:rsid w:val="00452D6B"/>
    <w:rsid w:val="00453240"/>
    <w:rsid w:val="00454484"/>
    <w:rsid w:val="0045517B"/>
    <w:rsid w:val="00463B77"/>
    <w:rsid w:val="00463C7B"/>
    <w:rsid w:val="004644A6"/>
    <w:rsid w:val="004659BD"/>
    <w:rsid w:val="00470775"/>
    <w:rsid w:val="004746B1"/>
    <w:rsid w:val="0047583F"/>
    <w:rsid w:val="00475DE8"/>
    <w:rsid w:val="00477113"/>
    <w:rsid w:val="00481C44"/>
    <w:rsid w:val="00484936"/>
    <w:rsid w:val="00484ABC"/>
    <w:rsid w:val="00485C89"/>
    <w:rsid w:val="00486BE3"/>
    <w:rsid w:val="004905E4"/>
    <w:rsid w:val="00490A89"/>
    <w:rsid w:val="00490AB4"/>
    <w:rsid w:val="00491552"/>
    <w:rsid w:val="00492F02"/>
    <w:rsid w:val="004939AE"/>
    <w:rsid w:val="004A12DF"/>
    <w:rsid w:val="004A17E6"/>
    <w:rsid w:val="004A1BA8"/>
    <w:rsid w:val="004A4B57"/>
    <w:rsid w:val="004A63FA"/>
    <w:rsid w:val="004A6982"/>
    <w:rsid w:val="004B0272"/>
    <w:rsid w:val="004B2701"/>
    <w:rsid w:val="004B2E1B"/>
    <w:rsid w:val="004B3AA8"/>
    <w:rsid w:val="004B3E93"/>
    <w:rsid w:val="004B5F5F"/>
    <w:rsid w:val="004C1FBC"/>
    <w:rsid w:val="004C3722"/>
    <w:rsid w:val="004C3F1D"/>
    <w:rsid w:val="004C458D"/>
    <w:rsid w:val="004C7556"/>
    <w:rsid w:val="004C7E8B"/>
    <w:rsid w:val="004C7E9D"/>
    <w:rsid w:val="004C7F67"/>
    <w:rsid w:val="004D076D"/>
    <w:rsid w:val="004D0EF1"/>
    <w:rsid w:val="004D2253"/>
    <w:rsid w:val="004D4406"/>
    <w:rsid w:val="004D511F"/>
    <w:rsid w:val="004D7C42"/>
    <w:rsid w:val="004E0465"/>
    <w:rsid w:val="004E127B"/>
    <w:rsid w:val="004E1C0A"/>
    <w:rsid w:val="004E2B06"/>
    <w:rsid w:val="004E30C5"/>
    <w:rsid w:val="004E4AA5"/>
    <w:rsid w:val="004E4AEE"/>
    <w:rsid w:val="004E59E3"/>
    <w:rsid w:val="004E67C0"/>
    <w:rsid w:val="004E6E09"/>
    <w:rsid w:val="004F1AC6"/>
    <w:rsid w:val="004F391A"/>
    <w:rsid w:val="004F3CFB"/>
    <w:rsid w:val="004F6456"/>
    <w:rsid w:val="004F696E"/>
    <w:rsid w:val="004F6C71"/>
    <w:rsid w:val="00501139"/>
    <w:rsid w:val="0050363E"/>
    <w:rsid w:val="005039BC"/>
    <w:rsid w:val="005043BB"/>
    <w:rsid w:val="00504A3D"/>
    <w:rsid w:val="00505767"/>
    <w:rsid w:val="00507120"/>
    <w:rsid w:val="00507255"/>
    <w:rsid w:val="005073F0"/>
    <w:rsid w:val="005079CB"/>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E85"/>
    <w:rsid w:val="005479DA"/>
    <w:rsid w:val="00547BCC"/>
    <w:rsid w:val="0055013B"/>
    <w:rsid w:val="0055158F"/>
    <w:rsid w:val="00551F6F"/>
    <w:rsid w:val="00555044"/>
    <w:rsid w:val="00561475"/>
    <w:rsid w:val="0056487B"/>
    <w:rsid w:val="00564FB9"/>
    <w:rsid w:val="00570AEF"/>
    <w:rsid w:val="0057262E"/>
    <w:rsid w:val="00573D9E"/>
    <w:rsid w:val="005801E3"/>
    <w:rsid w:val="00580F5F"/>
    <w:rsid w:val="00581802"/>
    <w:rsid w:val="005836A8"/>
    <w:rsid w:val="0058409C"/>
    <w:rsid w:val="00584262"/>
    <w:rsid w:val="00586630"/>
    <w:rsid w:val="00587ADD"/>
    <w:rsid w:val="00591E27"/>
    <w:rsid w:val="00596160"/>
    <w:rsid w:val="005966E2"/>
    <w:rsid w:val="00597007"/>
    <w:rsid w:val="005A0966"/>
    <w:rsid w:val="005A11B7"/>
    <w:rsid w:val="005A260B"/>
    <w:rsid w:val="005A269D"/>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2CC"/>
    <w:rsid w:val="005F23AD"/>
    <w:rsid w:val="005F284E"/>
    <w:rsid w:val="005F4712"/>
    <w:rsid w:val="006015CE"/>
    <w:rsid w:val="00604784"/>
    <w:rsid w:val="00606419"/>
    <w:rsid w:val="00607D29"/>
    <w:rsid w:val="00612952"/>
    <w:rsid w:val="006143A6"/>
    <w:rsid w:val="00614CC1"/>
    <w:rsid w:val="0061508F"/>
    <w:rsid w:val="00615A9D"/>
    <w:rsid w:val="00617387"/>
    <w:rsid w:val="006205D6"/>
    <w:rsid w:val="006252D8"/>
    <w:rsid w:val="006259BC"/>
    <w:rsid w:val="0062636B"/>
    <w:rsid w:val="0062650A"/>
    <w:rsid w:val="00632182"/>
    <w:rsid w:val="00632AE0"/>
    <w:rsid w:val="0063333B"/>
    <w:rsid w:val="00633C17"/>
    <w:rsid w:val="00634D9E"/>
    <w:rsid w:val="00636E3E"/>
    <w:rsid w:val="006379F7"/>
    <w:rsid w:val="00637E4D"/>
    <w:rsid w:val="00640620"/>
    <w:rsid w:val="00641A1F"/>
    <w:rsid w:val="006456AE"/>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2E4C"/>
    <w:rsid w:val="006770F4"/>
    <w:rsid w:val="00677A84"/>
    <w:rsid w:val="0068026D"/>
    <w:rsid w:val="00680A27"/>
    <w:rsid w:val="006816A4"/>
    <w:rsid w:val="006819B8"/>
    <w:rsid w:val="006840A6"/>
    <w:rsid w:val="006850CD"/>
    <w:rsid w:val="00685899"/>
    <w:rsid w:val="00685AAB"/>
    <w:rsid w:val="00695D22"/>
    <w:rsid w:val="006A07AA"/>
    <w:rsid w:val="006A25E5"/>
    <w:rsid w:val="006A2B46"/>
    <w:rsid w:val="006A336D"/>
    <w:rsid w:val="006A37B9"/>
    <w:rsid w:val="006B1206"/>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0E5"/>
    <w:rsid w:val="006D3E96"/>
    <w:rsid w:val="006D4515"/>
    <w:rsid w:val="006D4820"/>
    <w:rsid w:val="006D4BB1"/>
    <w:rsid w:val="006D6593"/>
    <w:rsid w:val="006E23EA"/>
    <w:rsid w:val="006F03A8"/>
    <w:rsid w:val="006F2ACA"/>
    <w:rsid w:val="006F2ADC"/>
    <w:rsid w:val="006F2BFE"/>
    <w:rsid w:val="006F31E9"/>
    <w:rsid w:val="006F6284"/>
    <w:rsid w:val="007002C5"/>
    <w:rsid w:val="00704387"/>
    <w:rsid w:val="00705BBD"/>
    <w:rsid w:val="00707669"/>
    <w:rsid w:val="00711CBA"/>
    <w:rsid w:val="00711FB5"/>
    <w:rsid w:val="00712A01"/>
    <w:rsid w:val="00714F58"/>
    <w:rsid w:val="00722FBF"/>
    <w:rsid w:val="00722FC2"/>
    <w:rsid w:val="007246AB"/>
    <w:rsid w:val="00724879"/>
    <w:rsid w:val="00724E1B"/>
    <w:rsid w:val="00725949"/>
    <w:rsid w:val="00727FA2"/>
    <w:rsid w:val="007322D9"/>
    <w:rsid w:val="00732BC0"/>
    <w:rsid w:val="0073720F"/>
    <w:rsid w:val="00737751"/>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67F"/>
    <w:rsid w:val="00752B4D"/>
    <w:rsid w:val="00754AE3"/>
    <w:rsid w:val="00755402"/>
    <w:rsid w:val="00756B26"/>
    <w:rsid w:val="00756EDF"/>
    <w:rsid w:val="00757930"/>
    <w:rsid w:val="007600E3"/>
    <w:rsid w:val="00765C43"/>
    <w:rsid w:val="00765DE6"/>
    <w:rsid w:val="00765EFB"/>
    <w:rsid w:val="007671CA"/>
    <w:rsid w:val="00767C61"/>
    <w:rsid w:val="0077008A"/>
    <w:rsid w:val="00771804"/>
    <w:rsid w:val="00773C1F"/>
    <w:rsid w:val="00774DA4"/>
    <w:rsid w:val="00776599"/>
    <w:rsid w:val="00777FCB"/>
    <w:rsid w:val="0078114B"/>
    <w:rsid w:val="00781DD2"/>
    <w:rsid w:val="0078370E"/>
    <w:rsid w:val="00783ECF"/>
    <w:rsid w:val="0078413A"/>
    <w:rsid w:val="007861C4"/>
    <w:rsid w:val="00791C43"/>
    <w:rsid w:val="007959E8"/>
    <w:rsid w:val="00795E95"/>
    <w:rsid w:val="00795E9C"/>
    <w:rsid w:val="00796083"/>
    <w:rsid w:val="007A0521"/>
    <w:rsid w:val="007A1FC0"/>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0946"/>
    <w:rsid w:val="007D1352"/>
    <w:rsid w:val="007D2508"/>
    <w:rsid w:val="007D346A"/>
    <w:rsid w:val="007D6518"/>
    <w:rsid w:val="007D76BD"/>
    <w:rsid w:val="007D7CB0"/>
    <w:rsid w:val="007E0BF1"/>
    <w:rsid w:val="007E2AEC"/>
    <w:rsid w:val="007E3DB3"/>
    <w:rsid w:val="007E790C"/>
    <w:rsid w:val="007F0ED8"/>
    <w:rsid w:val="007F0F63"/>
    <w:rsid w:val="007F75CE"/>
    <w:rsid w:val="008013A4"/>
    <w:rsid w:val="008020C7"/>
    <w:rsid w:val="008027CE"/>
    <w:rsid w:val="00802F42"/>
    <w:rsid w:val="00804383"/>
    <w:rsid w:val="00804BB7"/>
    <w:rsid w:val="00804D41"/>
    <w:rsid w:val="00807D88"/>
    <w:rsid w:val="00810257"/>
    <w:rsid w:val="008104F5"/>
    <w:rsid w:val="008106ED"/>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4848"/>
    <w:rsid w:val="00856316"/>
    <w:rsid w:val="008603CE"/>
    <w:rsid w:val="008617A6"/>
    <w:rsid w:val="008620FC"/>
    <w:rsid w:val="008627A5"/>
    <w:rsid w:val="00863E05"/>
    <w:rsid w:val="00865ACA"/>
    <w:rsid w:val="00865D28"/>
    <w:rsid w:val="00865EEF"/>
    <w:rsid w:val="00865F85"/>
    <w:rsid w:val="0086649A"/>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1E75"/>
    <w:rsid w:val="008C219C"/>
    <w:rsid w:val="008C475E"/>
    <w:rsid w:val="008C619A"/>
    <w:rsid w:val="008D0CE8"/>
    <w:rsid w:val="008D2D1D"/>
    <w:rsid w:val="008D453D"/>
    <w:rsid w:val="008D53AD"/>
    <w:rsid w:val="008D562B"/>
    <w:rsid w:val="008D5733"/>
    <w:rsid w:val="008D622B"/>
    <w:rsid w:val="008D666C"/>
    <w:rsid w:val="008D7B54"/>
    <w:rsid w:val="008E0C2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1D5"/>
    <w:rsid w:val="009245F5"/>
    <w:rsid w:val="009249EC"/>
    <w:rsid w:val="009273B3"/>
    <w:rsid w:val="009305B5"/>
    <w:rsid w:val="009429D5"/>
    <w:rsid w:val="00942BF1"/>
    <w:rsid w:val="00945180"/>
    <w:rsid w:val="00945428"/>
    <w:rsid w:val="0094607B"/>
    <w:rsid w:val="00946D9B"/>
    <w:rsid w:val="00953604"/>
    <w:rsid w:val="00953C6D"/>
    <w:rsid w:val="0095496B"/>
    <w:rsid w:val="009610DC"/>
    <w:rsid w:val="00961490"/>
    <w:rsid w:val="0096381A"/>
    <w:rsid w:val="00965E04"/>
    <w:rsid w:val="009674AD"/>
    <w:rsid w:val="00970CDC"/>
    <w:rsid w:val="00972FDD"/>
    <w:rsid w:val="00977010"/>
    <w:rsid w:val="00977642"/>
    <w:rsid w:val="00977BFE"/>
    <w:rsid w:val="00977D02"/>
    <w:rsid w:val="009809BB"/>
    <w:rsid w:val="0098364B"/>
    <w:rsid w:val="009877C4"/>
    <w:rsid w:val="009911AF"/>
    <w:rsid w:val="00991875"/>
    <w:rsid w:val="00991F92"/>
    <w:rsid w:val="00992985"/>
    <w:rsid w:val="00993889"/>
    <w:rsid w:val="0099544A"/>
    <w:rsid w:val="0099551B"/>
    <w:rsid w:val="00997BF1"/>
    <w:rsid w:val="009A089C"/>
    <w:rsid w:val="009A118E"/>
    <w:rsid w:val="009A21CD"/>
    <w:rsid w:val="009A278C"/>
    <w:rsid w:val="009A2BC2"/>
    <w:rsid w:val="009A42C1"/>
    <w:rsid w:val="009A5366"/>
    <w:rsid w:val="009A5429"/>
    <w:rsid w:val="009A72AD"/>
    <w:rsid w:val="009B09E0"/>
    <w:rsid w:val="009B0BC5"/>
    <w:rsid w:val="009B1247"/>
    <w:rsid w:val="009B46F9"/>
    <w:rsid w:val="009B6029"/>
    <w:rsid w:val="009B6971"/>
    <w:rsid w:val="009C0509"/>
    <w:rsid w:val="009C27F1"/>
    <w:rsid w:val="009C3152"/>
    <w:rsid w:val="009C3246"/>
    <w:rsid w:val="009C4CFA"/>
    <w:rsid w:val="009C5070"/>
    <w:rsid w:val="009C7D87"/>
    <w:rsid w:val="009D112C"/>
    <w:rsid w:val="009D47FA"/>
    <w:rsid w:val="009D4C5B"/>
    <w:rsid w:val="009D50D2"/>
    <w:rsid w:val="009D6BCA"/>
    <w:rsid w:val="009E0F62"/>
    <w:rsid w:val="009E4A58"/>
    <w:rsid w:val="009E5A2D"/>
    <w:rsid w:val="009E5AB2"/>
    <w:rsid w:val="009E6219"/>
    <w:rsid w:val="009E63B1"/>
    <w:rsid w:val="009F03B3"/>
    <w:rsid w:val="009F69FA"/>
    <w:rsid w:val="00A0096C"/>
    <w:rsid w:val="00A01757"/>
    <w:rsid w:val="00A028C0"/>
    <w:rsid w:val="00A02BAE"/>
    <w:rsid w:val="00A059D2"/>
    <w:rsid w:val="00A06A6B"/>
    <w:rsid w:val="00A07E47"/>
    <w:rsid w:val="00A11505"/>
    <w:rsid w:val="00A129D0"/>
    <w:rsid w:val="00A12C33"/>
    <w:rsid w:val="00A138BA"/>
    <w:rsid w:val="00A14C8E"/>
    <w:rsid w:val="00A153D9"/>
    <w:rsid w:val="00A15F09"/>
    <w:rsid w:val="00A169B6"/>
    <w:rsid w:val="00A2271D"/>
    <w:rsid w:val="00A237D5"/>
    <w:rsid w:val="00A30EFC"/>
    <w:rsid w:val="00A31984"/>
    <w:rsid w:val="00A31E31"/>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4EBA"/>
    <w:rsid w:val="00A55BD6"/>
    <w:rsid w:val="00A55D50"/>
    <w:rsid w:val="00A57142"/>
    <w:rsid w:val="00A648CD"/>
    <w:rsid w:val="00A6537A"/>
    <w:rsid w:val="00A67866"/>
    <w:rsid w:val="00A70B07"/>
    <w:rsid w:val="00A723F8"/>
    <w:rsid w:val="00A77CCB"/>
    <w:rsid w:val="00A8022E"/>
    <w:rsid w:val="00A83D8D"/>
    <w:rsid w:val="00A8446B"/>
    <w:rsid w:val="00A8473F"/>
    <w:rsid w:val="00A862D6"/>
    <w:rsid w:val="00A8715E"/>
    <w:rsid w:val="00A87AEF"/>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5CD"/>
    <w:rsid w:val="00AC27A6"/>
    <w:rsid w:val="00AC30F7"/>
    <w:rsid w:val="00AC3A5A"/>
    <w:rsid w:val="00AC4D95"/>
    <w:rsid w:val="00AC5DF4"/>
    <w:rsid w:val="00AD0AEF"/>
    <w:rsid w:val="00AD11B7"/>
    <w:rsid w:val="00AD1A94"/>
    <w:rsid w:val="00AD1AF4"/>
    <w:rsid w:val="00AD1C05"/>
    <w:rsid w:val="00AD4126"/>
    <w:rsid w:val="00AD421C"/>
    <w:rsid w:val="00AD44FA"/>
    <w:rsid w:val="00AE070A"/>
    <w:rsid w:val="00AE101C"/>
    <w:rsid w:val="00AE37E5"/>
    <w:rsid w:val="00AE5EB4"/>
    <w:rsid w:val="00AF0C18"/>
    <w:rsid w:val="00AF47A4"/>
    <w:rsid w:val="00AF47C5"/>
    <w:rsid w:val="00AF5398"/>
    <w:rsid w:val="00AF5AED"/>
    <w:rsid w:val="00B049AF"/>
    <w:rsid w:val="00B07242"/>
    <w:rsid w:val="00B10534"/>
    <w:rsid w:val="00B10F10"/>
    <w:rsid w:val="00B113DB"/>
    <w:rsid w:val="00B11D8A"/>
    <w:rsid w:val="00B12981"/>
    <w:rsid w:val="00B13731"/>
    <w:rsid w:val="00B147DD"/>
    <w:rsid w:val="00B14C27"/>
    <w:rsid w:val="00B156FD"/>
    <w:rsid w:val="00B16BB7"/>
    <w:rsid w:val="00B21F61"/>
    <w:rsid w:val="00B261F1"/>
    <w:rsid w:val="00B265BC"/>
    <w:rsid w:val="00B31FB1"/>
    <w:rsid w:val="00B33952"/>
    <w:rsid w:val="00B33C5E"/>
    <w:rsid w:val="00B33CFE"/>
    <w:rsid w:val="00B342F4"/>
    <w:rsid w:val="00B34369"/>
    <w:rsid w:val="00B34DC2"/>
    <w:rsid w:val="00B37260"/>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4BA0"/>
    <w:rsid w:val="00B65149"/>
    <w:rsid w:val="00B663D7"/>
    <w:rsid w:val="00B66567"/>
    <w:rsid w:val="00B66F52"/>
    <w:rsid w:val="00B66FE5"/>
    <w:rsid w:val="00B72880"/>
    <w:rsid w:val="00B758BF"/>
    <w:rsid w:val="00B77EC8"/>
    <w:rsid w:val="00B827A6"/>
    <w:rsid w:val="00B831CE"/>
    <w:rsid w:val="00B86677"/>
    <w:rsid w:val="00B87131"/>
    <w:rsid w:val="00B925CB"/>
    <w:rsid w:val="00B939B1"/>
    <w:rsid w:val="00B96D40"/>
    <w:rsid w:val="00B96E3B"/>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C7414"/>
    <w:rsid w:val="00BD3759"/>
    <w:rsid w:val="00BD3FC2"/>
    <w:rsid w:val="00BD52D7"/>
    <w:rsid w:val="00BD5AD2"/>
    <w:rsid w:val="00BD5B7E"/>
    <w:rsid w:val="00BD643B"/>
    <w:rsid w:val="00BE22F3"/>
    <w:rsid w:val="00BE5B52"/>
    <w:rsid w:val="00BE61E5"/>
    <w:rsid w:val="00BE7B8D"/>
    <w:rsid w:val="00BF0993"/>
    <w:rsid w:val="00BF10A9"/>
    <w:rsid w:val="00BF1703"/>
    <w:rsid w:val="00BF2007"/>
    <w:rsid w:val="00BF231C"/>
    <w:rsid w:val="00BF51E5"/>
    <w:rsid w:val="00BF74A6"/>
    <w:rsid w:val="00C013AD"/>
    <w:rsid w:val="00C04798"/>
    <w:rsid w:val="00C04904"/>
    <w:rsid w:val="00C056B3"/>
    <w:rsid w:val="00C10255"/>
    <w:rsid w:val="00C103E5"/>
    <w:rsid w:val="00C1153B"/>
    <w:rsid w:val="00C13319"/>
    <w:rsid w:val="00C13EE9"/>
    <w:rsid w:val="00C21540"/>
    <w:rsid w:val="00C21906"/>
    <w:rsid w:val="00C21BFA"/>
    <w:rsid w:val="00C22148"/>
    <w:rsid w:val="00C24C8D"/>
    <w:rsid w:val="00C252AA"/>
    <w:rsid w:val="00C25FE2"/>
    <w:rsid w:val="00C26B53"/>
    <w:rsid w:val="00C26C56"/>
    <w:rsid w:val="00C279B2"/>
    <w:rsid w:val="00C3207F"/>
    <w:rsid w:val="00C33E50"/>
    <w:rsid w:val="00C34C20"/>
    <w:rsid w:val="00C35232"/>
    <w:rsid w:val="00C35A3E"/>
    <w:rsid w:val="00C37EF3"/>
    <w:rsid w:val="00C41CA9"/>
    <w:rsid w:val="00C42130"/>
    <w:rsid w:val="00C423A4"/>
    <w:rsid w:val="00C44BF5"/>
    <w:rsid w:val="00C521D6"/>
    <w:rsid w:val="00C55232"/>
    <w:rsid w:val="00C553A4"/>
    <w:rsid w:val="00C55999"/>
    <w:rsid w:val="00C55A06"/>
    <w:rsid w:val="00C55D03"/>
    <w:rsid w:val="00C601BC"/>
    <w:rsid w:val="00C6329F"/>
    <w:rsid w:val="00C63340"/>
    <w:rsid w:val="00C643EA"/>
    <w:rsid w:val="00C643F9"/>
    <w:rsid w:val="00C64E95"/>
    <w:rsid w:val="00C71372"/>
    <w:rsid w:val="00C716E4"/>
    <w:rsid w:val="00C72410"/>
    <w:rsid w:val="00C7287F"/>
    <w:rsid w:val="00C77185"/>
    <w:rsid w:val="00C80CB8"/>
    <w:rsid w:val="00C819F8"/>
    <w:rsid w:val="00C8248C"/>
    <w:rsid w:val="00C84E33"/>
    <w:rsid w:val="00C86D6F"/>
    <w:rsid w:val="00C905FC"/>
    <w:rsid w:val="00C9097E"/>
    <w:rsid w:val="00C91D8F"/>
    <w:rsid w:val="00C92D03"/>
    <w:rsid w:val="00C9319C"/>
    <w:rsid w:val="00C9435D"/>
    <w:rsid w:val="00C94DF2"/>
    <w:rsid w:val="00C96741"/>
    <w:rsid w:val="00C96AB8"/>
    <w:rsid w:val="00C97998"/>
    <w:rsid w:val="00CA1310"/>
    <w:rsid w:val="00CA2D1B"/>
    <w:rsid w:val="00CA375D"/>
    <w:rsid w:val="00CA57CB"/>
    <w:rsid w:val="00CA662A"/>
    <w:rsid w:val="00CA7AFD"/>
    <w:rsid w:val="00CA7C3C"/>
    <w:rsid w:val="00CB0189"/>
    <w:rsid w:val="00CB0BA2"/>
    <w:rsid w:val="00CB0CCC"/>
    <w:rsid w:val="00CB1A42"/>
    <w:rsid w:val="00CB1B0C"/>
    <w:rsid w:val="00CB2C0B"/>
    <w:rsid w:val="00CB517D"/>
    <w:rsid w:val="00CB594B"/>
    <w:rsid w:val="00CC038D"/>
    <w:rsid w:val="00CC04D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2E2D"/>
    <w:rsid w:val="00CF457D"/>
    <w:rsid w:val="00CF686F"/>
    <w:rsid w:val="00CF6E60"/>
    <w:rsid w:val="00CF7BCA"/>
    <w:rsid w:val="00D008FD"/>
    <w:rsid w:val="00D0321C"/>
    <w:rsid w:val="00D035EC"/>
    <w:rsid w:val="00D06AB1"/>
    <w:rsid w:val="00D0729D"/>
    <w:rsid w:val="00D072ED"/>
    <w:rsid w:val="00D07A16"/>
    <w:rsid w:val="00D1067E"/>
    <w:rsid w:val="00D10F50"/>
    <w:rsid w:val="00D11272"/>
    <w:rsid w:val="00D126F5"/>
    <w:rsid w:val="00D1489E"/>
    <w:rsid w:val="00D17B62"/>
    <w:rsid w:val="00D20737"/>
    <w:rsid w:val="00D21E81"/>
    <w:rsid w:val="00D223DE"/>
    <w:rsid w:val="00D25E37"/>
    <w:rsid w:val="00D2661A"/>
    <w:rsid w:val="00D27582"/>
    <w:rsid w:val="00D27EC4"/>
    <w:rsid w:val="00D32644"/>
    <w:rsid w:val="00D32719"/>
    <w:rsid w:val="00D33333"/>
    <w:rsid w:val="00D33457"/>
    <w:rsid w:val="00D352A2"/>
    <w:rsid w:val="00D40C93"/>
    <w:rsid w:val="00D4162B"/>
    <w:rsid w:val="00D41DB7"/>
    <w:rsid w:val="00D4514F"/>
    <w:rsid w:val="00D451E2"/>
    <w:rsid w:val="00D45E89"/>
    <w:rsid w:val="00D45E8D"/>
    <w:rsid w:val="00D466AE"/>
    <w:rsid w:val="00D4734F"/>
    <w:rsid w:val="00D51BF3"/>
    <w:rsid w:val="00D5265B"/>
    <w:rsid w:val="00D66846"/>
    <w:rsid w:val="00D675FB"/>
    <w:rsid w:val="00D71F25"/>
    <w:rsid w:val="00D72A9C"/>
    <w:rsid w:val="00D73598"/>
    <w:rsid w:val="00D75022"/>
    <w:rsid w:val="00D77031"/>
    <w:rsid w:val="00D84941"/>
    <w:rsid w:val="00D84FA1"/>
    <w:rsid w:val="00D851F0"/>
    <w:rsid w:val="00D86DB7"/>
    <w:rsid w:val="00D874A9"/>
    <w:rsid w:val="00D918BB"/>
    <w:rsid w:val="00D926D0"/>
    <w:rsid w:val="00D93030"/>
    <w:rsid w:val="00D950E1"/>
    <w:rsid w:val="00D952A6"/>
    <w:rsid w:val="00D97F99"/>
    <w:rsid w:val="00DA1E08"/>
    <w:rsid w:val="00DA24F8"/>
    <w:rsid w:val="00DA28E8"/>
    <w:rsid w:val="00DA38D3"/>
    <w:rsid w:val="00DA3932"/>
    <w:rsid w:val="00DA3AFC"/>
    <w:rsid w:val="00DA5191"/>
    <w:rsid w:val="00DA533C"/>
    <w:rsid w:val="00DA5C4E"/>
    <w:rsid w:val="00DA64F8"/>
    <w:rsid w:val="00DA6C15"/>
    <w:rsid w:val="00DB0258"/>
    <w:rsid w:val="00DB1DC8"/>
    <w:rsid w:val="00DB38EE"/>
    <w:rsid w:val="00DB498B"/>
    <w:rsid w:val="00DB66CA"/>
    <w:rsid w:val="00DB6BCA"/>
    <w:rsid w:val="00DB73F7"/>
    <w:rsid w:val="00DC0321"/>
    <w:rsid w:val="00DC25B1"/>
    <w:rsid w:val="00DC3067"/>
    <w:rsid w:val="00DC370B"/>
    <w:rsid w:val="00DC371A"/>
    <w:rsid w:val="00DC5B90"/>
    <w:rsid w:val="00DC7AC9"/>
    <w:rsid w:val="00DD00FF"/>
    <w:rsid w:val="00DD01D5"/>
    <w:rsid w:val="00DD0619"/>
    <w:rsid w:val="00DD07FB"/>
    <w:rsid w:val="00DD25C6"/>
    <w:rsid w:val="00DD4FE5"/>
    <w:rsid w:val="00DD54B0"/>
    <w:rsid w:val="00DD57EE"/>
    <w:rsid w:val="00DD6BCC"/>
    <w:rsid w:val="00DE0A4B"/>
    <w:rsid w:val="00DE2074"/>
    <w:rsid w:val="00DE2410"/>
    <w:rsid w:val="00DE2939"/>
    <w:rsid w:val="00DE4019"/>
    <w:rsid w:val="00DE6E81"/>
    <w:rsid w:val="00DE703F"/>
    <w:rsid w:val="00DE7595"/>
    <w:rsid w:val="00DF1961"/>
    <w:rsid w:val="00DF44DE"/>
    <w:rsid w:val="00DF5F11"/>
    <w:rsid w:val="00DF6FBD"/>
    <w:rsid w:val="00E01138"/>
    <w:rsid w:val="00E02DFB"/>
    <w:rsid w:val="00E030F9"/>
    <w:rsid w:val="00E0311A"/>
    <w:rsid w:val="00E03138"/>
    <w:rsid w:val="00E06404"/>
    <w:rsid w:val="00E065D2"/>
    <w:rsid w:val="00E07DEE"/>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103B"/>
    <w:rsid w:val="00E44A83"/>
    <w:rsid w:val="00E502C1"/>
    <w:rsid w:val="00E502DD"/>
    <w:rsid w:val="00E50D3A"/>
    <w:rsid w:val="00E51387"/>
    <w:rsid w:val="00E51E68"/>
    <w:rsid w:val="00E52EFD"/>
    <w:rsid w:val="00E5328D"/>
    <w:rsid w:val="00E5408A"/>
    <w:rsid w:val="00E55605"/>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279A"/>
    <w:rsid w:val="00E92F38"/>
    <w:rsid w:val="00E9311F"/>
    <w:rsid w:val="00E934D1"/>
    <w:rsid w:val="00E94AF0"/>
    <w:rsid w:val="00E95D13"/>
    <w:rsid w:val="00E95DD3"/>
    <w:rsid w:val="00E969D5"/>
    <w:rsid w:val="00EA058C"/>
    <w:rsid w:val="00EA58D1"/>
    <w:rsid w:val="00EA61BC"/>
    <w:rsid w:val="00EA681A"/>
    <w:rsid w:val="00EA6F17"/>
    <w:rsid w:val="00EA735B"/>
    <w:rsid w:val="00EA7929"/>
    <w:rsid w:val="00EB17DE"/>
    <w:rsid w:val="00EB1E69"/>
    <w:rsid w:val="00EB2086"/>
    <w:rsid w:val="00EB5EDF"/>
    <w:rsid w:val="00EB60FE"/>
    <w:rsid w:val="00EB712A"/>
    <w:rsid w:val="00EB74DB"/>
    <w:rsid w:val="00EC4D30"/>
    <w:rsid w:val="00EC5359"/>
    <w:rsid w:val="00EC562A"/>
    <w:rsid w:val="00ED067A"/>
    <w:rsid w:val="00ED2B50"/>
    <w:rsid w:val="00ED659D"/>
    <w:rsid w:val="00EE0350"/>
    <w:rsid w:val="00EE0719"/>
    <w:rsid w:val="00EE0E80"/>
    <w:rsid w:val="00EE54A6"/>
    <w:rsid w:val="00EE613F"/>
    <w:rsid w:val="00EE6424"/>
    <w:rsid w:val="00EE7295"/>
    <w:rsid w:val="00EE7869"/>
    <w:rsid w:val="00EF054A"/>
    <w:rsid w:val="00EF0941"/>
    <w:rsid w:val="00EF3235"/>
    <w:rsid w:val="00EF45E5"/>
    <w:rsid w:val="00EF5AE9"/>
    <w:rsid w:val="00EF7E72"/>
    <w:rsid w:val="00F0513C"/>
    <w:rsid w:val="00F06D37"/>
    <w:rsid w:val="00F07B9D"/>
    <w:rsid w:val="00F11586"/>
    <w:rsid w:val="00F1183B"/>
    <w:rsid w:val="00F11C9F"/>
    <w:rsid w:val="00F12263"/>
    <w:rsid w:val="00F1409D"/>
    <w:rsid w:val="00F14214"/>
    <w:rsid w:val="00F157A9"/>
    <w:rsid w:val="00F17191"/>
    <w:rsid w:val="00F17B21"/>
    <w:rsid w:val="00F24F03"/>
    <w:rsid w:val="00F250EC"/>
    <w:rsid w:val="00F25BB6"/>
    <w:rsid w:val="00F26B7E"/>
    <w:rsid w:val="00F27A3B"/>
    <w:rsid w:val="00F33817"/>
    <w:rsid w:val="00F37842"/>
    <w:rsid w:val="00F420D5"/>
    <w:rsid w:val="00F451EA"/>
    <w:rsid w:val="00F45447"/>
    <w:rsid w:val="00F456C6"/>
    <w:rsid w:val="00F4577B"/>
    <w:rsid w:val="00F46496"/>
    <w:rsid w:val="00F474D0"/>
    <w:rsid w:val="00F50179"/>
    <w:rsid w:val="00F515EE"/>
    <w:rsid w:val="00F56511"/>
    <w:rsid w:val="00F6194E"/>
    <w:rsid w:val="00F623AC"/>
    <w:rsid w:val="00F6412A"/>
    <w:rsid w:val="00F64B6B"/>
    <w:rsid w:val="00F651D2"/>
    <w:rsid w:val="00F65893"/>
    <w:rsid w:val="00F66A4A"/>
    <w:rsid w:val="00F677F0"/>
    <w:rsid w:val="00F71E22"/>
    <w:rsid w:val="00F72142"/>
    <w:rsid w:val="00F72AE7"/>
    <w:rsid w:val="00F7514F"/>
    <w:rsid w:val="00F80323"/>
    <w:rsid w:val="00F81141"/>
    <w:rsid w:val="00F833BA"/>
    <w:rsid w:val="00F83530"/>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D7B23"/>
    <w:rsid w:val="00FE1FBE"/>
    <w:rsid w:val="00FE3901"/>
    <w:rsid w:val="00FE39D3"/>
    <w:rsid w:val="00FE4BCE"/>
    <w:rsid w:val="00FE54AE"/>
    <w:rsid w:val="00FE576A"/>
    <w:rsid w:val="00FE7E79"/>
    <w:rsid w:val="00FF3E7D"/>
    <w:rsid w:val="00FF5B99"/>
    <w:rsid w:val="00FF6E26"/>
    <w:rsid w:val="00FF730C"/>
    <w:rsid w:val="00FF73F4"/>
    <w:rsid w:val="00FF7CE4"/>
    <w:rsid w:val="00FF7E39"/>
    <w:rsid w:val="011805CF"/>
    <w:rsid w:val="02104022"/>
    <w:rsid w:val="04134A25"/>
    <w:rsid w:val="044C50BA"/>
    <w:rsid w:val="058147AE"/>
    <w:rsid w:val="05B36BB2"/>
    <w:rsid w:val="06CF0C4C"/>
    <w:rsid w:val="07097292"/>
    <w:rsid w:val="075D50CE"/>
    <w:rsid w:val="07FF614B"/>
    <w:rsid w:val="083E4D1A"/>
    <w:rsid w:val="0DD57ECE"/>
    <w:rsid w:val="0E354AE0"/>
    <w:rsid w:val="10771710"/>
    <w:rsid w:val="11540F8B"/>
    <w:rsid w:val="11E608FC"/>
    <w:rsid w:val="12FA156D"/>
    <w:rsid w:val="143E77BF"/>
    <w:rsid w:val="146A616D"/>
    <w:rsid w:val="14E42B0C"/>
    <w:rsid w:val="157015D7"/>
    <w:rsid w:val="16B67F29"/>
    <w:rsid w:val="16BA2357"/>
    <w:rsid w:val="18265C26"/>
    <w:rsid w:val="18FA4C8D"/>
    <w:rsid w:val="19193365"/>
    <w:rsid w:val="1A5C70A3"/>
    <w:rsid w:val="1A5F3ABF"/>
    <w:rsid w:val="1A772A39"/>
    <w:rsid w:val="1CE7745F"/>
    <w:rsid w:val="1E032835"/>
    <w:rsid w:val="1EEC5078"/>
    <w:rsid w:val="1F1D7927"/>
    <w:rsid w:val="1F43738D"/>
    <w:rsid w:val="202C5CD5"/>
    <w:rsid w:val="20C73D53"/>
    <w:rsid w:val="239E6C80"/>
    <w:rsid w:val="23B430A3"/>
    <w:rsid w:val="23D211E3"/>
    <w:rsid w:val="24983315"/>
    <w:rsid w:val="24B146FC"/>
    <w:rsid w:val="24DE1906"/>
    <w:rsid w:val="25BF7042"/>
    <w:rsid w:val="28F263D7"/>
    <w:rsid w:val="29070055"/>
    <w:rsid w:val="2A683DCA"/>
    <w:rsid w:val="2A9E6329"/>
    <w:rsid w:val="2BE91B70"/>
    <w:rsid w:val="2C9034E6"/>
    <w:rsid w:val="2CF7578C"/>
    <w:rsid w:val="2D2D1B91"/>
    <w:rsid w:val="2F72275C"/>
    <w:rsid w:val="30CB007D"/>
    <w:rsid w:val="3102072B"/>
    <w:rsid w:val="328E2276"/>
    <w:rsid w:val="32A73C6C"/>
    <w:rsid w:val="32F81DE5"/>
    <w:rsid w:val="33766BD0"/>
    <w:rsid w:val="33B30B2E"/>
    <w:rsid w:val="35777939"/>
    <w:rsid w:val="35D52786"/>
    <w:rsid w:val="381E5E4A"/>
    <w:rsid w:val="399F3513"/>
    <w:rsid w:val="39E43292"/>
    <w:rsid w:val="3B4C2C28"/>
    <w:rsid w:val="3B7A0412"/>
    <w:rsid w:val="3EA13331"/>
    <w:rsid w:val="3EBA4F1D"/>
    <w:rsid w:val="3F1B2DCF"/>
    <w:rsid w:val="3FAA25DA"/>
    <w:rsid w:val="401364B0"/>
    <w:rsid w:val="413D345F"/>
    <w:rsid w:val="41B9357D"/>
    <w:rsid w:val="42334BE8"/>
    <w:rsid w:val="42445025"/>
    <w:rsid w:val="42674891"/>
    <w:rsid w:val="427F44AC"/>
    <w:rsid w:val="42E859D2"/>
    <w:rsid w:val="43520FC0"/>
    <w:rsid w:val="4354743C"/>
    <w:rsid w:val="448C0338"/>
    <w:rsid w:val="44FB4B89"/>
    <w:rsid w:val="45894D4F"/>
    <w:rsid w:val="468427EE"/>
    <w:rsid w:val="46933C70"/>
    <w:rsid w:val="489C3194"/>
    <w:rsid w:val="49460A61"/>
    <w:rsid w:val="49515815"/>
    <w:rsid w:val="49E17FD1"/>
    <w:rsid w:val="4B3043BA"/>
    <w:rsid w:val="4B7939F8"/>
    <w:rsid w:val="4BC93EC7"/>
    <w:rsid w:val="4CB01DED"/>
    <w:rsid w:val="4CFF5038"/>
    <w:rsid w:val="4E855AEB"/>
    <w:rsid w:val="4FEC23FD"/>
    <w:rsid w:val="502D711A"/>
    <w:rsid w:val="5153495F"/>
    <w:rsid w:val="527E0828"/>
    <w:rsid w:val="53F97BD7"/>
    <w:rsid w:val="542478D9"/>
    <w:rsid w:val="542B05FA"/>
    <w:rsid w:val="546504CA"/>
    <w:rsid w:val="54837483"/>
    <w:rsid w:val="55033A9B"/>
    <w:rsid w:val="55B41744"/>
    <w:rsid w:val="55BF6A67"/>
    <w:rsid w:val="56C51109"/>
    <w:rsid w:val="56F24C1A"/>
    <w:rsid w:val="57004BBB"/>
    <w:rsid w:val="57AA5C83"/>
    <w:rsid w:val="57EA58F1"/>
    <w:rsid w:val="59D0337E"/>
    <w:rsid w:val="5AC25AE5"/>
    <w:rsid w:val="5AED7BD2"/>
    <w:rsid w:val="5C164A06"/>
    <w:rsid w:val="5D1042C7"/>
    <w:rsid w:val="5DDE4B10"/>
    <w:rsid w:val="5E5A37D0"/>
    <w:rsid w:val="5ED77863"/>
    <w:rsid w:val="5F28567D"/>
    <w:rsid w:val="61744F00"/>
    <w:rsid w:val="6247406C"/>
    <w:rsid w:val="624C7D81"/>
    <w:rsid w:val="62830E1C"/>
    <w:rsid w:val="62925EB2"/>
    <w:rsid w:val="62F51D1A"/>
    <w:rsid w:val="630930CF"/>
    <w:rsid w:val="636C4A72"/>
    <w:rsid w:val="648107EF"/>
    <w:rsid w:val="652F7039"/>
    <w:rsid w:val="653B3C30"/>
    <w:rsid w:val="656D441E"/>
    <w:rsid w:val="66377330"/>
    <w:rsid w:val="67BB4DE6"/>
    <w:rsid w:val="67DD75D1"/>
    <w:rsid w:val="69967687"/>
    <w:rsid w:val="6A86769D"/>
    <w:rsid w:val="6AD21497"/>
    <w:rsid w:val="6BEF6A68"/>
    <w:rsid w:val="6C237218"/>
    <w:rsid w:val="6CCF4A03"/>
    <w:rsid w:val="6D0725C7"/>
    <w:rsid w:val="6E162B44"/>
    <w:rsid w:val="6FB1521A"/>
    <w:rsid w:val="701C692F"/>
    <w:rsid w:val="71A32941"/>
    <w:rsid w:val="72232150"/>
    <w:rsid w:val="72972173"/>
    <w:rsid w:val="73171838"/>
    <w:rsid w:val="73C864C0"/>
    <w:rsid w:val="74416441"/>
    <w:rsid w:val="74EC58A9"/>
    <w:rsid w:val="75D06459"/>
    <w:rsid w:val="774F5A29"/>
    <w:rsid w:val="777D1E86"/>
    <w:rsid w:val="79DD6C0C"/>
    <w:rsid w:val="7A266805"/>
    <w:rsid w:val="7A85352B"/>
    <w:rsid w:val="7B5241F0"/>
    <w:rsid w:val="7F43235C"/>
    <w:rsid w:val="8133CD2A"/>
    <w:rsid w:val="93BD084F"/>
    <w:rsid w:val="BBDEFE71"/>
    <w:rsid w:val="F6BB03AB"/>
    <w:rsid w:val="F7FF6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9"/>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rPr>
      <w:sz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40"/>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ind w:left="0"/>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ind w:left="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ind w:left="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未处理的提及1"/>
    <w:basedOn w:val="31"/>
    <w:semiHidden/>
    <w:unhideWhenUsed/>
    <w:qFormat/>
    <w:uiPriority w:val="99"/>
    <w:rPr>
      <w:color w:val="605E5C"/>
      <w:shd w:val="clear" w:color="auto" w:fill="E1DFDD"/>
    </w:rPr>
  </w:style>
  <w:style w:type="paragraph" w:customStyle="1" w:styleId="235">
    <w:name w:val="正文1"/>
    <w:qFormat/>
    <w:uiPriority w:val="0"/>
    <w:pPr>
      <w:jc w:val="both"/>
    </w:pPr>
    <w:rPr>
      <w:rFonts w:ascii="楷体" w:hAnsi="楷体" w:eastAsia="宋体" w:cs="宋体"/>
      <w:kern w:val="2"/>
      <w:sz w:val="21"/>
      <w:szCs w:val="21"/>
      <w:lang w:val="en-US" w:eastAsia="zh-CN" w:bidi="ar-SA"/>
    </w:rPr>
  </w:style>
  <w:style w:type="paragraph" w:customStyle="1" w:styleId="236">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7">
    <w:name w:val="修订2"/>
    <w:hidden/>
    <w:unhideWhenUsed/>
    <w:qFormat/>
    <w:uiPriority w:val="99"/>
    <w:rPr>
      <w:rFonts w:ascii="Calibri" w:hAnsi="Calibri" w:eastAsia="宋体" w:cs="Times New Roman"/>
      <w:kern w:val="2"/>
      <w:sz w:val="21"/>
      <w:szCs w:val="21"/>
      <w:lang w:val="en-US" w:eastAsia="zh-CN" w:bidi="ar-SA"/>
    </w:rPr>
  </w:style>
  <w:style w:type="paragraph" w:customStyle="1" w:styleId="238">
    <w:name w:val="正文2"/>
    <w:qFormat/>
    <w:uiPriority w:val="0"/>
    <w:pPr>
      <w:jc w:val="both"/>
    </w:pPr>
    <w:rPr>
      <w:rFonts w:ascii="Arial" w:hAnsi="Arial" w:eastAsia="宋体" w:cs="Arial"/>
      <w:kern w:val="2"/>
      <w:sz w:val="21"/>
      <w:szCs w:val="21"/>
      <w:lang w:val="en-US" w:eastAsia="zh-CN" w:bidi="ar-SA"/>
    </w:rPr>
  </w:style>
  <w:style w:type="character" w:customStyle="1" w:styleId="239">
    <w:name w:val="批注文字 字符"/>
    <w:basedOn w:val="31"/>
    <w:link w:val="13"/>
    <w:semiHidden/>
    <w:qFormat/>
    <w:uiPriority w:val="99"/>
    <w:rPr>
      <w:rFonts w:ascii="Calibri" w:hAnsi="Calibri"/>
      <w:kern w:val="2"/>
      <w:sz w:val="21"/>
      <w:szCs w:val="21"/>
    </w:rPr>
  </w:style>
  <w:style w:type="character" w:customStyle="1" w:styleId="240">
    <w:name w:val="批注主题 字符"/>
    <w:basedOn w:val="239"/>
    <w:link w:val="28"/>
    <w:semiHidden/>
    <w:qFormat/>
    <w:uiPriority w:val="99"/>
    <w:rPr>
      <w:rFonts w:ascii="Calibri" w:hAnsi="Calibri"/>
      <w:b/>
      <w:bCs/>
      <w:kern w:val="2"/>
      <w:sz w:val="21"/>
      <w:szCs w:val="21"/>
    </w:rPr>
  </w:style>
  <w:style w:type="paragraph" w:styleId="241">
    <w:name w:val="List Paragraph"/>
    <w:basedOn w:val="1"/>
    <w:unhideWhenUsed/>
    <w:qFormat/>
    <w:uiPriority w:val="99"/>
    <w:pPr>
      <w:ind w:firstLine="420" w:firstLineChars="200"/>
    </w:pPr>
  </w:style>
  <w:style w:type="paragraph" w:customStyle="1" w:styleId="242">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7FE98F422543AC83317399553870EA"/>
        <w:style w:val=""/>
        <w:category>
          <w:name w:val="常规"/>
          <w:gallery w:val="placeholder"/>
        </w:category>
        <w:types>
          <w:type w:val="bbPlcHdr"/>
        </w:types>
        <w:behaviors>
          <w:behavior w:val="content"/>
        </w:behaviors>
        <w:description w:val=""/>
        <w:guid w:val="{6A50C42F-2B85-43AC-9B86-3F2AE1513A9F}"/>
      </w:docPartPr>
      <w:docPartBody>
        <w:p w14:paraId="54DB51E7">
          <w:pPr>
            <w:pStyle w:val="5"/>
            <w:rPr>
              <w:rFonts w:hint="eastAsia"/>
            </w:rPr>
          </w:pPr>
          <w:r>
            <w:rPr>
              <w:rStyle w:val="4"/>
              <w:rFonts w:hint="eastAsia"/>
            </w:rPr>
            <w:t>单击或点击此处输入文字。</w:t>
          </w:r>
        </w:p>
      </w:docPartBody>
    </w:docPart>
    <w:docPart>
      <w:docPartPr>
        <w:name w:val="9B683409A0434ACAB3C76C0C6348183D"/>
        <w:style w:val=""/>
        <w:category>
          <w:name w:val="常规"/>
          <w:gallery w:val="placeholder"/>
        </w:category>
        <w:types>
          <w:type w:val="bbPlcHdr"/>
        </w:types>
        <w:behaviors>
          <w:behavior w:val="content"/>
        </w:behaviors>
        <w:description w:val=""/>
        <w:guid w:val="{5786DE69-0A51-4671-927C-243115B46A57}"/>
      </w:docPartPr>
      <w:docPartBody>
        <w:p w14:paraId="40F45E9C">
          <w:pPr>
            <w:pStyle w:val="6"/>
            <w:rPr>
              <w:rFonts w:hint="eastAsia"/>
            </w:rPr>
          </w:pPr>
          <w:r>
            <w:rPr>
              <w:rStyle w:val="4"/>
              <w:rFonts w:hint="eastAsia"/>
            </w:rPr>
            <w:t>选择一项。</w:t>
          </w:r>
        </w:p>
      </w:docPartBody>
    </w:docPart>
    <w:docPart>
      <w:docPartPr>
        <w:name w:val="A4108495BBC34E49BC8B675B8C4B129F"/>
        <w:style w:val=""/>
        <w:category>
          <w:name w:val="常规"/>
          <w:gallery w:val="placeholder"/>
        </w:category>
        <w:types>
          <w:type w:val="bbPlcHdr"/>
        </w:types>
        <w:behaviors>
          <w:behavior w:val="content"/>
        </w:behaviors>
        <w:description w:val=""/>
        <w:guid w:val="{5A1F3D02-1EC4-4FCC-9EC1-84E50B3D1777}"/>
      </w:docPartPr>
      <w:docPartBody>
        <w:p w14:paraId="782CBAD2">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30"/>
    <w:rsid w:val="000267EC"/>
    <w:rsid w:val="00031930"/>
    <w:rsid w:val="000361B8"/>
    <w:rsid w:val="00042F5C"/>
    <w:rsid w:val="00045B85"/>
    <w:rsid w:val="000E56EB"/>
    <w:rsid w:val="00100536"/>
    <w:rsid w:val="00166110"/>
    <w:rsid w:val="001813B3"/>
    <w:rsid w:val="001E65E0"/>
    <w:rsid w:val="00245293"/>
    <w:rsid w:val="002C7FD6"/>
    <w:rsid w:val="00303066"/>
    <w:rsid w:val="003308CF"/>
    <w:rsid w:val="00330CA8"/>
    <w:rsid w:val="0034576D"/>
    <w:rsid w:val="0039509B"/>
    <w:rsid w:val="003E4B39"/>
    <w:rsid w:val="00440530"/>
    <w:rsid w:val="004766EB"/>
    <w:rsid w:val="00481807"/>
    <w:rsid w:val="00491552"/>
    <w:rsid w:val="004C3722"/>
    <w:rsid w:val="00562B2F"/>
    <w:rsid w:val="0058611A"/>
    <w:rsid w:val="005B2D81"/>
    <w:rsid w:val="005D32C1"/>
    <w:rsid w:val="0063333B"/>
    <w:rsid w:val="006436DF"/>
    <w:rsid w:val="006456AE"/>
    <w:rsid w:val="0077361F"/>
    <w:rsid w:val="007872BB"/>
    <w:rsid w:val="007D0946"/>
    <w:rsid w:val="007E3DB3"/>
    <w:rsid w:val="0081229F"/>
    <w:rsid w:val="00837490"/>
    <w:rsid w:val="008C1E75"/>
    <w:rsid w:val="009213D6"/>
    <w:rsid w:val="009508C0"/>
    <w:rsid w:val="009E5CC2"/>
    <w:rsid w:val="009F5486"/>
    <w:rsid w:val="009F5F01"/>
    <w:rsid w:val="009F69FA"/>
    <w:rsid w:val="00A238E9"/>
    <w:rsid w:val="00A32736"/>
    <w:rsid w:val="00A36890"/>
    <w:rsid w:val="00B13731"/>
    <w:rsid w:val="00B2296B"/>
    <w:rsid w:val="00B96E3B"/>
    <w:rsid w:val="00BD3759"/>
    <w:rsid w:val="00BE520E"/>
    <w:rsid w:val="00BF2007"/>
    <w:rsid w:val="00C030A7"/>
    <w:rsid w:val="00C104A7"/>
    <w:rsid w:val="00C96AB8"/>
    <w:rsid w:val="00CA2B91"/>
    <w:rsid w:val="00D40C93"/>
    <w:rsid w:val="00DA533C"/>
    <w:rsid w:val="00DF1CAD"/>
    <w:rsid w:val="00E12ACB"/>
    <w:rsid w:val="00E50229"/>
    <w:rsid w:val="00E96E21"/>
    <w:rsid w:val="00EA7929"/>
    <w:rsid w:val="00EB712A"/>
    <w:rsid w:val="00F17B21"/>
    <w:rsid w:val="00F73980"/>
    <w:rsid w:val="00F80323"/>
    <w:rsid w:val="00FA6582"/>
    <w:rsid w:val="00FD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747FE98F422543AC83317399553870E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B683409A0434ACAB3C76C0C6348183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A4108495BBC34E49BC8B675B8C4B129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14</Pages>
  <Words>8725</Words>
  <Characters>9096</Characters>
  <Lines>78</Lines>
  <Paragraphs>22</Paragraphs>
  <TotalTime>3</TotalTime>
  <ScaleCrop>false</ScaleCrop>
  <LinksUpToDate>false</LinksUpToDate>
  <CharactersWithSpaces>9205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2025-10-23T15:09:00Z</dcterms:created>
  <dc:creator>凤娇</dc:creator>
  <cp:lastModifiedBy>凤娇</cp:lastModifiedBy>
  <cp:lastPrinted>2020-08-30T18:00:00Z</cp:lastPrinted>
  <dcterms:modified xsi:type="dcterms:W3CDTF">2025-10-24T06:15:27Z</dcterms:modified>
  <dc:title>地方标准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1282CCE317E14641820FD86DA920258A_13</vt:lpwstr>
  </property>
  <property fmtid="{D5CDD505-2E9C-101B-9397-08002B2CF9AE}" pid="16" name="KSOTemplateDocerSaveRecord">
    <vt:lpwstr>eyJoZGlkIjoiNWI1ZGIyMDEzNTU3NjdlNDRiNjgxYzdmZGIxZDliNGQiLCJ1c2VySWQiOiIyNDQzNTgzNCJ9</vt:lpwstr>
  </property>
</Properties>
</file>