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1352F">
      <w:pPr>
        <w:keepNext w:val="0"/>
        <w:keepLines w:val="0"/>
        <w:pageBreakBefore w:val="0"/>
        <w:kinsoku/>
        <w:wordWrap/>
        <w:overflowPunct/>
        <w:topLinePunct w:val="0"/>
        <w:autoSpaceDN/>
        <w:bidi w:val="0"/>
        <w:spacing w:line="560" w:lineRule="exact"/>
        <w:textAlignment w:val="auto"/>
        <w:rPr>
          <w:rFonts w:hint="eastAsia" w:ascii="黑体" w:hAnsi="黑体" w:eastAsia="黑体" w:cs="黑体"/>
          <w:highlight w:val="none"/>
          <w:lang w:val="en-US" w:eastAsia="zh-CN"/>
        </w:rPr>
      </w:pPr>
    </w:p>
    <w:p w14:paraId="1C4521F8">
      <w:pPr>
        <w:spacing w:line="360" w:lineRule="auto"/>
        <w:jc w:val="center"/>
        <w:rPr>
          <w:b/>
          <w:bCs/>
          <w:color w:val="000000" w:themeColor="text1"/>
          <w:sz w:val="32"/>
          <w:szCs w:val="32"/>
          <w:highlight w:val="none"/>
          <w14:textFill>
            <w14:solidFill>
              <w14:schemeClr w14:val="tx1"/>
            </w14:solidFill>
          </w14:textFill>
        </w:rPr>
      </w:pPr>
    </w:p>
    <w:p w14:paraId="6D346C47">
      <w:pPr>
        <w:spacing w:line="360" w:lineRule="auto"/>
        <w:jc w:val="center"/>
        <w:rPr>
          <w:rFonts w:hint="eastAsia" w:ascii="方正公文小标宋" w:hAnsi="方正公文小标宋" w:eastAsia="方正公文小标宋" w:cs="方正公文小标宋"/>
          <w:b w:val="0"/>
          <w:bCs w:val="0"/>
          <w:color w:val="000000" w:themeColor="text1"/>
          <w:sz w:val="32"/>
          <w:szCs w:val="32"/>
          <w:highlight w:val="none"/>
          <w14:textFill>
            <w14:solidFill>
              <w14:schemeClr w14:val="tx1"/>
            </w14:solidFill>
          </w14:textFill>
        </w:rPr>
      </w:pPr>
    </w:p>
    <w:p w14:paraId="7B912090">
      <w:pPr>
        <w:spacing w:line="360" w:lineRule="auto"/>
        <w:jc w:val="center"/>
        <w:rPr>
          <w:rFonts w:hint="eastAsia" w:ascii="方正公文小标宋" w:hAnsi="方正公文小标宋" w:eastAsia="方正公文小标宋" w:cs="方正公文小标宋"/>
          <w:b w:val="0"/>
          <w:bCs w:val="0"/>
          <w:color w:val="000000" w:themeColor="text1"/>
          <w:sz w:val="44"/>
          <w:szCs w:val="44"/>
          <w:highlight w:val="none"/>
          <w14:textFill>
            <w14:solidFill>
              <w14:schemeClr w14:val="tx1"/>
            </w14:solidFill>
          </w14:textFill>
        </w:rPr>
      </w:pPr>
      <w:r>
        <w:rPr>
          <w:rFonts w:hint="eastAsia" w:ascii="方正公文小标宋" w:hAnsi="方正公文小标宋" w:eastAsia="方正公文小标宋" w:cs="方正公文小标宋"/>
          <w:b w:val="0"/>
          <w:bCs w:val="0"/>
          <w:color w:val="000000" w:themeColor="text1"/>
          <w:sz w:val="44"/>
          <w:szCs w:val="44"/>
          <w:highlight w:val="none"/>
          <w14:textFill>
            <w14:solidFill>
              <w14:schemeClr w14:val="tx1"/>
            </w14:solidFill>
          </w14:textFill>
        </w:rPr>
        <w:t>询价比选文件</w:t>
      </w:r>
    </w:p>
    <w:p w14:paraId="234099E1">
      <w:pPr>
        <w:spacing w:line="360" w:lineRule="auto"/>
        <w:jc w:val="center"/>
        <w:rPr>
          <w:b/>
          <w:bCs/>
          <w:color w:val="000000" w:themeColor="text1"/>
          <w:sz w:val="90"/>
          <w:szCs w:val="96"/>
          <w:highlight w:val="none"/>
          <w14:textFill>
            <w14:solidFill>
              <w14:schemeClr w14:val="tx1"/>
            </w14:solidFill>
          </w14:textFill>
        </w:rPr>
      </w:pPr>
    </w:p>
    <w:p w14:paraId="74C9C382">
      <w:pPr>
        <w:spacing w:line="360" w:lineRule="auto"/>
        <w:jc w:val="center"/>
        <w:rPr>
          <w:b/>
          <w:bCs/>
          <w:color w:val="000000" w:themeColor="text1"/>
          <w:sz w:val="90"/>
          <w:szCs w:val="96"/>
          <w:highlight w:val="none"/>
          <w14:textFill>
            <w14:solidFill>
              <w14:schemeClr w14:val="tx1"/>
            </w14:solidFill>
          </w14:textFill>
        </w:rPr>
      </w:pPr>
    </w:p>
    <w:p w14:paraId="2EC467DC">
      <w:pPr>
        <w:spacing w:line="360" w:lineRule="auto"/>
        <w:jc w:val="center"/>
        <w:rPr>
          <w:b/>
          <w:bCs/>
          <w:color w:val="000000" w:themeColor="text1"/>
          <w:sz w:val="90"/>
          <w:szCs w:val="96"/>
          <w:highlight w:val="none"/>
          <w14:textFill>
            <w14:solidFill>
              <w14:schemeClr w14:val="tx1"/>
            </w14:solidFill>
          </w14:textFill>
        </w:rPr>
      </w:pPr>
    </w:p>
    <w:p w14:paraId="745F79AB">
      <w:pPr>
        <w:tabs>
          <w:tab w:val="left" w:pos="3240"/>
          <w:tab w:val="left" w:pos="3420"/>
        </w:tabs>
        <w:spacing w:line="480" w:lineRule="auto"/>
        <w:ind w:left="2230" w:leftChars="300" w:hanging="1600" w:hangingChars="500"/>
        <w:rPr>
          <w:rFonts w:hint="eastAsia" w:ascii="楷体_GB2312" w:hAnsi="楷体_GB2312" w:eastAsia="楷体_GB2312" w:cs="楷体_GB2312"/>
          <w:color w:val="000000" w:themeColor="text1"/>
          <w:sz w:val="32"/>
          <w:szCs w:val="32"/>
          <w:highlight w:val="none"/>
          <w14:textFill>
            <w14:solidFill>
              <w14:schemeClr w14:val="tx1"/>
            </w14:solidFill>
          </w14:textFill>
        </w:rPr>
      </w:pPr>
    </w:p>
    <w:p w14:paraId="303C5F49">
      <w:pPr>
        <w:tabs>
          <w:tab w:val="left" w:pos="3240"/>
          <w:tab w:val="left" w:pos="3420"/>
        </w:tabs>
        <w:spacing w:line="480" w:lineRule="auto"/>
        <w:ind w:left="2020" w:leftChars="200" w:hanging="1600" w:hangingChars="500"/>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项目名称：预警发布信息化模块租用保障项目（12379短信平台租用保障服务）</w:t>
      </w:r>
    </w:p>
    <w:p w14:paraId="344B617F">
      <w:pPr>
        <w:tabs>
          <w:tab w:val="left" w:pos="3240"/>
          <w:tab w:val="left" w:pos="3420"/>
        </w:tabs>
        <w:spacing w:line="480" w:lineRule="auto"/>
        <w:ind w:firstLine="640" w:firstLineChars="200"/>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采 购 人：北京市</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应急管理事务中心</w:t>
      </w:r>
    </w:p>
    <w:p w14:paraId="293912F7">
      <w:pPr>
        <w:tabs>
          <w:tab w:val="left" w:pos="3240"/>
          <w:tab w:val="left" w:pos="3420"/>
        </w:tabs>
        <w:spacing w:line="360" w:lineRule="auto"/>
        <w:ind w:firstLine="2160" w:firstLineChars="600"/>
        <w:rPr>
          <w:color w:val="000000" w:themeColor="text1"/>
          <w:sz w:val="36"/>
          <w:highlight w:val="none"/>
          <w14:textFill>
            <w14:solidFill>
              <w14:schemeClr w14:val="tx1"/>
            </w14:solidFill>
          </w14:textFill>
        </w:rPr>
      </w:pPr>
    </w:p>
    <w:p w14:paraId="2BAE43BB">
      <w:pPr>
        <w:spacing w:line="360" w:lineRule="auto"/>
        <w:jc w:val="center"/>
        <w:rPr>
          <w:b/>
          <w:color w:val="000000" w:themeColor="text1"/>
          <w:sz w:val="72"/>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7" w:h="16840"/>
          <w:pgMar w:top="1418" w:right="1134" w:bottom="1418" w:left="1701" w:header="851" w:footer="851" w:gutter="0"/>
          <w:pgNumType w:fmt="decimal" w:start="1"/>
          <w:cols w:space="720" w:num="1"/>
          <w:titlePg/>
          <w:docGrid w:linePitch="462" w:charSpace="0"/>
        </w:sectPr>
      </w:pPr>
    </w:p>
    <w:p w14:paraId="27DB2A68">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第一章   公开询价公告</w:t>
      </w:r>
    </w:p>
    <w:p w14:paraId="200EE2BD">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b w:val="0"/>
          <w:bCs/>
          <w:color w:val="000000" w:themeColor="text1"/>
          <w:sz w:val="32"/>
          <w:szCs w:val="32"/>
          <w:highlight w:val="none"/>
          <w14:textFill>
            <w14:solidFill>
              <w14:schemeClr w14:val="tx1"/>
            </w14:solidFill>
          </w14:textFill>
        </w:rPr>
      </w:pPr>
    </w:p>
    <w:p w14:paraId="7EE83F2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color w:val="000000" w:themeColor="text1"/>
          <w:sz w:val="32"/>
          <w:szCs w:val="32"/>
          <w:highlight w:val="none"/>
          <w14:textFill>
            <w14:solidFill>
              <w14:schemeClr w14:val="tx1"/>
            </w14:solidFill>
          </w14:textFill>
        </w:rPr>
      </w:pPr>
      <w:r>
        <w:rPr>
          <w:rFonts w:ascii="仿宋_GB2312" w:eastAsia="仿宋_GB2312" w:cs="仿宋_GB2312"/>
          <w:color w:val="000000" w:themeColor="text1"/>
          <w:sz w:val="32"/>
          <w:szCs w:val="32"/>
          <w:highlight w:val="none"/>
          <w14:textFill>
            <w14:solidFill>
              <w14:schemeClr w14:val="tx1"/>
            </w14:solidFill>
          </w14:textFill>
        </w:rPr>
        <w:t>致 潜在</w:t>
      </w:r>
      <w:r>
        <w:rPr>
          <w:rFonts w:hint="eastAsia" w:ascii="仿宋_GB2312" w:eastAsia="仿宋_GB2312" w:cs="仿宋_GB2312"/>
          <w:color w:val="000000" w:themeColor="text1"/>
          <w:sz w:val="32"/>
          <w:szCs w:val="32"/>
          <w:highlight w:val="none"/>
          <w14:textFill>
            <w14:solidFill>
              <w14:schemeClr w14:val="tx1"/>
            </w14:solidFill>
          </w14:textFill>
        </w:rPr>
        <w:t>供应商：</w:t>
      </w:r>
    </w:p>
    <w:p w14:paraId="47FDD45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北京市应急管理事务中心现进行预警发布信息化模块租用保障项目（12379短信平台租用保障服务）采购，相关事项如下：</w:t>
      </w:r>
    </w:p>
    <w:p w14:paraId="4A03368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color w:val="000000" w:themeColor="text1"/>
          <w:sz w:val="32"/>
          <w:szCs w:val="32"/>
          <w:highlight w:val="none"/>
          <w14:textFill>
            <w14:solidFill>
              <w14:schemeClr w14:val="tx1"/>
            </w14:solidFill>
          </w14:textFill>
        </w:rPr>
      </w:pPr>
      <w:r>
        <w:rPr>
          <w:rFonts w:ascii="黑体" w:hAnsi="宋体" w:eastAsia="黑体" w:cs="黑体"/>
          <w:color w:val="000000" w:themeColor="text1"/>
          <w:sz w:val="32"/>
          <w:szCs w:val="32"/>
          <w:highlight w:val="none"/>
          <w14:textFill>
            <w14:solidFill>
              <w14:schemeClr w14:val="tx1"/>
            </w14:solidFill>
          </w14:textFill>
        </w:rPr>
        <w:t>一、项目基本情况</w:t>
      </w:r>
    </w:p>
    <w:p w14:paraId="59ED458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1.预算批复项目名称：预警发布信息化模块租用保障项目（12379短信平台租用保障服务）。</w:t>
      </w:r>
    </w:p>
    <w:p w14:paraId="21D887A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2.预算批复金额：</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叁拾肆万捌仟元整</w:t>
      </w:r>
      <w:r>
        <w:rPr>
          <w:rFonts w:hint="eastAsia" w:ascii="仿宋_GB2312" w:eastAsia="仿宋_GB2312" w:cs="仿宋_GB2312"/>
          <w:color w:val="000000" w:themeColor="text1"/>
          <w:sz w:val="32"/>
          <w:szCs w:val="32"/>
          <w:highlight w:val="none"/>
          <w14:textFill>
            <w14:solidFill>
              <w14:schemeClr w14:val="tx1"/>
            </w14:solidFill>
          </w14:textFill>
        </w:rPr>
        <w:t>（小写：</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34.8</w:t>
      </w:r>
      <w:r>
        <w:rPr>
          <w:rFonts w:hint="eastAsia" w:ascii="仿宋_GB2312" w:eastAsia="仿宋_GB2312" w:cs="仿宋_GB2312"/>
          <w:color w:val="000000" w:themeColor="text1"/>
          <w:sz w:val="32"/>
          <w:szCs w:val="32"/>
          <w:highlight w:val="none"/>
          <w14:textFill>
            <w14:solidFill>
              <w14:schemeClr w14:val="tx1"/>
            </w14:solidFill>
          </w14:textFill>
        </w:rPr>
        <w:t>万元）。</w:t>
      </w:r>
    </w:p>
    <w:p w14:paraId="1A285DB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3.采购需求：</w:t>
      </w:r>
      <w:r>
        <w:rPr>
          <w:rFonts w:hint="eastAsia" w:ascii="仿宋_GB2312" w:eastAsia="仿宋_GB2312" w:cs="仿宋_GB2312"/>
          <w:color w:val="000000" w:themeColor="text1"/>
          <w:spacing w:val="0"/>
          <w:sz w:val="32"/>
          <w:szCs w:val="32"/>
          <w:highlight w:val="none"/>
          <w:lang w:val="en-US" w:eastAsia="zh-CN"/>
          <w14:textFill>
            <w14:solidFill>
              <w14:schemeClr w14:val="tx1"/>
            </w14:solidFill>
          </w14:textFill>
        </w:rPr>
        <w:t>向甲方提供包括但不仅限于</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稳定运行的12379短信平台，并通过技术支撑、维护更新</w:t>
      </w:r>
      <w:r>
        <w:rPr>
          <w:rFonts w:hint="eastAsia" w:ascii="仿宋_GB2312" w:eastAsia="仿宋_GB2312" w:cs="仿宋_GB2312"/>
          <w:color w:val="000000" w:themeColor="text1"/>
          <w:sz w:val="32"/>
          <w:szCs w:val="32"/>
          <w:highlight w:val="none"/>
          <w14:textFill>
            <w14:solidFill>
              <w14:schemeClr w14:val="tx1"/>
            </w14:solidFill>
          </w14:textFill>
        </w:rPr>
        <w:t>，保持平台的正常运行，并在有紧急事件发生时提供专业并有效的技术支持。</w:t>
      </w:r>
    </w:p>
    <w:p w14:paraId="0CF6C7E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4.合同履行期限：</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12</w:t>
      </w:r>
      <w:r>
        <w:rPr>
          <w:rFonts w:hint="eastAsia" w:ascii="仿宋_GB2312" w:eastAsia="仿宋_GB2312" w:cs="仿宋_GB2312"/>
          <w:color w:val="000000" w:themeColor="text1"/>
          <w:sz w:val="32"/>
          <w:szCs w:val="32"/>
          <w:highlight w:val="none"/>
          <w14:textFill>
            <w14:solidFill>
              <w14:schemeClr w14:val="tx1"/>
            </w14:solidFill>
          </w14:textFill>
        </w:rPr>
        <w:t>个月。</w:t>
      </w:r>
    </w:p>
    <w:p w14:paraId="121D19E0">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5"/>
        <w:textAlignment w:val="auto"/>
        <w:rPr>
          <w:rFonts w:hint="eastAsia" w:asci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5.本项目不接受联合体投标。</w:t>
      </w:r>
    </w:p>
    <w:p w14:paraId="6E2B344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color w:val="000000" w:themeColor="text1"/>
          <w:sz w:val="32"/>
          <w:szCs w:val="32"/>
          <w:highlight w:val="none"/>
          <w14:textFill>
            <w14:solidFill>
              <w14:schemeClr w14:val="tx1"/>
            </w14:solidFill>
          </w14:textFill>
        </w:rPr>
      </w:pPr>
      <w:r>
        <w:rPr>
          <w:rFonts w:hint="eastAsia" w:ascii="黑体" w:hAnsi="宋体" w:eastAsia="黑体" w:cs="黑体"/>
          <w:color w:val="000000" w:themeColor="text1"/>
          <w:sz w:val="32"/>
          <w:szCs w:val="32"/>
          <w:highlight w:val="none"/>
          <w14:textFill>
            <w14:solidFill>
              <w14:schemeClr w14:val="tx1"/>
            </w14:solidFill>
          </w14:textFill>
        </w:rPr>
        <w:t>二、供应商资格要求</w:t>
      </w:r>
    </w:p>
    <w:p w14:paraId="3E2BDA7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1.供应商参加政府采购活动应当具备下列条件：</w:t>
      </w:r>
    </w:p>
    <w:p w14:paraId="400409C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（1）具有独立承担民事责任的能力；</w:t>
      </w:r>
    </w:p>
    <w:p w14:paraId="6B7D405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（2）具有良好的商业信誉和健全的财务会计制度；</w:t>
      </w:r>
    </w:p>
    <w:p w14:paraId="51F6EF9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（3）具有履行合同所必需的设备和专业技术能力；</w:t>
      </w:r>
    </w:p>
    <w:p w14:paraId="13B6AFA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（4）有依法缴纳税收和社会保障资金的良好记录；</w:t>
      </w:r>
    </w:p>
    <w:p w14:paraId="38CEC37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（5）参加政府采购活动前三年内，在经营活动中没有重大违法记录；</w:t>
      </w:r>
    </w:p>
    <w:p w14:paraId="19F32E8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（6）供应商未被列入“信用中国”（www.creditchina.gov.</w:t>
      </w:r>
      <w:r>
        <w:rPr>
          <w:rFonts w:hint="eastAsia" w:ascii="仿宋_GB2312" w:cs="仿宋_GB2312"/>
          <w:color w:val="000000" w:themeColor="text1"/>
          <w:sz w:val="32"/>
          <w:szCs w:val="32"/>
          <w:highlight w:val="none"/>
          <w:lang w:eastAsia="zh-CN"/>
          <w14:textFill>
            <w14:solidFill>
              <w14:schemeClr w14:val="tx1"/>
            </w14:solidFill>
          </w14:textFill>
        </w:rPr>
        <w:t>cn</w:t>
      </w:r>
      <w:r>
        <w:rPr>
          <w:rFonts w:hint="eastAsia" w:ascii="仿宋_GB2312" w:eastAsia="仿宋_GB2312" w:cs="仿宋_GB2312"/>
          <w:color w:val="000000" w:themeColor="text1"/>
          <w:sz w:val="32"/>
          <w:szCs w:val="32"/>
          <w:highlight w:val="none"/>
          <w14:textFill>
            <w14:solidFill>
              <w14:schemeClr w14:val="tx1"/>
            </w14:solidFill>
          </w14:textFill>
        </w:rPr>
        <w:t>）公示的失信被执行人名单、重大税收违法失信主体名单、政府采购严重违法失信行为记录名单、统计严重失信企业名单，以及“中国政府采购网”（www.ccgp.gov.</w:t>
      </w:r>
      <w:r>
        <w:rPr>
          <w:rFonts w:hint="eastAsia" w:ascii="仿宋_GB2312" w:cs="仿宋_GB2312"/>
          <w:color w:val="000000" w:themeColor="text1"/>
          <w:sz w:val="32"/>
          <w:szCs w:val="32"/>
          <w:highlight w:val="none"/>
          <w:lang w:eastAsia="zh-CN"/>
          <w14:textFill>
            <w14:solidFill>
              <w14:schemeClr w14:val="tx1"/>
            </w14:solidFill>
          </w14:textFill>
        </w:rPr>
        <w:t>cn</w:t>
      </w:r>
      <w:r>
        <w:rPr>
          <w:rFonts w:hint="eastAsia" w:ascii="仿宋_GB2312" w:eastAsia="仿宋_GB2312" w:cs="仿宋_GB2312"/>
          <w:color w:val="000000" w:themeColor="text1"/>
          <w:sz w:val="32"/>
          <w:szCs w:val="32"/>
          <w:highlight w:val="none"/>
          <w14:textFill>
            <w14:solidFill>
              <w14:schemeClr w14:val="tx1"/>
            </w14:solidFill>
          </w14:textFill>
        </w:rPr>
        <w:t>）公示的政府采购严重违法失信行为记录名单，否则其响应文件按无效处理。</w:t>
      </w:r>
    </w:p>
    <w:p w14:paraId="7694C7B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（7）法律、行政法规规定的其他条件。</w:t>
      </w:r>
    </w:p>
    <w:p w14:paraId="402D85D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2.供应商须在中华人民共和国境内注册，有生产或供应能力的本国供应商。</w:t>
      </w:r>
    </w:p>
    <w:p w14:paraId="1C049B0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（1）根据供应商实际主体身份，提供供应商自身的包括但不限于营业执照或事业单位法人证书等复印件；</w:t>
      </w:r>
    </w:p>
    <w:p w14:paraId="09817EB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（2）根据供应商参与项目实际情况提供下列文件之一即可：</w:t>
      </w:r>
    </w:p>
    <w:p w14:paraId="7531AB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①非法定代表人提交响应文件时,须提供供应商授权委托书（格式自拟）。</w:t>
      </w:r>
    </w:p>
    <w:p w14:paraId="7F54C9B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②法定代表人提交响应文件时，须提供供应商法定代表人声明（格式自拟）。</w:t>
      </w:r>
    </w:p>
    <w:p w14:paraId="42184C7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color w:val="000000" w:themeColor="text1"/>
          <w:sz w:val="32"/>
          <w:szCs w:val="32"/>
          <w:highlight w:val="none"/>
          <w14:textFill>
            <w14:solidFill>
              <w14:schemeClr w14:val="tx1"/>
            </w14:solidFill>
          </w14:textFill>
        </w:rPr>
      </w:pPr>
      <w:r>
        <w:rPr>
          <w:rFonts w:hint="eastAsia" w:ascii="黑体" w:hAnsi="宋体" w:eastAsia="黑体" w:cs="黑体"/>
          <w:color w:val="000000" w:themeColor="text1"/>
          <w:sz w:val="32"/>
          <w:szCs w:val="32"/>
          <w:highlight w:val="none"/>
          <w14:textFill>
            <w14:solidFill>
              <w14:schemeClr w14:val="tx1"/>
            </w14:solidFill>
          </w14:textFill>
        </w:rPr>
        <w:t>三、响应文件提交</w:t>
      </w:r>
    </w:p>
    <w:p w14:paraId="28EE688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1.响应文件包括但不限于：《营业执照》复印件、申请单位机构简介、资格证明材料、项目实施方案、服务报价表，项目实施案例等，所有材料均需加盖单位公章。</w:t>
      </w:r>
    </w:p>
    <w:p w14:paraId="6C5E84C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2.响应文件包括内容一致的纸质版</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2份</w:t>
      </w:r>
      <w:r>
        <w:rPr>
          <w:rFonts w:hint="eastAsia" w:ascii="仿宋_GB2312" w:eastAsia="仿宋_GB2312" w:cs="仿宋_GB2312"/>
          <w:color w:val="000000" w:themeColor="text1"/>
          <w:sz w:val="32"/>
          <w:szCs w:val="32"/>
          <w:highlight w:val="none"/>
          <w14:textFill>
            <w14:solidFill>
              <w14:schemeClr w14:val="tx1"/>
            </w14:solidFill>
          </w14:textFill>
        </w:rPr>
        <w:t>和电子版扫描件</w:t>
      </w:r>
      <w:r>
        <w:rPr>
          <w:rFonts w:hint="eastAsia" w:asci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如提供的纸质版与电子版不一致，以电子版为准</w:t>
      </w:r>
      <w:r>
        <w:rPr>
          <w:rFonts w:hint="eastAsia" w:ascii="仿宋_GB2312" w:eastAsia="仿宋_GB2312" w:cs="仿宋_GB2312"/>
          <w:color w:val="000000" w:themeColor="text1"/>
          <w:sz w:val="32"/>
          <w:szCs w:val="32"/>
          <w:highlight w:val="none"/>
          <w14:textFill>
            <w14:solidFill>
              <w14:schemeClr w14:val="tx1"/>
            </w14:solidFill>
          </w14:textFill>
        </w:rPr>
        <w:t>。</w:t>
      </w:r>
    </w:p>
    <w:p w14:paraId="1D5B174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spacing w:val="0"/>
          <w:sz w:val="32"/>
          <w:szCs w:val="32"/>
          <w:highlight w:val="none"/>
          <w14:textFill>
            <w14:solidFill>
              <w14:schemeClr w14:val="tx1"/>
            </w14:solidFill>
          </w14:textFill>
        </w:rPr>
        <w:t>3.</w:t>
      </w:r>
      <w:r>
        <w:rPr>
          <w:rFonts w:hint="eastAsia" w:ascii="仿宋_GB2312" w:eastAsia="仿宋_GB2312" w:cs="仿宋_GB2312"/>
          <w:spacing w:val="0"/>
          <w:sz w:val="32"/>
          <w:szCs w:val="32"/>
          <w:highlight w:val="none"/>
        </w:rPr>
        <w:t>截止时间</w:t>
      </w:r>
      <w:r>
        <w:rPr>
          <w:rFonts w:hint="eastAsia" w:ascii="仿宋_GB2312" w:eastAsia="仿宋_GB2312" w:cs="仿宋_GB2312"/>
          <w:color w:val="auto"/>
          <w:spacing w:val="0"/>
          <w:sz w:val="32"/>
          <w:szCs w:val="32"/>
          <w:highlight w:val="none"/>
          <w:u w:val="single"/>
        </w:rPr>
        <w:t>202</w:t>
      </w:r>
      <w:r>
        <w:rPr>
          <w:rFonts w:hint="eastAsia" w:ascii="仿宋_GB2312" w:cs="仿宋_GB2312"/>
          <w:color w:val="auto"/>
          <w:spacing w:val="0"/>
          <w:sz w:val="32"/>
          <w:szCs w:val="32"/>
          <w:highlight w:val="none"/>
          <w:u w:val="single"/>
          <w:lang w:val="en-US" w:eastAsia="zh-CN"/>
        </w:rPr>
        <w:t>6</w:t>
      </w:r>
      <w:r>
        <w:rPr>
          <w:rFonts w:hint="eastAsia" w:ascii="仿宋_GB2312" w:eastAsia="仿宋_GB2312" w:cs="仿宋_GB2312"/>
          <w:color w:val="auto"/>
          <w:spacing w:val="0"/>
          <w:sz w:val="32"/>
          <w:szCs w:val="32"/>
          <w:highlight w:val="none"/>
        </w:rPr>
        <w:t>年</w:t>
      </w:r>
      <w:r>
        <w:rPr>
          <w:rFonts w:hint="eastAsia" w:ascii="仿宋_GB2312" w:cs="仿宋_GB2312"/>
          <w:color w:val="auto"/>
          <w:spacing w:val="0"/>
          <w:sz w:val="32"/>
          <w:szCs w:val="32"/>
          <w:highlight w:val="none"/>
          <w:u w:val="single"/>
          <w:lang w:val="en-US" w:eastAsia="zh-CN"/>
        </w:rPr>
        <w:t xml:space="preserve"> 4 </w:t>
      </w:r>
      <w:r>
        <w:rPr>
          <w:rFonts w:hint="eastAsia" w:ascii="仿宋_GB2312" w:eastAsia="仿宋_GB2312" w:cs="仿宋_GB2312"/>
          <w:color w:val="auto"/>
          <w:spacing w:val="0"/>
          <w:sz w:val="32"/>
          <w:szCs w:val="32"/>
          <w:highlight w:val="none"/>
        </w:rPr>
        <w:t>月</w:t>
      </w:r>
      <w:r>
        <w:rPr>
          <w:rFonts w:hint="eastAsia" w:ascii="仿宋_GB2312" w:cs="仿宋_GB2312"/>
          <w:color w:val="auto"/>
          <w:spacing w:val="0"/>
          <w:sz w:val="32"/>
          <w:szCs w:val="32"/>
          <w:highlight w:val="none"/>
          <w:u w:val="single"/>
          <w:lang w:val="en-US" w:eastAsia="zh-CN"/>
        </w:rPr>
        <w:t xml:space="preserve"> 20 </w:t>
      </w:r>
      <w:r>
        <w:rPr>
          <w:rFonts w:hint="eastAsia" w:ascii="仿宋_GB2312" w:eastAsia="仿宋_GB2312" w:cs="仿宋_GB2312"/>
          <w:color w:val="auto"/>
          <w:spacing w:val="0"/>
          <w:sz w:val="32"/>
          <w:szCs w:val="32"/>
          <w:highlight w:val="none"/>
        </w:rPr>
        <w:t>日</w:t>
      </w:r>
      <w:r>
        <w:rPr>
          <w:rFonts w:hint="eastAsia" w:ascii="仿宋_GB2312" w:eastAsia="仿宋_GB2312" w:cs="仿宋_GB2312"/>
          <w:color w:val="auto"/>
          <w:spacing w:val="0"/>
          <w:sz w:val="32"/>
          <w:szCs w:val="32"/>
          <w:highlight w:val="none"/>
          <w:u w:val="single"/>
        </w:rPr>
        <w:t>17</w:t>
      </w:r>
      <w:r>
        <w:rPr>
          <w:rFonts w:hint="eastAsia" w:ascii="仿宋_GB2312" w:eastAsia="仿宋_GB2312" w:cs="仿宋_GB2312"/>
          <w:color w:val="auto"/>
          <w:spacing w:val="0"/>
          <w:sz w:val="32"/>
          <w:szCs w:val="32"/>
          <w:highlight w:val="none"/>
        </w:rPr>
        <w:t>点</w:t>
      </w:r>
      <w:r>
        <w:rPr>
          <w:rFonts w:hint="eastAsia" w:ascii="仿宋_GB2312" w:eastAsia="仿宋_GB2312" w:cs="仿宋_GB2312"/>
          <w:color w:val="auto"/>
          <w:spacing w:val="0"/>
          <w:sz w:val="32"/>
          <w:szCs w:val="32"/>
          <w:highlight w:val="none"/>
          <w:u w:val="single"/>
        </w:rPr>
        <w:t>30</w:t>
      </w:r>
      <w:r>
        <w:rPr>
          <w:rFonts w:hint="eastAsia" w:ascii="仿宋_GB2312" w:eastAsia="仿宋_GB2312" w:cs="仿宋_GB2312"/>
          <w:color w:val="auto"/>
          <w:spacing w:val="0"/>
          <w:sz w:val="32"/>
          <w:szCs w:val="32"/>
          <w:highlight w:val="none"/>
        </w:rPr>
        <w:t>分</w:t>
      </w:r>
      <w:bookmarkStart w:id="75" w:name="_GoBack"/>
      <w:bookmarkEnd w:id="75"/>
      <w:r>
        <w:rPr>
          <w:rFonts w:hint="eastAsia" w:ascii="仿宋_GB2312" w:eastAsia="仿宋_GB2312" w:cs="仿宋_GB2312"/>
          <w:color w:val="000000" w:themeColor="text1"/>
          <w:spacing w:val="0"/>
          <w:sz w:val="32"/>
          <w:szCs w:val="32"/>
          <w:highlight w:val="none"/>
          <w14:textFill>
            <w14:solidFill>
              <w14:schemeClr w14:val="tx1"/>
            </w14:solidFill>
          </w14:textFill>
        </w:rPr>
        <w:t>（北京时间）。</w:t>
      </w:r>
    </w:p>
    <w:p w14:paraId="284CF6E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4.纸质版文件提交地点：北京市通州区运河东大街57号院4号楼。</w:t>
      </w:r>
    </w:p>
    <w:p w14:paraId="6C5935C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5.电子版文件发送邮箱：</w:t>
      </w:r>
      <w:r>
        <w:rPr>
          <w:rFonts w:hint="eastAsia" w:ascii="仿宋_GB2312" w:eastAsia="仿宋_GB2312" w:cs="仿宋_GB2312"/>
          <w:color w:val="000000" w:themeColor="text1"/>
          <w:sz w:val="32"/>
          <w:szCs w:val="32"/>
          <w:highlight w:val="none"/>
          <w:u w:val="none"/>
          <w:lang w:val="en-US" w:eastAsia="zh-CN"/>
          <w14:textFill>
            <w14:solidFill>
              <w14:schemeClr w14:val="tx1"/>
            </w14:solidFill>
          </w14:textFill>
        </w:rPr>
        <w:t>1045805595@qq</w:t>
      </w:r>
      <w:r>
        <w:rPr>
          <w:rFonts w:hint="eastAsia" w:ascii="仿宋_GB2312" w:eastAsia="仿宋_GB2312" w:cs="仿宋_GB2312"/>
          <w:color w:val="000000" w:themeColor="text1"/>
          <w:sz w:val="32"/>
          <w:szCs w:val="32"/>
          <w:highlight w:val="none"/>
          <w:u w:val="none"/>
          <w14:textFill>
            <w14:solidFill>
              <w14:schemeClr w14:val="tx1"/>
            </w14:solidFill>
          </w14:textFill>
        </w:rPr>
        <w:t>.com。</w:t>
      </w:r>
    </w:p>
    <w:p w14:paraId="6FDAA3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w:t>
      </w:r>
      <w:r>
        <w:rPr>
          <w:rFonts w:hint="eastAsia" w:ascii="黑体" w:hAnsi="黑体" w:eastAsia="黑体" w:cs="黑体"/>
          <w:color w:val="000000" w:themeColor="text1"/>
          <w:sz w:val="32"/>
          <w:szCs w:val="32"/>
          <w:highlight w:val="none"/>
          <w14:textFill>
            <w14:solidFill>
              <w14:schemeClr w14:val="tx1"/>
            </w14:solidFill>
          </w14:textFill>
        </w:rPr>
        <w:t>、响应文件编制要求</w:t>
      </w:r>
    </w:p>
    <w:p w14:paraId="1A2092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响应文件字体大小为四号，行距为28磅，页数宜在100页内，响应文件应按要求编制。</w:t>
      </w:r>
    </w:p>
    <w:p w14:paraId="38B72A64">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lang w:val="en-US" w:eastAsia="zh-CN"/>
          <w14:textFill>
            <w14:solidFill>
              <w14:schemeClr w14:val="tx1"/>
            </w14:solidFill>
          </w14:textFill>
        </w:rPr>
        <w:t>五</w:t>
      </w:r>
      <w:r>
        <w:rPr>
          <w:rFonts w:hint="eastAsia" w:ascii="黑体" w:hAnsi="宋体" w:eastAsia="黑体" w:cs="黑体"/>
          <w:color w:val="000000" w:themeColor="text1"/>
          <w:sz w:val="32"/>
          <w:szCs w:val="32"/>
          <w:highlight w:val="none"/>
          <w14:textFill>
            <w14:solidFill>
              <w14:schemeClr w14:val="tx1"/>
            </w14:solidFill>
          </w14:textFill>
        </w:rPr>
        <w:t>、公告期限</w:t>
      </w:r>
    </w:p>
    <w:p w14:paraId="2CEACA7C">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自本公告发布之日起3个工作日。</w:t>
      </w:r>
    </w:p>
    <w:p w14:paraId="33F7085A">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lang w:val="en-US" w:eastAsia="zh-CN"/>
          <w14:textFill>
            <w14:solidFill>
              <w14:schemeClr w14:val="tx1"/>
            </w14:solidFill>
          </w14:textFill>
        </w:rPr>
        <w:t>六</w:t>
      </w:r>
      <w:r>
        <w:rPr>
          <w:rFonts w:hint="eastAsia" w:ascii="黑体" w:hAnsi="宋体" w:eastAsia="黑体" w:cs="黑体"/>
          <w:color w:val="000000" w:themeColor="text1"/>
          <w:sz w:val="32"/>
          <w:szCs w:val="32"/>
          <w:highlight w:val="none"/>
          <w14:textFill>
            <w14:solidFill>
              <w14:schemeClr w14:val="tx1"/>
            </w14:solidFill>
          </w14:textFill>
        </w:rPr>
        <w:t>、联系方式</w:t>
      </w:r>
    </w:p>
    <w:p w14:paraId="2597F693">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color w:val="000000" w:themeColor="text1"/>
          <w:sz w:val="32"/>
          <w:szCs w:val="32"/>
          <w:highlight w:val="none"/>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如对本次采购有疑问，可电询。</w:t>
      </w:r>
    </w:p>
    <w:p w14:paraId="58C35439">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rFonts w:hint="eastAsia"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联系人：</w:t>
      </w:r>
      <w:r>
        <w:rPr>
          <w:rFonts w:hint="eastAsia" w:ascii="仿宋_GB2312" w:eastAsia="仿宋_GB2312" w:cs="仿宋_GB2312"/>
          <w:color w:val="000000" w:themeColor="text1"/>
          <w:sz w:val="32"/>
          <w:szCs w:val="32"/>
          <w:highlight w:val="none"/>
          <w:lang w:val="en-US" w:eastAsia="zh-CN"/>
          <w14:textFill>
            <w14:solidFill>
              <w14:schemeClr w14:val="tx1"/>
            </w14:solidFill>
          </w14:textFill>
        </w:rPr>
        <w:t>丁老师</w:t>
      </w:r>
    </w:p>
    <w:p w14:paraId="29975683">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textAlignment w:val="auto"/>
        <w:rPr>
          <w:rFonts w:hint="default"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s="仿宋_GB2312"/>
          <w:color w:val="000000" w:themeColor="text1"/>
          <w:sz w:val="32"/>
          <w:szCs w:val="32"/>
          <w:highlight w:val="none"/>
          <w14:textFill>
            <w14:solidFill>
              <w14:schemeClr w14:val="tx1"/>
            </w14:solidFill>
          </w14:textFill>
        </w:rPr>
        <w:t>联系电话：</w:t>
      </w:r>
      <w:r>
        <w:rPr>
          <w:rFonts w:hint="eastAsia" w:ascii="仿宋_GB2312" w:cs="仿宋_GB2312"/>
          <w:color w:val="000000" w:themeColor="text1"/>
          <w:sz w:val="32"/>
          <w:szCs w:val="32"/>
          <w:highlight w:val="none"/>
          <w:lang w:val="en-US" w:eastAsia="zh-CN"/>
          <w14:textFill>
            <w14:solidFill>
              <w14:schemeClr w14:val="tx1"/>
            </w14:solidFill>
          </w14:textFill>
        </w:rPr>
        <w:t>18010129700</w:t>
      </w:r>
    </w:p>
    <w:p w14:paraId="7BA6AE06">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2FF701E9">
      <w:pPr>
        <w:spacing w:line="360" w:lineRule="auto"/>
        <w:jc w:val="center"/>
        <w:outlineLvl w:val="0"/>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第二章   采购需求</w:t>
      </w:r>
    </w:p>
    <w:p w14:paraId="7D1AC1C2">
      <w:pPr>
        <w:spacing w:line="360" w:lineRule="auto"/>
        <w:jc w:val="center"/>
        <w:outlineLvl w:val="0"/>
        <w:rPr>
          <w:rFonts w:hint="eastAsia" w:ascii="黑体" w:hAnsi="黑体" w:eastAsia="黑体" w:cs="黑体"/>
          <w:b w:val="0"/>
          <w:bCs/>
          <w:color w:val="000000" w:themeColor="text1"/>
          <w:sz w:val="32"/>
          <w:szCs w:val="32"/>
          <w:highlight w:val="none"/>
          <w14:textFill>
            <w14:solidFill>
              <w14:schemeClr w14:val="tx1"/>
            </w14:solidFill>
          </w14:textFill>
        </w:rPr>
      </w:pPr>
    </w:p>
    <w:p w14:paraId="7593D6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一、立项依据</w:t>
      </w:r>
    </w:p>
    <w:p w14:paraId="51D49D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目前，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北京市应急管理事务中心（</w:t>
      </w:r>
      <w:r>
        <w:rPr>
          <w:rFonts w:hint="eastAsia" w:ascii="仿宋_GB2312" w:hAnsi="仿宋_GB2312" w:eastAsia="仿宋_GB2312" w:cs="仿宋_GB2312"/>
          <w:color w:val="000000" w:themeColor="text1"/>
          <w:sz w:val="32"/>
          <w:szCs w:val="32"/>
          <w:highlight w:val="none"/>
          <w14:textFill>
            <w14:solidFill>
              <w14:schemeClr w14:val="tx1"/>
            </w14:solidFill>
          </w14:textFill>
        </w:rPr>
        <w:t>预警中心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部署了国家预警中心的“国突平台”、自建的“业务应急平台”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及模块化运行的预警信息发布模块、12379短信发布系统、数字传真发布系统</w:t>
      </w:r>
      <w:r>
        <w:rPr>
          <w:rFonts w:hint="eastAsia" w:ascii="仿宋_GB2312" w:hAnsi="仿宋_GB2312" w:eastAsia="仿宋_GB2312" w:cs="仿宋_GB2312"/>
          <w:color w:val="000000" w:themeColor="text1"/>
          <w:sz w:val="32"/>
          <w:szCs w:val="32"/>
          <w:highlight w:val="none"/>
          <w14:textFill>
            <w14:solidFill>
              <w14:schemeClr w14:val="tx1"/>
            </w14:solidFill>
          </w14:textFill>
        </w:rPr>
        <w:t>，实现了与国家预警中心的业务对接、业务平台的应急备份和传真自动发布功能；“12379”号码为工信部核配全国突发事件预警信息发布公益服务专用号码，中心已于2014年8月完成与北京移动、联通、电信三大运营商对接，建立了面向市和区县应急体系、市属委办局（防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森防、规自</w:t>
      </w:r>
      <w:r>
        <w:rPr>
          <w:rFonts w:hint="eastAsia" w:ascii="仿宋_GB2312" w:hAnsi="仿宋_GB2312" w:eastAsia="仿宋_GB2312" w:cs="仿宋_GB2312"/>
          <w:color w:val="000000" w:themeColor="text1"/>
          <w:sz w:val="32"/>
          <w:szCs w:val="32"/>
          <w:highlight w:val="none"/>
          <w14:textFill>
            <w14:solidFill>
              <w14:schemeClr w14:val="tx1"/>
            </w14:solidFill>
          </w14:textFill>
        </w:rPr>
        <w:t>、民政等）、气象系统（中国气象局、北京市局、区县局等）、国家部委（国务院应急办等）、社会媒体部门（发布资源单位及相关记者）、临时用户（重大活动、专业用户等）等应急责任人的12379预警信息手机短信发布平台，可实现预警信息分灾种、分群组、分区域、分时段快速有效发布。为保障中心各项业务系统的稳定、有序运行，需要对这些业务平台进行必要的技术维护。《北京市“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14:textFill>
            <w14:solidFill>
              <w14:schemeClr w14:val="tx1"/>
            </w14:solidFill>
          </w14:textFill>
        </w:rPr>
        <w:t>五”时期应急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管理事业</w:t>
      </w:r>
      <w:r>
        <w:rPr>
          <w:rFonts w:hint="eastAsia" w:ascii="仿宋_GB2312" w:hAnsi="仿宋_GB2312" w:eastAsia="仿宋_GB2312" w:cs="仿宋_GB2312"/>
          <w:color w:val="000000" w:themeColor="text1"/>
          <w:sz w:val="32"/>
          <w:szCs w:val="32"/>
          <w:highlight w:val="none"/>
          <w14:textFill>
            <w14:solidFill>
              <w14:schemeClr w14:val="tx1"/>
            </w14:solidFill>
          </w14:textFill>
        </w:rPr>
        <w:t>发展规划》《北京市突发事件预警信息发布管理办法》（京应急委发〔2019〕4 号）都明确指出要建设预警信息发布平台，并对平台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模块的租用及</w:t>
      </w:r>
      <w:r>
        <w:rPr>
          <w:rFonts w:hint="eastAsia" w:ascii="仿宋_GB2312" w:hAnsi="仿宋_GB2312" w:eastAsia="仿宋_GB2312" w:cs="仿宋_GB2312"/>
          <w:color w:val="000000" w:themeColor="text1"/>
          <w:sz w:val="32"/>
          <w:szCs w:val="32"/>
          <w:highlight w:val="none"/>
          <w14:textFill>
            <w14:solidFill>
              <w14:schemeClr w14:val="tx1"/>
            </w14:solidFill>
          </w14:textFill>
        </w:rPr>
        <w:t>运维提供必要的财政支持，中心根据业务实际需求提出申请预警发布信息化模块租用保障项目，以期实现各类突发事件预警信息对应急责任人、社会媒体以及社会公众的高效及时发布，为预警信息发布工作提供了强有力的技术支撑。该项目的实施将进一步提升我市预警信息发布各业务平台的稳定性，能够更好的发挥预警信息在防灾减灾和应急管理中的作用。</w:t>
      </w:r>
    </w:p>
    <w:p w14:paraId="409274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项目的主要政策依据包括：</w:t>
      </w:r>
    </w:p>
    <w:p w14:paraId="4BDE6377">
      <w:pPr>
        <w:keepNext w:val="0"/>
        <w:keepLines w:val="0"/>
        <w:pageBreakBefore w:val="0"/>
        <w:widowControl w:val="0"/>
        <w:kinsoku/>
        <w:wordWrap/>
        <w:overflowPunct/>
        <w:topLinePunct w:val="0"/>
        <w:autoSpaceDE/>
        <w:autoSpaceDN/>
        <w:bidi w:val="0"/>
        <w:spacing w:line="560" w:lineRule="exact"/>
        <w:ind w:firstLine="640" w:firstLineChars="200"/>
        <w:contextualSpacing/>
        <w:textAlignment w:val="auto"/>
        <w:rPr>
          <w:rFonts w:ascii="仿宋_GB2312" w:eastAsia="仿宋_GB2312"/>
          <w:iCs/>
          <w:color w:val="000000" w:themeColor="text1"/>
          <w:sz w:val="32"/>
          <w:szCs w:val="32"/>
          <w:highlight w:val="none"/>
          <w14:textFill>
            <w14:solidFill>
              <w14:schemeClr w14:val="tx1"/>
            </w14:solidFill>
          </w14:textFill>
        </w:rPr>
      </w:pPr>
      <w:r>
        <w:rPr>
          <w:rFonts w:hint="eastAsia" w:ascii="仿宋_GB2312" w:eastAsia="仿宋_GB2312"/>
          <w:iCs/>
          <w:color w:val="000000" w:themeColor="text1"/>
          <w:sz w:val="32"/>
          <w:szCs w:val="32"/>
          <w:highlight w:val="none"/>
          <w14:textFill>
            <w14:solidFill>
              <w14:schemeClr w14:val="tx1"/>
            </w14:solidFill>
          </w14:textFill>
        </w:rPr>
        <w:t>1.北京市突发事件应急委员会关于印发《北京市突发事件预警信息发布管理办法》的通知（京应急委发</w:t>
      </w:r>
      <w:r>
        <w:rPr>
          <w:rFonts w:hint="eastAsia" w:ascii="仿宋_GB2312" w:eastAsia="仿宋_GB2312"/>
          <w:iCs/>
          <w:color w:val="000000" w:themeColor="text1"/>
          <w:sz w:val="32"/>
          <w:szCs w:val="32"/>
          <w:highlight w:val="none"/>
          <w:lang w:val="en-US" w:eastAsia="zh-CN"/>
          <w14:textFill>
            <w14:solidFill>
              <w14:schemeClr w14:val="tx1"/>
            </w14:solidFill>
          </w14:textFill>
        </w:rPr>
        <w:t>[</w:t>
      </w:r>
      <w:r>
        <w:rPr>
          <w:rFonts w:hint="eastAsia" w:ascii="仿宋_GB2312" w:eastAsia="仿宋_GB2312"/>
          <w:iCs/>
          <w:color w:val="000000" w:themeColor="text1"/>
          <w:sz w:val="32"/>
          <w:szCs w:val="32"/>
          <w:highlight w:val="none"/>
          <w14:textFill>
            <w14:solidFill>
              <w14:schemeClr w14:val="tx1"/>
            </w14:solidFill>
          </w14:textFill>
        </w:rPr>
        <w:t>2019</w:t>
      </w:r>
      <w:r>
        <w:rPr>
          <w:rFonts w:hint="eastAsia" w:ascii="仿宋_GB2312" w:eastAsia="仿宋_GB2312"/>
          <w:iCs/>
          <w:color w:val="000000" w:themeColor="text1"/>
          <w:sz w:val="32"/>
          <w:szCs w:val="32"/>
          <w:highlight w:val="none"/>
          <w:lang w:val="en-US" w:eastAsia="zh-CN"/>
          <w14:textFill>
            <w14:solidFill>
              <w14:schemeClr w14:val="tx1"/>
            </w14:solidFill>
          </w14:textFill>
        </w:rPr>
        <w:t>]</w:t>
      </w:r>
      <w:r>
        <w:rPr>
          <w:rFonts w:hint="eastAsia" w:ascii="仿宋_GB2312" w:eastAsia="仿宋_GB2312"/>
          <w:iCs/>
          <w:color w:val="000000" w:themeColor="text1"/>
          <w:sz w:val="32"/>
          <w:szCs w:val="32"/>
          <w:highlight w:val="none"/>
          <w14:textFill>
            <w14:solidFill>
              <w14:schemeClr w14:val="tx1"/>
            </w14:solidFill>
          </w14:textFill>
        </w:rPr>
        <w:t>4号）；</w:t>
      </w:r>
    </w:p>
    <w:p w14:paraId="0350723B">
      <w:pPr>
        <w:keepNext w:val="0"/>
        <w:keepLines w:val="0"/>
        <w:pageBreakBefore w:val="0"/>
        <w:widowControl w:val="0"/>
        <w:kinsoku/>
        <w:wordWrap/>
        <w:overflowPunct/>
        <w:topLinePunct w:val="0"/>
        <w:autoSpaceDE/>
        <w:autoSpaceDN/>
        <w:bidi w:val="0"/>
        <w:spacing w:line="560" w:lineRule="exact"/>
        <w:ind w:firstLine="640" w:firstLineChars="200"/>
        <w:contextualSpacing/>
        <w:textAlignment w:val="auto"/>
        <w:rPr>
          <w:rFonts w:hint="eastAsia" w:ascii="仿宋_GB2312" w:eastAsia="仿宋_GB2312"/>
          <w:iCs/>
          <w:color w:val="000000" w:themeColor="text1"/>
          <w:sz w:val="32"/>
          <w:szCs w:val="32"/>
          <w:highlight w:val="none"/>
          <w:lang w:eastAsia="zh-CN"/>
          <w14:textFill>
            <w14:solidFill>
              <w14:schemeClr w14:val="tx1"/>
            </w14:solidFill>
          </w14:textFill>
        </w:rPr>
      </w:pPr>
      <w:r>
        <w:rPr>
          <w:rFonts w:hint="eastAsia" w:ascii="仿宋_GB2312" w:eastAsia="仿宋_GB2312"/>
          <w:iCs/>
          <w:color w:val="000000" w:themeColor="text1"/>
          <w:sz w:val="32"/>
          <w:szCs w:val="32"/>
          <w:highlight w:val="none"/>
          <w14:textFill>
            <w14:solidFill>
              <w14:schemeClr w14:val="tx1"/>
            </w14:solidFill>
          </w14:textFill>
        </w:rPr>
        <w:t>2.北京市应急管理局关于印发《北京市“十四五”时期应急管理事业发展规划》的通知（京应急发</w:t>
      </w:r>
      <w:r>
        <w:rPr>
          <w:rFonts w:hint="eastAsia" w:ascii="仿宋_GB2312" w:eastAsia="仿宋_GB2312"/>
          <w:iCs/>
          <w:color w:val="000000" w:themeColor="text1"/>
          <w:sz w:val="32"/>
          <w:szCs w:val="32"/>
          <w:highlight w:val="none"/>
          <w:lang w:val="en-US" w:eastAsia="zh-CN"/>
          <w14:textFill>
            <w14:solidFill>
              <w14:schemeClr w14:val="tx1"/>
            </w14:solidFill>
          </w14:textFill>
        </w:rPr>
        <w:t>[</w:t>
      </w:r>
      <w:r>
        <w:rPr>
          <w:rFonts w:hint="eastAsia" w:ascii="仿宋_GB2312" w:eastAsia="仿宋_GB2312"/>
          <w:iCs/>
          <w:color w:val="000000" w:themeColor="text1"/>
          <w:sz w:val="32"/>
          <w:szCs w:val="32"/>
          <w:highlight w:val="none"/>
          <w14:textFill>
            <w14:solidFill>
              <w14:schemeClr w14:val="tx1"/>
            </w14:solidFill>
          </w14:textFill>
        </w:rPr>
        <w:t>2021</w:t>
      </w:r>
      <w:r>
        <w:rPr>
          <w:rFonts w:hint="eastAsia" w:ascii="仿宋_GB2312" w:eastAsia="仿宋_GB2312"/>
          <w:iCs/>
          <w:color w:val="000000" w:themeColor="text1"/>
          <w:sz w:val="32"/>
          <w:szCs w:val="32"/>
          <w:highlight w:val="none"/>
          <w:lang w:val="en-US" w:eastAsia="zh-CN"/>
          <w14:textFill>
            <w14:solidFill>
              <w14:schemeClr w14:val="tx1"/>
            </w14:solidFill>
          </w14:textFill>
        </w:rPr>
        <w:t>]</w:t>
      </w:r>
      <w:r>
        <w:rPr>
          <w:rFonts w:hint="eastAsia" w:ascii="仿宋_GB2312" w:eastAsia="仿宋_GB2312"/>
          <w:iCs/>
          <w:color w:val="000000" w:themeColor="text1"/>
          <w:sz w:val="32"/>
          <w:szCs w:val="32"/>
          <w:highlight w:val="none"/>
          <w14:textFill>
            <w14:solidFill>
              <w14:schemeClr w14:val="tx1"/>
            </w14:solidFill>
          </w14:textFill>
        </w:rPr>
        <w:t>31号）</w:t>
      </w:r>
      <w:r>
        <w:rPr>
          <w:rFonts w:hint="eastAsia" w:ascii="仿宋_GB2312" w:eastAsia="仿宋_GB2312"/>
          <w:iCs/>
          <w:color w:val="000000" w:themeColor="text1"/>
          <w:sz w:val="32"/>
          <w:szCs w:val="32"/>
          <w:highlight w:val="none"/>
          <w:lang w:eastAsia="zh-CN"/>
          <w14:textFill>
            <w14:solidFill>
              <w14:schemeClr w14:val="tx1"/>
            </w14:solidFill>
          </w14:textFill>
        </w:rPr>
        <w:t>；</w:t>
      </w:r>
    </w:p>
    <w:p w14:paraId="642B3640">
      <w:pPr>
        <w:keepNext w:val="0"/>
        <w:keepLines w:val="0"/>
        <w:pageBreakBefore w:val="0"/>
        <w:widowControl w:val="0"/>
        <w:kinsoku/>
        <w:wordWrap/>
        <w:overflowPunct/>
        <w:topLinePunct w:val="0"/>
        <w:autoSpaceDE/>
        <w:autoSpaceDN/>
        <w:bidi w:val="0"/>
        <w:spacing w:line="560" w:lineRule="exact"/>
        <w:ind w:firstLine="640" w:firstLineChars="200"/>
        <w:contextualSpacing/>
        <w:textAlignment w:val="auto"/>
        <w:rPr>
          <w:rFonts w:hint="eastAsia" w:ascii="仿宋_GB2312" w:eastAsia="仿宋_GB2312"/>
          <w:iCs/>
          <w:color w:val="000000" w:themeColor="text1"/>
          <w:sz w:val="32"/>
          <w:szCs w:val="32"/>
          <w:highlight w:val="none"/>
          <w:lang w:eastAsia="zh-CN"/>
          <w14:textFill>
            <w14:solidFill>
              <w14:schemeClr w14:val="tx1"/>
            </w14:solidFill>
          </w14:textFill>
        </w:rPr>
      </w:pPr>
      <w:r>
        <w:rPr>
          <w:rFonts w:hint="eastAsia" w:ascii="仿宋_GB2312" w:eastAsia="仿宋_GB2312"/>
          <w:iCs/>
          <w:color w:val="000000" w:themeColor="text1"/>
          <w:sz w:val="32"/>
          <w:szCs w:val="32"/>
          <w:highlight w:val="none"/>
          <w:lang w:val="en-US" w:eastAsia="zh-CN"/>
          <w14:textFill>
            <w14:solidFill>
              <w14:schemeClr w14:val="tx1"/>
            </w14:solidFill>
          </w14:textFill>
        </w:rPr>
        <w:t>3</w:t>
      </w:r>
      <w:r>
        <w:rPr>
          <w:rFonts w:hint="eastAsia" w:ascii="仿宋_GB2312" w:eastAsia="仿宋_GB2312"/>
          <w:iCs/>
          <w:color w:val="000000" w:themeColor="text1"/>
          <w:sz w:val="32"/>
          <w:szCs w:val="32"/>
          <w:highlight w:val="none"/>
          <w14:textFill>
            <w14:solidFill>
              <w14:schemeClr w14:val="tx1"/>
            </w14:solidFill>
          </w14:textFill>
        </w:rPr>
        <w:t>.北京市应急管理局关于印发《北京市“十四五”期间应急管理科技与信息化发展规划主要任务分工方案》的通知（京应急内发</w:t>
      </w:r>
      <w:r>
        <w:rPr>
          <w:rFonts w:hint="eastAsia" w:ascii="仿宋_GB2312" w:eastAsia="仿宋_GB2312"/>
          <w:iCs/>
          <w:color w:val="000000" w:themeColor="text1"/>
          <w:sz w:val="32"/>
          <w:szCs w:val="32"/>
          <w:highlight w:val="none"/>
          <w:lang w:val="en-US" w:eastAsia="zh-CN"/>
          <w14:textFill>
            <w14:solidFill>
              <w14:schemeClr w14:val="tx1"/>
            </w14:solidFill>
          </w14:textFill>
        </w:rPr>
        <w:t>[</w:t>
      </w:r>
      <w:r>
        <w:rPr>
          <w:rFonts w:hint="eastAsia" w:ascii="仿宋_GB2312" w:eastAsia="仿宋_GB2312"/>
          <w:iCs/>
          <w:color w:val="000000" w:themeColor="text1"/>
          <w:sz w:val="32"/>
          <w:szCs w:val="32"/>
          <w:highlight w:val="none"/>
          <w14:textFill>
            <w14:solidFill>
              <w14:schemeClr w14:val="tx1"/>
            </w14:solidFill>
          </w14:textFill>
        </w:rPr>
        <w:t>2022</w:t>
      </w:r>
      <w:r>
        <w:rPr>
          <w:rFonts w:hint="eastAsia" w:ascii="仿宋_GB2312" w:eastAsia="仿宋_GB2312"/>
          <w:iCs/>
          <w:color w:val="000000" w:themeColor="text1"/>
          <w:sz w:val="32"/>
          <w:szCs w:val="32"/>
          <w:highlight w:val="none"/>
          <w:lang w:val="en-US" w:eastAsia="zh-CN"/>
          <w14:textFill>
            <w14:solidFill>
              <w14:schemeClr w14:val="tx1"/>
            </w14:solidFill>
          </w14:textFill>
        </w:rPr>
        <w:t>]</w:t>
      </w:r>
      <w:r>
        <w:rPr>
          <w:rFonts w:hint="eastAsia" w:ascii="仿宋_GB2312" w:eastAsia="仿宋_GB2312"/>
          <w:iCs/>
          <w:color w:val="000000" w:themeColor="text1"/>
          <w:sz w:val="32"/>
          <w:szCs w:val="32"/>
          <w:highlight w:val="none"/>
          <w14:textFill>
            <w14:solidFill>
              <w14:schemeClr w14:val="tx1"/>
            </w14:solidFill>
          </w14:textFill>
        </w:rPr>
        <w:t>82号）</w:t>
      </w:r>
      <w:r>
        <w:rPr>
          <w:rFonts w:hint="eastAsia" w:ascii="仿宋_GB2312" w:eastAsia="仿宋_GB2312"/>
          <w:iCs/>
          <w:color w:val="000000" w:themeColor="text1"/>
          <w:sz w:val="32"/>
          <w:szCs w:val="32"/>
          <w:highlight w:val="none"/>
          <w:lang w:eastAsia="zh-CN"/>
          <w14:textFill>
            <w14:solidFill>
              <w14:schemeClr w14:val="tx1"/>
            </w14:solidFill>
          </w14:textFill>
        </w:rPr>
        <w:t>。</w:t>
      </w:r>
    </w:p>
    <w:p w14:paraId="4B6FB7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二、本项目主要内容</w:t>
      </w:r>
    </w:p>
    <w:p w14:paraId="1CBF05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一</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14:textFill>
            <w14:solidFill>
              <w14:schemeClr w14:val="tx1"/>
            </w14:solidFill>
          </w14:textFill>
        </w:rPr>
        <w:t>项目主要内容为：</w:t>
      </w:r>
    </w:p>
    <w:p w14:paraId="6F3B1F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完成12379短信平台租用保障服务，包括软件系统租用、技术支撑服务。 </w:t>
      </w:r>
    </w:p>
    <w:p w14:paraId="1E45A2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软件系统租用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及</w:t>
      </w:r>
      <w:r>
        <w:rPr>
          <w:rFonts w:hint="eastAsia" w:ascii="仿宋_GB2312" w:hAnsi="仿宋_GB2312" w:eastAsia="仿宋_GB2312" w:cs="仿宋_GB2312"/>
          <w:color w:val="000000" w:themeColor="text1"/>
          <w:sz w:val="32"/>
          <w:szCs w:val="32"/>
          <w:highlight w:val="none"/>
          <w14:textFill>
            <w14:solidFill>
              <w14:schemeClr w14:val="tx1"/>
            </w14:solidFill>
          </w14:textFill>
        </w:rPr>
        <w:t>技术支撑服务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主要包括：</w:t>
      </w:r>
      <w:r>
        <w:rPr>
          <w:rFonts w:hint="eastAsia" w:ascii="仿宋_GB2312" w:hAnsi="仿宋_GB2312" w:eastAsia="仿宋_GB2312" w:cs="仿宋_GB2312"/>
          <w:color w:val="000000" w:themeColor="text1"/>
          <w:sz w:val="32"/>
          <w:szCs w:val="32"/>
          <w:highlight w:val="none"/>
          <w14:textFill>
            <w14:solidFill>
              <w14:schemeClr w14:val="tx1"/>
            </w14:solidFill>
          </w14:textFill>
        </w:rPr>
        <w:t>软件系统租用，包括平台应用、国产化适配、多机负载等功能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及技术支撑服务，包括软件使用指导、现场排故、系统升级、系统巡检。</w:t>
      </w:r>
    </w:p>
    <w:p w14:paraId="40BE179A">
      <w:pPr>
        <w:keepNext w:val="0"/>
        <w:keepLines w:val="0"/>
        <w:pageBreakBefore w:val="0"/>
        <w:widowControl w:val="0"/>
        <w:tabs>
          <w:tab w:val="left" w:pos="5863"/>
        </w:tabs>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2、运营商网关对接及数据库维护</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主要包括：</w:t>
      </w:r>
      <w:r>
        <w:rPr>
          <w:rFonts w:hint="eastAsia" w:ascii="仿宋_GB2312" w:hAnsi="仿宋_GB2312" w:eastAsia="仿宋_GB2312" w:cs="仿宋_GB2312"/>
          <w:color w:val="000000" w:themeColor="text1"/>
          <w:sz w:val="32"/>
          <w:szCs w:val="32"/>
          <w:highlight w:val="none"/>
          <w14:textFill>
            <w14:solidFill>
              <w14:schemeClr w14:val="tx1"/>
            </w14:solidFill>
          </w14:textFill>
        </w:rPr>
        <w:t>定期维护运营商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网关</w:t>
      </w:r>
      <w:r>
        <w:rPr>
          <w:rFonts w:hint="eastAsia" w:ascii="仿宋_GB2312" w:hAnsi="仿宋_GB2312" w:eastAsia="仿宋_GB2312" w:cs="仿宋_GB2312"/>
          <w:color w:val="000000" w:themeColor="text1"/>
          <w:sz w:val="32"/>
          <w:szCs w:val="32"/>
          <w:highlight w:val="none"/>
          <w14:textFill>
            <w14:solidFill>
              <w14:schemeClr w14:val="tx1"/>
            </w14:solidFill>
          </w14:textFill>
        </w:rPr>
        <w:t>对接服务。定期对数据库进行优化，提高软件运行速度，提高工作效率。备份系统数据，确保系统数据安全有效。同时，在运行中发现出错数据时，进行修正。在出现因操作失误，死机、断电等意外造成的数据错误时，恢复有效的备份系统数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如有新增接口对接，需及时保障。</w:t>
      </w:r>
    </w:p>
    <w:p w14:paraId="18126BB8">
      <w:pPr>
        <w:keepNext w:val="0"/>
        <w:keepLines w:val="0"/>
        <w:pageBreakBefore w:val="0"/>
        <w:widowControl w:val="0"/>
        <w:tabs>
          <w:tab w:val="left" w:pos="5863"/>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二</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商务要求</w:t>
      </w:r>
    </w:p>
    <w:p w14:paraId="5F4AF097">
      <w:pPr>
        <w:keepNext w:val="0"/>
        <w:keepLines w:val="0"/>
        <w:pageBreakBefore w:val="0"/>
        <w:widowControl w:val="0"/>
        <w:tabs>
          <w:tab w:val="left" w:pos="5863"/>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服务开始时间、地点：</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2026年7月1日、北京</w:t>
      </w:r>
    </w:p>
    <w:p w14:paraId="6AA74680">
      <w:pPr>
        <w:keepNext w:val="0"/>
        <w:keepLines w:val="0"/>
        <w:pageBreakBefore w:val="0"/>
        <w:widowControl w:val="0"/>
        <w:tabs>
          <w:tab w:val="left" w:pos="5863"/>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交付(实施)的时间(期限)和地点(范围)：</w:t>
      </w:r>
    </w:p>
    <w:p w14:paraId="069C69DE">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2026年7月1日-2027年6月30日 （12个月） 北京</w:t>
      </w:r>
    </w:p>
    <w:p w14:paraId="60D19E41">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cs="仿宋_GB2312"/>
          <w:b w:val="0"/>
          <w:bCs w:val="0"/>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付款条件（进度和方式）：</w:t>
      </w:r>
    </w:p>
    <w:p w14:paraId="3DB23B5E">
      <w:pPr>
        <w:keepNext w:val="0"/>
        <w:keepLines w:val="0"/>
        <w:pageBreakBefore w:val="0"/>
        <w:widowControl w:val="0"/>
        <w:tabs>
          <w:tab w:val="left" w:pos="1080"/>
          <w:tab w:val="left" w:pos="1260"/>
          <w:tab w:val="left" w:pos="1358"/>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）本</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项目</w:t>
      </w:r>
      <w:r>
        <w:rPr>
          <w:rFonts w:hint="eastAsia" w:ascii="仿宋_GB2312" w:hAnsi="仿宋_GB2312" w:eastAsia="仿宋_GB2312" w:cs="仿宋_GB2312"/>
          <w:color w:val="000000" w:themeColor="text1"/>
          <w:sz w:val="32"/>
          <w:szCs w:val="32"/>
          <w:highlight w:val="none"/>
          <w14:textFill>
            <w14:solidFill>
              <w14:schemeClr w14:val="tx1"/>
            </w14:solidFill>
          </w14:textFill>
        </w:rPr>
        <w:t>维护费用</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总计</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不高于</w:t>
      </w:r>
      <w:r>
        <w:rPr>
          <w:rFonts w:hint="eastAsia" w:ascii="仿宋_GB2312" w:hAnsi="仿宋_GB2312" w:eastAsia="仿宋_GB2312" w:cs="仿宋_GB2312"/>
          <w:color w:val="000000" w:themeColor="text1"/>
          <w:sz w:val="32"/>
          <w:szCs w:val="32"/>
          <w:highlight w:val="none"/>
          <w14:textFill>
            <w14:solidFill>
              <w14:schemeClr w14:val="tx1"/>
            </w14:solidFill>
          </w14:textFill>
        </w:rPr>
        <w:t>人民币大写</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叁拾肆万捌仟元整</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小写：</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348000.</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00</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7F1B1167">
      <w:pPr>
        <w:keepNext w:val="0"/>
        <w:keepLines w:val="0"/>
        <w:pageBreakBefore w:val="0"/>
        <w:widowControl w:val="0"/>
        <w:tabs>
          <w:tab w:val="left" w:pos="1080"/>
          <w:tab w:val="left" w:pos="1260"/>
          <w:tab w:val="left" w:pos="1358"/>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i w:val="0"/>
          <w:caps w:val="0"/>
          <w:color w:val="000000" w:themeColor="text1"/>
          <w:spacing w:val="0"/>
          <w:sz w:val="32"/>
          <w:szCs w:val="32"/>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highlight w:val="none"/>
          <w:shd w:val="clear" w:color="auto" w:fill="auto"/>
          <w:lang w:val="en-US" w:eastAsia="zh-CN"/>
          <w14:textFill>
            <w14:solidFill>
              <w14:schemeClr w14:val="tx1"/>
            </w14:solidFill>
          </w14:textFill>
        </w:rPr>
        <w:t>2</w:t>
      </w:r>
      <w:r>
        <w:rPr>
          <w:rFonts w:hint="eastAsia" w:ascii="仿宋_GB2312" w:hAnsi="仿宋_GB2312" w:eastAsia="仿宋_GB2312" w:cs="仿宋_GB2312"/>
          <w:b w:val="0"/>
          <w:i w:val="0"/>
          <w:caps w:val="0"/>
          <w:color w:val="000000" w:themeColor="text1"/>
          <w:spacing w:val="0"/>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highlight w:val="none"/>
          <w:shd w:val="clear" w:color="auto" w:fill="auto"/>
          <w14:textFill>
            <w14:solidFill>
              <w14:schemeClr w14:val="tx1"/>
            </w14:solidFill>
          </w14:textFill>
        </w:rPr>
        <w:t>甲方应于本</w:t>
      </w:r>
      <w:r>
        <w:rPr>
          <w:rFonts w:hint="eastAsia" w:ascii="仿宋_GB2312" w:hAnsi="仿宋_GB2312" w:eastAsia="仿宋_GB2312" w:cs="仿宋_GB2312"/>
          <w:color w:val="000000" w:themeColor="text1"/>
          <w:sz w:val="32"/>
          <w:szCs w:val="32"/>
          <w:highlight w:val="none"/>
          <w14:textFill>
            <w14:solidFill>
              <w14:schemeClr w14:val="tx1"/>
            </w14:solidFill>
          </w14:textFill>
        </w:rPr>
        <w:t>合同</w:t>
      </w:r>
      <w:r>
        <w:rPr>
          <w:rFonts w:hint="eastAsia" w:ascii="仿宋_GB2312" w:hAnsi="仿宋_GB2312" w:eastAsia="仿宋_GB2312" w:cs="仿宋_GB2312"/>
          <w:b w:val="0"/>
          <w:i w:val="0"/>
          <w:caps w:val="0"/>
          <w:color w:val="000000" w:themeColor="text1"/>
          <w:spacing w:val="0"/>
          <w:sz w:val="32"/>
          <w:szCs w:val="32"/>
          <w:highlight w:val="none"/>
          <w:shd w:val="clear" w:color="auto" w:fill="auto"/>
          <w:lang w:val="en-US" w:eastAsia="zh-CN"/>
          <w14:textFill>
            <w14:solidFill>
              <w14:schemeClr w14:val="tx1"/>
            </w14:solidFill>
          </w14:textFill>
        </w:rPr>
        <w:t>约定的服务开始时间前的10</w:t>
      </w:r>
      <w:r>
        <w:rPr>
          <w:rFonts w:hint="eastAsia" w:ascii="仿宋_GB2312" w:hAnsi="仿宋_GB2312" w:eastAsia="仿宋_GB2312" w:cs="仿宋_GB2312"/>
          <w:b w:val="0"/>
          <w:i w:val="0"/>
          <w:caps w:val="0"/>
          <w:color w:val="000000" w:themeColor="text1"/>
          <w:spacing w:val="0"/>
          <w:sz w:val="32"/>
          <w:szCs w:val="32"/>
          <w:highlight w:val="none"/>
          <w:shd w:val="clear" w:color="auto" w:fill="auto"/>
          <w14:textFill>
            <w14:solidFill>
              <w14:schemeClr w14:val="tx1"/>
            </w14:solidFill>
          </w14:textFill>
        </w:rPr>
        <w:t>个工作日内，向乙方支付全部合同服务费用的80%</w:t>
      </w:r>
      <w:r>
        <w:rPr>
          <w:rFonts w:hint="eastAsia" w:ascii="仿宋_GB2312" w:hAnsi="仿宋_GB2312" w:eastAsia="仿宋_GB2312" w:cs="仿宋_GB2312"/>
          <w:b w:val="0"/>
          <w:i w:val="0"/>
          <w:caps w:val="0"/>
          <w:color w:val="000000" w:themeColor="text1"/>
          <w:spacing w:val="0"/>
          <w:sz w:val="32"/>
          <w:szCs w:val="32"/>
          <w:highlight w:val="none"/>
          <w:shd w:val="clear" w:color="auto" w:fill="auto"/>
          <w:lang w:val="en-US" w:eastAsia="zh-CN"/>
          <w14:textFill>
            <w14:solidFill>
              <w14:schemeClr w14:val="tx1"/>
            </w14:solidFill>
          </w14:textFill>
        </w:rPr>
        <w:t>。</w:t>
      </w:r>
    </w:p>
    <w:p w14:paraId="36DC86B8">
      <w:pPr>
        <w:keepNext w:val="0"/>
        <w:keepLines w:val="0"/>
        <w:pageBreakBefore w:val="0"/>
        <w:widowControl w:val="0"/>
        <w:tabs>
          <w:tab w:val="left" w:pos="1080"/>
          <w:tab w:val="left" w:pos="1260"/>
          <w:tab w:val="left" w:pos="1358"/>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i w:val="0"/>
          <w:caps w:val="0"/>
          <w:color w:val="000000" w:themeColor="text1"/>
          <w:spacing w:val="0"/>
          <w:sz w:val="32"/>
          <w:szCs w:val="32"/>
          <w:highlight w:val="none"/>
          <w:shd w:val="clear" w:color="auto" w:fill="auto"/>
          <w:lang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highlight w:val="none"/>
          <w:shd w:val="clear" w:color="auto" w:fill="auto"/>
          <w:lang w:val="en-US" w:eastAsia="zh-CN"/>
          <w14:textFill>
            <w14:solidFill>
              <w14:schemeClr w14:val="tx1"/>
            </w14:solidFill>
          </w14:textFill>
        </w:rPr>
        <w:t>3</w:t>
      </w:r>
      <w:r>
        <w:rPr>
          <w:rFonts w:hint="eastAsia" w:ascii="仿宋_GB2312" w:hAnsi="仿宋_GB2312" w:eastAsia="仿宋_GB2312" w:cs="仿宋_GB2312"/>
          <w:b w:val="0"/>
          <w:i w:val="0"/>
          <w:caps w:val="0"/>
          <w:color w:val="000000" w:themeColor="text1"/>
          <w:spacing w:val="0"/>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highlight w:val="none"/>
          <w:shd w:val="clear" w:color="auto" w:fill="auto"/>
          <w14:textFill>
            <w14:solidFill>
              <w14:schemeClr w14:val="tx1"/>
            </w14:solidFill>
          </w14:textFill>
        </w:rPr>
        <w:t>甲方验收合格后</w:t>
      </w:r>
      <w:r>
        <w:rPr>
          <w:rFonts w:hint="eastAsia" w:ascii="仿宋_GB2312" w:hAnsi="仿宋_GB2312" w:eastAsia="仿宋_GB2312" w:cs="仿宋_GB2312"/>
          <w:b w:val="0"/>
          <w:i w:val="0"/>
          <w:caps w:val="0"/>
          <w:color w:val="000000" w:themeColor="text1"/>
          <w:spacing w:val="0"/>
          <w:sz w:val="32"/>
          <w:szCs w:val="32"/>
          <w:highlight w:val="none"/>
          <w:shd w:val="clear" w:color="auto" w:fill="auto"/>
          <w:lang w:val="en-US" w:eastAsia="zh-CN"/>
          <w14:textFill>
            <w14:solidFill>
              <w14:schemeClr w14:val="tx1"/>
            </w14:solidFill>
          </w14:textFill>
        </w:rPr>
        <w:t>1</w:t>
      </w:r>
      <w:r>
        <w:rPr>
          <w:rFonts w:hint="eastAsia" w:ascii="仿宋_GB2312" w:hAnsi="仿宋_GB2312" w:eastAsia="仿宋_GB2312" w:cs="仿宋_GB2312"/>
          <w:b w:val="0"/>
          <w:i w:val="0"/>
          <w:caps w:val="0"/>
          <w:color w:val="000000" w:themeColor="text1"/>
          <w:spacing w:val="0"/>
          <w:sz w:val="32"/>
          <w:szCs w:val="32"/>
          <w:highlight w:val="none"/>
          <w:shd w:val="clear" w:color="auto" w:fill="auto"/>
          <w14:textFill>
            <w14:solidFill>
              <w14:schemeClr w14:val="tx1"/>
            </w14:solidFill>
          </w14:textFill>
        </w:rPr>
        <w:t>5个工作日内，向乙方支付全部合同服务费用的</w:t>
      </w:r>
      <w:r>
        <w:rPr>
          <w:rFonts w:hint="eastAsia" w:ascii="仿宋_GB2312" w:hAnsi="仿宋_GB2312" w:eastAsia="仿宋_GB2312" w:cs="仿宋_GB2312"/>
          <w:b w:val="0"/>
          <w:i w:val="0"/>
          <w:caps w:val="0"/>
          <w:color w:val="000000" w:themeColor="text1"/>
          <w:spacing w:val="0"/>
          <w:sz w:val="32"/>
          <w:szCs w:val="32"/>
          <w:highlight w:val="none"/>
          <w:shd w:val="clear" w:color="auto" w:fill="auto"/>
          <w:lang w:val="en-US" w:eastAsia="zh-CN"/>
          <w14:textFill>
            <w14:solidFill>
              <w14:schemeClr w14:val="tx1"/>
            </w14:solidFill>
          </w14:textFill>
        </w:rPr>
        <w:t>20</w:t>
      </w:r>
      <w:r>
        <w:rPr>
          <w:rFonts w:hint="eastAsia" w:ascii="仿宋_GB2312" w:hAnsi="仿宋_GB2312" w:eastAsia="仿宋_GB2312" w:cs="仿宋_GB2312"/>
          <w:b w:val="0"/>
          <w:i w:val="0"/>
          <w:caps w:val="0"/>
          <w:color w:val="000000" w:themeColor="text1"/>
          <w:spacing w:val="0"/>
          <w:sz w:val="32"/>
          <w:szCs w:val="32"/>
          <w:highlight w:val="none"/>
          <w:shd w:val="clear" w:color="auto" w:fill="auto"/>
          <w14:textFill>
            <w14:solidFill>
              <w14:schemeClr w14:val="tx1"/>
            </w14:solidFill>
          </w14:textFill>
        </w:rPr>
        <w:t>%</w:t>
      </w:r>
      <w:r>
        <w:rPr>
          <w:rFonts w:hint="eastAsia" w:ascii="仿宋_GB2312" w:hAnsi="仿宋_GB2312" w:eastAsia="仿宋_GB2312" w:cs="仿宋_GB2312"/>
          <w:b w:val="0"/>
          <w:i w:val="0"/>
          <w:caps w:val="0"/>
          <w:color w:val="000000" w:themeColor="text1"/>
          <w:spacing w:val="0"/>
          <w:sz w:val="32"/>
          <w:szCs w:val="32"/>
          <w:highlight w:val="none"/>
          <w:shd w:val="clear" w:color="auto" w:fill="auto"/>
          <w:lang w:eastAsia="zh-CN"/>
          <w14:textFill>
            <w14:solidFill>
              <w14:schemeClr w14:val="tx1"/>
            </w14:solidFill>
          </w14:textFill>
        </w:rPr>
        <w:t>。</w:t>
      </w:r>
    </w:p>
    <w:p w14:paraId="2426D9E2">
      <w:pPr>
        <w:keepNext w:val="0"/>
        <w:keepLines w:val="0"/>
        <w:pageBreakBefore w:val="0"/>
        <w:widowControl w:val="0"/>
        <w:tabs>
          <w:tab w:val="left" w:pos="1080"/>
          <w:tab w:val="left" w:pos="1260"/>
          <w:tab w:val="left" w:pos="1358"/>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如未完成合同约定事项或出现违约情况，甲方有权按照合同约定扣除相应服务费用。</w:t>
      </w:r>
    </w:p>
    <w:p w14:paraId="5754C3F5">
      <w:pPr>
        <w:keepNext w:val="0"/>
        <w:keepLines w:val="0"/>
        <w:pageBreakBefore w:val="0"/>
        <w:widowControl w:val="0"/>
        <w:tabs>
          <w:tab w:val="left" w:pos="1080"/>
          <w:tab w:val="left" w:pos="1260"/>
          <w:tab w:val="left" w:pos="1358"/>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在甲方付款前，乙方应向甲方交付与付款额等额的符合甲方要求的服务发票。</w:t>
      </w:r>
    </w:p>
    <w:p w14:paraId="4B8C548A">
      <w:pPr>
        <w:keepNext w:val="0"/>
        <w:keepLines w:val="0"/>
        <w:pageBreakBefore w:val="0"/>
        <w:widowControl w:val="0"/>
        <w:tabs>
          <w:tab w:val="left" w:pos="1080"/>
          <w:tab w:val="left" w:pos="1260"/>
          <w:tab w:val="left" w:pos="1358"/>
          <w:tab w:val="left" w:pos="1440"/>
        </w:tabs>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三</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技术要求</w:t>
      </w:r>
    </w:p>
    <w:p w14:paraId="5706B1E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1.成立专门的技术维护小组，指派经验丰富的专业人员负责系统整体运维。</w:t>
      </w:r>
    </w:p>
    <w:p w14:paraId="18F6A8E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2.技术维护小组人员要求：</w:t>
      </w:r>
    </w:p>
    <w:p w14:paraId="0F398D65">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（1）项目经理：1人，具有3年以上信息系统运维项目管理经验，持有PMP或信息系统项目管理师证书优先。</w:t>
      </w:r>
    </w:p>
    <w:p w14:paraId="6F7697D5">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（2）技术负责人：1人，具有3年以上短信平台或通讯网关系统运维经验，持有系统架构设计师或网络工程师中级以上证书优先。</w:t>
      </w:r>
    </w:p>
    <w:p w14:paraId="7FC3D19A">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（3）技术人员：不少于1人，具有2年以上软件系统运维或技术支持经验。具备7×24小时应急响应能力，重大节假日期间须在线保障。</w:t>
      </w:r>
    </w:p>
    <w:p w14:paraId="0059472B">
      <w:pPr>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（4）团队人员须保持稳定，未经采购人同意，不得随意更换核心人员。</w:t>
      </w:r>
    </w:p>
    <w:p w14:paraId="67E519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3.明确提供技术支撑方案，包括但不仅限于：</w:t>
      </w:r>
      <w:r>
        <w:rPr>
          <w:rFonts w:hint="eastAsia" w:ascii="仿宋_GB2312" w:hAnsi="仿宋_GB2312" w:eastAsia="仿宋_GB2312" w:cs="仿宋_GB2312"/>
          <w:color w:val="000000" w:themeColor="text1"/>
          <w:sz w:val="32"/>
          <w:szCs w:val="32"/>
          <w:highlight w:val="none"/>
          <w14:textFill>
            <w14:solidFill>
              <w14:schemeClr w14:val="tx1"/>
            </w14:solidFill>
          </w14:textFill>
        </w:rPr>
        <w:t>平台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技术支撑</w:t>
      </w:r>
      <w:r>
        <w:rPr>
          <w:rFonts w:hint="eastAsia" w:ascii="仿宋_GB2312" w:hAnsi="仿宋_GB2312" w:eastAsia="仿宋_GB2312" w:cs="仿宋_GB2312"/>
          <w:color w:val="000000" w:themeColor="text1"/>
          <w:sz w:val="32"/>
          <w:szCs w:val="32"/>
          <w:highlight w:val="none"/>
          <w14:textFill>
            <w14:solidFill>
              <w14:schemeClr w14:val="tx1"/>
            </w14:solidFill>
          </w14:textFill>
        </w:rPr>
        <w:t>方式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系统巡检方式及巡检办法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平台功能优化</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重大节日保障办法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故障解决办法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等。</w:t>
      </w:r>
    </w:p>
    <w:p w14:paraId="7BD2BDC1">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（四）履约验收方案</w:t>
      </w:r>
    </w:p>
    <w:p w14:paraId="1DC4FCC4">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验收主体：</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由</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北京市应急管理事务中心组织验收，可邀请相关专家参与。</w:t>
      </w:r>
    </w:p>
    <w:p w14:paraId="547FF260">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验收时间：2027年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服务期满后进行整体验收；重要节点（如重大节假日前）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可</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进行阶段性验收。</w:t>
      </w:r>
    </w:p>
    <w:p w14:paraId="4B32E78D">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验收方式：</w:t>
      </w:r>
    </w:p>
    <w:p w14:paraId="27F8BD58">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以资料审查为主，必要时开展用户满意度调查。</w:t>
      </w:r>
    </w:p>
    <w:p w14:paraId="47211F81">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验收内容：</w:t>
      </w:r>
    </w:p>
    <w:p w14:paraId="1E8D2F3A">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软件系统租用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平台应用功能完整性（预警信息编审、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通讯录编辑</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等）；国产化适配情况（操作系统、数据库、中间件国产化兼容性）；多机负载及高可用性部署效果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14:paraId="7854DD40">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技术支撑服务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软件使用指导记录及用户培训情况；现场排故响应时效（一般故障2小时到场，紧急故障30分钟响应）；系统升级记录及回滚方案；月度系统巡检报告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14:paraId="00DF8B96">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运营商网关对接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移动、联通、电信三大运营商网关对接稳定性；新增接口对接完成情况</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14:paraId="1A4608BE">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数据库维护</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数据库优化方案及执行记录；数据备份策略（每日增量备份、每周全量备份）及恢复演练记录；数据错误修正记录及数据完整性校验报告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14:paraId="25D84C1B">
      <w:pPr>
        <w:keepNext w:val="0"/>
        <w:keepLines w:val="0"/>
        <w:pageBreakBefore w:val="0"/>
        <w:kinsoku/>
        <w:wordWrap/>
        <w:overflowPunct/>
        <w:topLinePunct w:val="0"/>
        <w:autoSpaceDE/>
        <w:autoSpaceDN/>
        <w:bidi w:val="0"/>
        <w:spacing w:line="560" w:lineRule="exact"/>
        <w:ind w:firstLine="640" w:firstLineChars="200"/>
        <w:contextualSpacing/>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验收标准：</w:t>
      </w:r>
    </w:p>
    <w:p w14:paraId="5FE6EF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（1）各项服务数量、质量符合合同约定；</w:t>
      </w:r>
    </w:p>
    <w:p w14:paraId="3D5AF1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（2）系统稳定运行，无重大安全事故；</w:t>
      </w:r>
    </w:p>
    <w:p w14:paraId="3503C1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（3）服务文档齐全、规范；</w:t>
      </w:r>
    </w:p>
    <w:p w14:paraId="576681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（4）系统可用性≥99%（以合同周期计算，排除不可抗力及甲方原因）；</w:t>
      </w:r>
    </w:p>
    <w:p w14:paraId="7B1974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沟通渠道畅通，系统故障响应及时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（20分钟内）；</w:t>
      </w:r>
    </w:p>
    <w:p w14:paraId="0536BB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（6）形成项目总结报告≥1份。</w:t>
      </w:r>
    </w:p>
    <w:p w14:paraId="1A770F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三、项目实施进度计划</w:t>
      </w:r>
    </w:p>
    <w:p w14:paraId="00B3F9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月：开展组织准备工作，摸清本年度具体业务需求，制定年度工作计划；</w:t>
      </w:r>
    </w:p>
    <w:p w14:paraId="532205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月：遴选项目承担单位，签订委托合同；</w:t>
      </w:r>
    </w:p>
    <w:p w14:paraId="378F37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月-202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月：实施</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项目</w:t>
      </w:r>
      <w:r>
        <w:rPr>
          <w:rFonts w:hint="eastAsia" w:ascii="仿宋_GB2312" w:hAnsi="仿宋_GB2312" w:eastAsia="仿宋_GB2312" w:cs="仿宋_GB2312"/>
          <w:color w:val="000000" w:themeColor="text1"/>
          <w:sz w:val="32"/>
          <w:szCs w:val="32"/>
          <w:highlight w:val="none"/>
          <w14:textFill>
            <w14:solidFill>
              <w14:schemeClr w14:val="tx1"/>
            </w14:solidFill>
          </w14:textFill>
        </w:rPr>
        <w:t>工作，达到预期目标；</w:t>
      </w:r>
    </w:p>
    <w:p w14:paraId="21B5FB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月：项目成果验收、结项。</w:t>
      </w:r>
    </w:p>
    <w:p w14:paraId="3EF640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w:t>
      </w:r>
      <w:r>
        <w:rPr>
          <w:rFonts w:hint="eastAsia" w:ascii="黑体" w:hAnsi="黑体" w:eastAsia="黑体" w:cs="黑体"/>
          <w:color w:val="000000" w:themeColor="text1"/>
          <w:sz w:val="32"/>
          <w:szCs w:val="32"/>
          <w:highlight w:val="none"/>
          <w14:textFill>
            <w14:solidFill>
              <w14:schemeClr w14:val="tx1"/>
            </w14:solidFill>
          </w14:textFill>
        </w:rPr>
        <w:t>、响应文件编制要求</w:t>
      </w:r>
    </w:p>
    <w:p w14:paraId="3E3BFD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响应文件字体大小为四号，行距为28磅，页数宜在100页内，响应文件应按要求编制。</w:t>
      </w:r>
    </w:p>
    <w:p w14:paraId="4313A00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6F554FC4">
      <w:pPr>
        <w:spacing w:line="360" w:lineRule="auto"/>
        <w:jc w:val="center"/>
        <w:outlineLvl w:val="0"/>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第三章   评审办法</w:t>
      </w:r>
    </w:p>
    <w:p w14:paraId="3B7AC46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4"/>
          <w:sz w:val="28"/>
          <w:szCs w:val="28"/>
          <w:highlight w:val="none"/>
          <w14:textFill>
            <w14:solidFill>
              <w14:schemeClr w14:val="tx1"/>
            </w14:solidFill>
          </w14:textFill>
        </w:rPr>
        <w:t>一、本项目评审采用综合评分法</w:t>
      </w:r>
      <w:r>
        <w:rPr>
          <w:rFonts w:hint="eastAsia" w:ascii="仿宋_GB2312" w:hAnsi="仿宋_GB2312" w:eastAsia="仿宋_GB2312" w:cs="仿宋_GB2312"/>
          <w:color w:val="000000" w:themeColor="text1"/>
          <w:sz w:val="28"/>
          <w:szCs w:val="28"/>
          <w:highlight w:val="none"/>
          <w14:textFill>
            <w14:solidFill>
              <w14:schemeClr w14:val="tx1"/>
            </w14:solidFill>
          </w14:textFill>
        </w:rPr>
        <w:t>。总分100分，评分分值计算保留小数点后两位，第三位四舍五入。</w:t>
      </w:r>
    </w:p>
    <w:p w14:paraId="549926A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themeColor="text1"/>
          <w:kern w:val="24"/>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4"/>
          <w:sz w:val="28"/>
          <w:szCs w:val="28"/>
          <w:highlight w:val="none"/>
          <w14:textFill>
            <w14:solidFill>
              <w14:schemeClr w14:val="tx1"/>
            </w14:solidFill>
          </w14:textFill>
        </w:rPr>
        <w:t>二、询价比选小组将根据各供应商的评审排序，按照评审得分由高到低顺序推荐成交候选人的排名顺序。</w:t>
      </w:r>
    </w:p>
    <w:p w14:paraId="365A74A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themeColor="text1"/>
          <w:kern w:val="24"/>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4"/>
          <w:sz w:val="28"/>
          <w:szCs w:val="28"/>
          <w:highlight w:val="none"/>
          <w14:textFill>
            <w14:solidFill>
              <w14:schemeClr w14:val="tx1"/>
            </w14:solidFill>
          </w14:textFill>
        </w:rPr>
        <w:t>三、询价比选小组根据上述供应商排序，</w:t>
      </w:r>
      <w:r>
        <w:rPr>
          <w:rFonts w:hint="eastAsia" w:ascii="仿宋_GB2312" w:hAnsi="仿宋_GB2312" w:cs="仿宋_GB2312"/>
          <w:color w:val="000000" w:themeColor="text1"/>
          <w:kern w:val="24"/>
          <w:sz w:val="28"/>
          <w:szCs w:val="28"/>
          <w:highlight w:val="none"/>
          <w:lang w:eastAsia="zh-CN"/>
          <w14:textFill>
            <w14:solidFill>
              <w14:schemeClr w14:val="tx1"/>
            </w14:solidFill>
          </w14:textFill>
        </w:rPr>
        <w:t>推荐排序第一名的供应商</w:t>
      </w:r>
      <w:r>
        <w:rPr>
          <w:rFonts w:hint="eastAsia" w:ascii="仿宋_GB2312" w:hAnsi="仿宋_GB2312" w:eastAsia="仿宋_GB2312" w:cs="仿宋_GB2312"/>
          <w:color w:val="000000" w:themeColor="text1"/>
          <w:kern w:val="24"/>
          <w:sz w:val="28"/>
          <w:szCs w:val="28"/>
          <w:highlight w:val="none"/>
          <w14:textFill>
            <w14:solidFill>
              <w14:schemeClr w14:val="tx1"/>
            </w14:solidFill>
          </w14:textFill>
        </w:rPr>
        <w:t>为成交候选供应商。</w:t>
      </w:r>
    </w:p>
    <w:p w14:paraId="7389823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themeColor="text1"/>
          <w:kern w:val="24"/>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4"/>
          <w:sz w:val="28"/>
          <w:szCs w:val="28"/>
          <w:highlight w:val="none"/>
          <w14:textFill>
            <w14:solidFill>
              <w14:schemeClr w14:val="tx1"/>
            </w14:solidFill>
          </w14:textFill>
        </w:rPr>
        <w:t>四、评分标准</w:t>
      </w:r>
    </w:p>
    <w:tbl>
      <w:tblPr>
        <w:tblStyle w:val="13"/>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836"/>
        <w:gridCol w:w="815"/>
        <w:gridCol w:w="4767"/>
      </w:tblGrid>
      <w:tr w14:paraId="20BC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82" w:type="dxa"/>
            <w:vAlign w:val="center"/>
          </w:tcPr>
          <w:p w14:paraId="2456249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序号</w:t>
            </w:r>
          </w:p>
        </w:tc>
        <w:tc>
          <w:tcPr>
            <w:tcW w:w="2836" w:type="dxa"/>
            <w:vAlign w:val="center"/>
          </w:tcPr>
          <w:p w14:paraId="54893F4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评审因素</w:t>
            </w:r>
          </w:p>
        </w:tc>
        <w:tc>
          <w:tcPr>
            <w:tcW w:w="815" w:type="dxa"/>
            <w:vAlign w:val="center"/>
          </w:tcPr>
          <w:p w14:paraId="6A04B4A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分值</w:t>
            </w:r>
          </w:p>
        </w:tc>
        <w:tc>
          <w:tcPr>
            <w:tcW w:w="4767" w:type="dxa"/>
            <w:vAlign w:val="center"/>
          </w:tcPr>
          <w:p w14:paraId="2098E40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评分标准说明</w:t>
            </w:r>
          </w:p>
        </w:tc>
      </w:tr>
      <w:tr w14:paraId="336F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82" w:type="dxa"/>
            <w:vAlign w:val="center"/>
          </w:tcPr>
          <w:p w14:paraId="65A8A77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1</w:t>
            </w:r>
          </w:p>
        </w:tc>
        <w:tc>
          <w:tcPr>
            <w:tcW w:w="2836" w:type="dxa"/>
            <w:vAlign w:val="center"/>
          </w:tcPr>
          <w:p w14:paraId="079E833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企业资质</w:t>
            </w:r>
          </w:p>
        </w:tc>
        <w:tc>
          <w:tcPr>
            <w:tcW w:w="815" w:type="dxa"/>
            <w:vAlign w:val="center"/>
          </w:tcPr>
          <w:p w14:paraId="4B304FD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themeColor="text1"/>
                <w:kern w:val="0"/>
                <w:sz w:val="28"/>
                <w:szCs w:val="28"/>
                <w:highlight w:val="none"/>
                <w:lang w:val="en-US"/>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20</w:t>
            </w:r>
          </w:p>
        </w:tc>
        <w:tc>
          <w:tcPr>
            <w:tcW w:w="4767" w:type="dxa"/>
            <w:vAlign w:val="center"/>
          </w:tcPr>
          <w:p w14:paraId="30DDCF3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vertAlign w:val="baseline"/>
                <w:lang w:val="en-US" w:eastAsia="zh-CN"/>
                <w14:textFill>
                  <w14:solidFill>
                    <w14:schemeClr w14:val="tx1"/>
                  </w14:solidFill>
                </w14:textFill>
              </w:rPr>
              <w:t>供应商符合公开询价文件要求，具备以下证书：</w:t>
            </w:r>
          </w:p>
          <w:p w14:paraId="0D70C97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vertAlign w:val="baseline"/>
                <w:lang w:val="en-US" w:eastAsia="zh-CN"/>
                <w14:textFill>
                  <w14:solidFill>
                    <w14:schemeClr w14:val="tx1"/>
                  </w14:solidFill>
                </w14:textFill>
              </w:rPr>
              <w:t>具有通信类或软件类企业资质（如CMMI、ITSS等）（10分）</w:t>
            </w:r>
          </w:p>
          <w:p w14:paraId="492F122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vertAlign w:val="baseline"/>
                <w:lang w:val="en-US" w:eastAsia="zh-CN"/>
                <w14:textFill>
                  <w14:solidFill>
                    <w14:schemeClr w14:val="tx1"/>
                  </w14:solidFill>
                </w14:textFill>
              </w:rPr>
              <w:t>信息技术服务管理体系认证证书（ISO/IEC 20000）（10分）</w:t>
            </w:r>
          </w:p>
          <w:p w14:paraId="3C623D2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vertAlign w:val="baseline"/>
                <w:lang w:val="en-US" w:eastAsia="zh-CN"/>
                <w14:textFill>
                  <w14:solidFill>
                    <w14:schemeClr w14:val="tx1"/>
                  </w14:solidFill>
                </w14:textFill>
              </w:rPr>
              <w:t>其他信息技术服务相关认证证书（5分）</w:t>
            </w:r>
          </w:p>
          <w:p w14:paraId="016742B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28"/>
                <w:szCs w:val="28"/>
                <w:highlight w:val="none"/>
                <w:lang w:val="en-US"/>
                <w14:textFill>
                  <w14:solidFill>
                    <w14:schemeClr w14:val="tx1"/>
                  </w14:solidFill>
                </w14:textFill>
              </w:rPr>
            </w:pPr>
            <w:r>
              <w:rPr>
                <w:rFonts w:hint="eastAsia" w:ascii="仿宋_GB2312" w:hAnsi="仿宋_GB2312" w:eastAsia="仿宋_GB2312" w:cs="仿宋_GB2312"/>
                <w:color w:val="000000" w:themeColor="text1"/>
                <w:sz w:val="28"/>
                <w:szCs w:val="28"/>
                <w:highlight w:val="none"/>
                <w:vertAlign w:val="baseline"/>
                <w:lang w:val="en-US" w:eastAsia="zh-CN"/>
                <w14:textFill>
                  <w14:solidFill>
                    <w14:schemeClr w14:val="tx1"/>
                  </w14:solidFill>
                </w14:textFill>
              </w:rPr>
              <w:t>以上证书每有1个按对应分值计分，最多得20分。同一类型证书不重复计分。</w:t>
            </w:r>
          </w:p>
        </w:tc>
      </w:tr>
      <w:tr w14:paraId="0946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82" w:type="dxa"/>
            <w:vAlign w:val="center"/>
          </w:tcPr>
          <w:p w14:paraId="3F7DC07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2</w:t>
            </w:r>
          </w:p>
        </w:tc>
        <w:tc>
          <w:tcPr>
            <w:tcW w:w="2836" w:type="dxa"/>
            <w:vAlign w:val="center"/>
          </w:tcPr>
          <w:p w14:paraId="3918A5B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供应商项目业绩</w:t>
            </w:r>
          </w:p>
        </w:tc>
        <w:tc>
          <w:tcPr>
            <w:tcW w:w="815" w:type="dxa"/>
            <w:vAlign w:val="center"/>
          </w:tcPr>
          <w:p w14:paraId="127C7A3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10</w:t>
            </w:r>
          </w:p>
        </w:tc>
        <w:tc>
          <w:tcPr>
            <w:tcW w:w="4767" w:type="dxa"/>
            <w:vAlign w:val="center"/>
          </w:tcPr>
          <w:p w14:paraId="0BD26EF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供应商自20</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年1月1日的同类</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或相似</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项目业绩，每有1个得2分，最多得10分。</w:t>
            </w:r>
          </w:p>
        </w:tc>
      </w:tr>
      <w:tr w14:paraId="2DFB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82" w:type="dxa"/>
            <w:vAlign w:val="center"/>
          </w:tcPr>
          <w:p w14:paraId="629059E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3</w:t>
            </w:r>
          </w:p>
        </w:tc>
        <w:tc>
          <w:tcPr>
            <w:tcW w:w="2836" w:type="dxa"/>
            <w:vAlign w:val="center"/>
          </w:tcPr>
          <w:p w14:paraId="50CF6C5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响应文件对比选文件第</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二</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章“采购需求”</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中主要服务内容及技术要求</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的响应程度</w:t>
            </w:r>
          </w:p>
        </w:tc>
        <w:tc>
          <w:tcPr>
            <w:tcW w:w="815" w:type="dxa"/>
            <w:vAlign w:val="center"/>
          </w:tcPr>
          <w:p w14:paraId="031DBDB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30</w:t>
            </w:r>
          </w:p>
        </w:tc>
        <w:tc>
          <w:tcPr>
            <w:tcW w:w="4767" w:type="dxa"/>
            <w:vAlign w:val="center"/>
          </w:tcPr>
          <w:p w14:paraId="4751954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供应商提供实施方案、技术设计等内容响应情况（满分30分）：</w:t>
            </w:r>
          </w:p>
          <w:p w14:paraId="4B2D1BA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完全满足比选文件第二章</w:t>
            </w:r>
            <w:r>
              <w:rPr>
                <w:rFonts w:hint="eastAsia" w:ascii="仿宋_GB2312" w:hAnsi="仿宋_GB2312" w:eastAsia="仿宋_GB2312" w:cs="仿宋_GB2312"/>
                <w:bCs/>
                <w:sz w:val="28"/>
                <w:szCs w:val="28"/>
                <w:highlight w:val="none"/>
              </w:rPr>
              <w:t>“采购需求”</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中主要服务内容及技术要求，得30分；</w:t>
            </w:r>
          </w:p>
          <w:p w14:paraId="0869AFDE">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基本满足，存在轻微偏差（不影响项目实施），得20-29分；</w:t>
            </w:r>
          </w:p>
          <w:p w14:paraId="42A00BA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部分满足，存在一般偏差（对项目实施有一定影响），得10-19分；</w:t>
            </w:r>
          </w:p>
          <w:p w14:paraId="31523D2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不满足，存在重大偏差（影响项目实施），得0-9分。</w:t>
            </w:r>
          </w:p>
        </w:tc>
      </w:tr>
      <w:tr w14:paraId="14C2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82" w:type="dxa"/>
            <w:vAlign w:val="center"/>
          </w:tcPr>
          <w:p w14:paraId="79462B1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4</w:t>
            </w:r>
          </w:p>
        </w:tc>
        <w:tc>
          <w:tcPr>
            <w:tcW w:w="2836" w:type="dxa"/>
            <w:shd w:val="clear" w:color="auto" w:fill="auto"/>
            <w:vAlign w:val="center"/>
          </w:tcPr>
          <w:p w14:paraId="77C730C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项目实施团队</w:t>
            </w:r>
          </w:p>
        </w:tc>
        <w:tc>
          <w:tcPr>
            <w:tcW w:w="815" w:type="dxa"/>
            <w:shd w:val="clear" w:color="auto" w:fill="auto"/>
            <w:vAlign w:val="center"/>
          </w:tcPr>
          <w:p w14:paraId="0C608A5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10</w:t>
            </w:r>
          </w:p>
        </w:tc>
        <w:tc>
          <w:tcPr>
            <w:tcW w:w="4767" w:type="dxa"/>
            <w:shd w:val="clear" w:color="auto" w:fill="auto"/>
            <w:vAlign w:val="center"/>
          </w:tcPr>
          <w:p w14:paraId="0FA9CB1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项目实施团队人员配置（满分10分）：</w:t>
            </w:r>
          </w:p>
          <w:p w14:paraId="308148F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项目经理具有3年以上信息系统运维项目管理经验（2分），持有PMP或信息系统项目管理师证书优先（1分）；</w:t>
            </w:r>
          </w:p>
          <w:p w14:paraId="40CA650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技术负责人具有3年以上短信平台或通讯网关系统运维经验（2分），持有系统架构设计师或网络工程师中级以上证书优先（1分）；</w:t>
            </w:r>
          </w:p>
          <w:p w14:paraId="0120B72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技术人员不少于1人，具有2年以上软件系统运维或技术支持经验。具备7×24小时应急响应能力，重大节假日期间须在线保障。（2分）；</w:t>
            </w:r>
          </w:p>
          <w:p w14:paraId="6BE6C8D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团队人员配置合理、专业齐全、分工明确（2分）。</w:t>
            </w:r>
          </w:p>
        </w:tc>
      </w:tr>
      <w:tr w14:paraId="19E6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82" w:type="dxa"/>
            <w:vAlign w:val="center"/>
          </w:tcPr>
          <w:p w14:paraId="09615A8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pPr>
            <w:r>
              <w:rPr>
                <w:rFonts w:hint="eastAsia" w:ascii="仿宋_GB2312" w:hAnsi="仿宋_GB2312" w:cs="仿宋_GB2312"/>
                <w:bCs/>
                <w:color w:val="000000" w:themeColor="text1"/>
                <w:sz w:val="28"/>
                <w:szCs w:val="28"/>
                <w:highlight w:val="none"/>
                <w:lang w:val="en-US" w:eastAsia="zh-CN"/>
                <w14:textFill>
                  <w14:solidFill>
                    <w14:schemeClr w14:val="tx1"/>
                  </w14:solidFill>
                </w14:textFill>
              </w:rPr>
              <w:t>5</w:t>
            </w:r>
          </w:p>
        </w:tc>
        <w:tc>
          <w:tcPr>
            <w:tcW w:w="2836" w:type="dxa"/>
            <w:shd w:val="clear" w:color="auto" w:fill="auto"/>
            <w:vAlign w:val="center"/>
          </w:tcPr>
          <w:p w14:paraId="21EC43D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价格 </w:t>
            </w:r>
          </w:p>
        </w:tc>
        <w:tc>
          <w:tcPr>
            <w:tcW w:w="815" w:type="dxa"/>
            <w:shd w:val="clear" w:color="auto" w:fill="auto"/>
            <w:vAlign w:val="center"/>
          </w:tcPr>
          <w:p w14:paraId="53C9751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Cs/>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30</w:t>
            </w:r>
          </w:p>
        </w:tc>
        <w:tc>
          <w:tcPr>
            <w:tcW w:w="4767" w:type="dxa"/>
            <w:shd w:val="clear" w:color="auto" w:fill="auto"/>
            <w:vAlign w:val="center"/>
          </w:tcPr>
          <w:p w14:paraId="7459FC6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价格分采用低价优先法计算，在有效报价的基础上确定评审基准价，即满足询价比选文件要求且价格最低的报价为评审基准价，其价格分为满分30分：</w:t>
            </w:r>
          </w:p>
          <w:p w14:paraId="6031766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评审基准价=满足询价比选文件要求且价格最低的报价</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p>
          <w:p w14:paraId="5697781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其他供应商的价格分按照下列公式计算：</w:t>
            </w:r>
          </w:p>
          <w:p w14:paraId="49FF4DD1">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报价得分=（评审基准价/报价）×30</w:t>
            </w:r>
          </w:p>
        </w:tc>
      </w:tr>
      <w:tr w14:paraId="73E7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618" w:type="dxa"/>
            <w:gridSpan w:val="2"/>
            <w:vAlign w:val="center"/>
          </w:tcPr>
          <w:p w14:paraId="67CE00E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合计</w:t>
            </w:r>
          </w:p>
        </w:tc>
        <w:tc>
          <w:tcPr>
            <w:tcW w:w="815" w:type="dxa"/>
            <w:vAlign w:val="center"/>
          </w:tcPr>
          <w:p w14:paraId="04BE536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100</w:t>
            </w:r>
          </w:p>
        </w:tc>
        <w:tc>
          <w:tcPr>
            <w:tcW w:w="4767" w:type="dxa"/>
            <w:vAlign w:val="center"/>
          </w:tcPr>
          <w:p w14:paraId="1008BAB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p>
        </w:tc>
      </w:tr>
    </w:tbl>
    <w:p w14:paraId="4062112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注：供应商在提供业绩证明时必须提供证明其真实性的合同复印件（必须包括合同首页、含有项目名称的页面、金额页以及签章页），认定时间以合同签订时间为准。</w:t>
      </w:r>
    </w:p>
    <w:p w14:paraId="4299F69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77D353D8">
      <w:pPr>
        <w:spacing w:line="360" w:lineRule="auto"/>
        <w:jc w:val="center"/>
        <w:outlineLvl w:val="0"/>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第四章   响应文件格式</w:t>
      </w:r>
    </w:p>
    <w:p w14:paraId="48B0C736">
      <w:pPr>
        <w:spacing w:line="360" w:lineRule="auto"/>
        <w:jc w:val="center"/>
        <w:outlineLvl w:val="0"/>
        <w:rPr>
          <w:rFonts w:hint="eastAsia" w:ascii="黑体" w:hAnsi="黑体" w:eastAsia="黑体" w:cs="黑体"/>
          <w:b w:val="0"/>
          <w:bCs/>
          <w:color w:val="000000" w:themeColor="text1"/>
          <w:sz w:val="32"/>
          <w:szCs w:val="32"/>
          <w:highlight w:val="none"/>
          <w14:textFill>
            <w14:solidFill>
              <w14:schemeClr w14:val="tx1"/>
            </w14:solidFill>
          </w14:textFill>
        </w:rPr>
      </w:pPr>
    </w:p>
    <w:p w14:paraId="27D8FE85">
      <w:pPr>
        <w:widowControl/>
        <w:jc w:val="left"/>
        <w:rPr>
          <w:rFonts w:hint="eastAsia" w:ascii="Times New Roman"/>
          <w:b/>
          <w:bCs/>
          <w:color w:val="000000" w:themeColor="text1"/>
          <w:sz w:val="28"/>
          <w:szCs w:val="28"/>
          <w:highlight w:val="none"/>
          <w:u w:val="none"/>
          <w14:textFill>
            <w14:solidFill>
              <w14:schemeClr w14:val="tx1"/>
            </w14:solidFill>
          </w14:textFill>
        </w:rPr>
      </w:pPr>
      <w:r>
        <w:rPr>
          <w:rFonts w:hint="eastAsia"/>
          <w:b/>
          <w:bCs/>
          <w:color w:val="000000" w:themeColor="text1"/>
          <w:sz w:val="28"/>
          <w:szCs w:val="28"/>
          <w:highlight w:val="none"/>
          <w:u w:val="none"/>
          <w:lang w:val="en-US" w:eastAsia="zh-CN"/>
          <w14:textFill>
            <w14:solidFill>
              <w14:schemeClr w14:val="tx1"/>
            </w14:solidFill>
          </w14:textFill>
        </w:rPr>
        <w:t xml:space="preserve">一、 </w:t>
      </w:r>
      <w:r>
        <w:rPr>
          <w:rFonts w:hint="eastAsia" w:ascii="Times New Roman"/>
          <w:b/>
          <w:bCs/>
          <w:color w:val="000000" w:themeColor="text1"/>
          <w:sz w:val="28"/>
          <w:szCs w:val="28"/>
          <w:highlight w:val="none"/>
          <w:u w:val="none"/>
          <w14:textFill>
            <w14:solidFill>
              <w14:schemeClr w14:val="tx1"/>
            </w14:solidFill>
          </w14:textFill>
        </w:rPr>
        <w:t>申请人联系信息表</w:t>
      </w:r>
    </w:p>
    <w:p w14:paraId="41C1B3B5">
      <w:pPr>
        <w:widowControl/>
        <w:jc w:val="left"/>
        <w:rPr>
          <w:rFonts w:hint="eastAsia" w:ascii="Times New Roman"/>
          <w:color w:val="000000" w:themeColor="text1"/>
          <w:sz w:val="28"/>
          <w:szCs w:val="28"/>
          <w:highlight w:val="none"/>
          <w:u w:val="none"/>
          <w14:textFill>
            <w14:solidFill>
              <w14:schemeClr w14:val="tx1"/>
            </w14:solidFill>
          </w14:textFill>
        </w:rPr>
      </w:pPr>
    </w:p>
    <w:p w14:paraId="070DD00B">
      <w:pPr>
        <w:snapToGrid w:val="0"/>
        <w:ind w:firstLine="880"/>
        <w:jc w:val="center"/>
        <w:rPr>
          <w:rFonts w:eastAsia="等线"/>
          <w:b/>
          <w:bCs/>
          <w:color w:val="000000" w:themeColor="text1"/>
          <w:sz w:val="32"/>
          <w:szCs w:val="32"/>
          <w:highlight w:val="none"/>
          <w:lang w:val="zh-TW"/>
          <w14:textFill>
            <w14:solidFill>
              <w14:schemeClr w14:val="tx1"/>
            </w14:solidFill>
          </w14:textFill>
        </w:rPr>
      </w:pPr>
      <w:r>
        <w:rPr>
          <w:rFonts w:eastAsia="等线"/>
          <w:b/>
          <w:bCs/>
          <w:color w:val="000000" w:themeColor="text1"/>
          <w:sz w:val="32"/>
          <w:szCs w:val="32"/>
          <w:highlight w:val="none"/>
          <w:lang w:val="zh-TW"/>
          <w14:textFill>
            <w14:solidFill>
              <w14:schemeClr w14:val="tx1"/>
            </w14:solidFill>
          </w14:textFill>
        </w:rPr>
        <w:t>申请人联系信息表</w:t>
      </w:r>
    </w:p>
    <w:p w14:paraId="7E3C259B">
      <w:pPr>
        <w:snapToGrid w:val="0"/>
        <w:ind w:firstLine="880"/>
        <w:jc w:val="center"/>
        <w:rPr>
          <w:rFonts w:eastAsia="等线"/>
          <w:b/>
          <w:bCs/>
          <w:color w:val="000000" w:themeColor="text1"/>
          <w:sz w:val="44"/>
          <w:szCs w:val="44"/>
          <w:highlight w:val="none"/>
          <w:lang w:val="zh-TW"/>
          <w14:textFill>
            <w14:solidFill>
              <w14:schemeClr w14:val="tx1"/>
            </w14:solidFill>
          </w14:textFill>
        </w:rPr>
      </w:pPr>
    </w:p>
    <w:tbl>
      <w:tblPr>
        <w:tblStyle w:val="13"/>
        <w:tblW w:w="878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6838"/>
      </w:tblGrid>
      <w:tr w14:paraId="2C038B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21" w:hRule="atLeast"/>
          <w:jc w:val="center"/>
        </w:trPr>
        <w:tc>
          <w:tcPr>
            <w:tcW w:w="1942" w:type="dxa"/>
            <w:noWrap w:val="0"/>
            <w:vAlign w:val="center"/>
          </w:tcPr>
          <w:p w14:paraId="18E89355">
            <w:pPr>
              <w:jc w:val="center"/>
              <w:rPr>
                <w:rFonts w:eastAsia="等线"/>
                <w:color w:val="000000" w:themeColor="text1"/>
                <w:sz w:val="22"/>
                <w:szCs w:val="22"/>
                <w:highlight w:val="none"/>
                <w14:textFill>
                  <w14:solidFill>
                    <w14:schemeClr w14:val="tx1"/>
                  </w14:solidFill>
                </w14:textFill>
              </w:rPr>
            </w:pPr>
            <w:r>
              <w:rPr>
                <w:rFonts w:eastAsia="等线"/>
                <w:color w:val="000000" w:themeColor="text1"/>
                <w:sz w:val="22"/>
                <w:szCs w:val="22"/>
                <w:highlight w:val="none"/>
                <w14:textFill>
                  <w14:solidFill>
                    <w14:schemeClr w14:val="tx1"/>
                  </w14:solidFill>
                </w14:textFill>
              </w:rPr>
              <w:t>项目名称</w:t>
            </w:r>
          </w:p>
        </w:tc>
        <w:tc>
          <w:tcPr>
            <w:tcW w:w="6838" w:type="dxa"/>
            <w:noWrap w:val="0"/>
            <w:vAlign w:val="center"/>
          </w:tcPr>
          <w:p w14:paraId="182BCBD6">
            <w:pPr>
              <w:rPr>
                <w:rFonts w:eastAsia="等线"/>
                <w:color w:val="000000" w:themeColor="text1"/>
                <w:sz w:val="22"/>
                <w:szCs w:val="22"/>
                <w:highlight w:val="none"/>
                <w14:textFill>
                  <w14:solidFill>
                    <w14:schemeClr w14:val="tx1"/>
                  </w14:solidFill>
                </w14:textFill>
              </w:rPr>
            </w:pPr>
          </w:p>
        </w:tc>
      </w:tr>
      <w:tr w14:paraId="2E92E5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942" w:type="dxa"/>
            <w:vMerge w:val="restart"/>
            <w:tcBorders>
              <w:right w:val="single" w:color="auto" w:sz="4" w:space="0"/>
            </w:tcBorders>
            <w:noWrap w:val="0"/>
            <w:vAlign w:val="center"/>
          </w:tcPr>
          <w:p w14:paraId="0ACED458">
            <w:pPr>
              <w:jc w:val="center"/>
              <w:rPr>
                <w:rFonts w:eastAsia="等线"/>
                <w:color w:val="000000" w:themeColor="text1"/>
                <w:sz w:val="22"/>
                <w:szCs w:val="22"/>
                <w:highlight w:val="none"/>
                <w14:textFill>
                  <w14:solidFill>
                    <w14:schemeClr w14:val="tx1"/>
                  </w14:solidFill>
                </w14:textFill>
              </w:rPr>
            </w:pPr>
            <w:r>
              <w:rPr>
                <w:rFonts w:eastAsia="等线"/>
                <w:color w:val="000000" w:themeColor="text1"/>
                <w:sz w:val="22"/>
                <w:szCs w:val="22"/>
                <w:highlight w:val="none"/>
                <w14:textFill>
                  <w14:solidFill>
                    <w14:schemeClr w14:val="tx1"/>
                  </w14:solidFill>
                </w14:textFill>
              </w:rPr>
              <w:t>投标人（申请人）</w:t>
            </w:r>
          </w:p>
          <w:p w14:paraId="563C00E7">
            <w:pPr>
              <w:jc w:val="center"/>
              <w:rPr>
                <w:rFonts w:eastAsia="等线"/>
                <w:color w:val="000000" w:themeColor="text1"/>
                <w:sz w:val="22"/>
                <w:szCs w:val="22"/>
                <w:highlight w:val="none"/>
                <w14:textFill>
                  <w14:solidFill>
                    <w14:schemeClr w14:val="tx1"/>
                  </w14:solidFill>
                </w14:textFill>
              </w:rPr>
            </w:pPr>
            <w:r>
              <w:rPr>
                <w:rFonts w:eastAsia="等线"/>
                <w:color w:val="000000" w:themeColor="text1"/>
                <w:sz w:val="22"/>
                <w:szCs w:val="22"/>
                <w:highlight w:val="none"/>
                <w14:textFill>
                  <w14:solidFill>
                    <w14:schemeClr w14:val="tx1"/>
                  </w14:solidFill>
                </w14:textFill>
              </w:rPr>
              <w:t>单位名称</w:t>
            </w:r>
          </w:p>
        </w:tc>
        <w:tc>
          <w:tcPr>
            <w:tcW w:w="6838" w:type="dxa"/>
            <w:tcBorders>
              <w:top w:val="single" w:color="auto" w:sz="6" w:space="0"/>
              <w:left w:val="single" w:color="auto" w:sz="4" w:space="0"/>
              <w:bottom w:val="nil"/>
            </w:tcBorders>
            <w:noWrap w:val="0"/>
            <w:vAlign w:val="center"/>
          </w:tcPr>
          <w:p w14:paraId="17B07993">
            <w:pPr>
              <w:rPr>
                <w:rFonts w:eastAsia="等线"/>
                <w:color w:val="000000" w:themeColor="text1"/>
                <w:sz w:val="22"/>
                <w:szCs w:val="22"/>
                <w:highlight w:val="none"/>
                <w14:textFill>
                  <w14:solidFill>
                    <w14:schemeClr w14:val="tx1"/>
                  </w14:solidFill>
                </w14:textFill>
              </w:rPr>
            </w:pPr>
          </w:p>
        </w:tc>
      </w:tr>
      <w:tr w14:paraId="32E933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 w:hRule="atLeast"/>
          <w:jc w:val="center"/>
        </w:trPr>
        <w:tc>
          <w:tcPr>
            <w:tcW w:w="1942" w:type="dxa"/>
            <w:vMerge w:val="continue"/>
            <w:tcBorders>
              <w:right w:val="single" w:color="auto" w:sz="4" w:space="0"/>
            </w:tcBorders>
            <w:noWrap w:val="0"/>
            <w:vAlign w:val="center"/>
          </w:tcPr>
          <w:p w14:paraId="5D58AB3D">
            <w:pPr>
              <w:jc w:val="center"/>
              <w:rPr>
                <w:rFonts w:eastAsia="等线"/>
                <w:color w:val="000000" w:themeColor="text1"/>
                <w:sz w:val="22"/>
                <w:szCs w:val="22"/>
                <w:highlight w:val="none"/>
                <w14:textFill>
                  <w14:solidFill>
                    <w14:schemeClr w14:val="tx1"/>
                  </w14:solidFill>
                </w14:textFill>
              </w:rPr>
            </w:pPr>
          </w:p>
        </w:tc>
        <w:tc>
          <w:tcPr>
            <w:tcW w:w="6838" w:type="dxa"/>
            <w:tcBorders>
              <w:top w:val="nil"/>
              <w:left w:val="single" w:color="auto" w:sz="4" w:space="0"/>
              <w:bottom w:val="single" w:color="auto" w:sz="6" w:space="0"/>
            </w:tcBorders>
            <w:noWrap w:val="0"/>
            <w:vAlign w:val="center"/>
          </w:tcPr>
          <w:p w14:paraId="5C23F9A8">
            <w:pPr>
              <w:rPr>
                <w:rFonts w:eastAsia="等线"/>
                <w:color w:val="000000" w:themeColor="text1"/>
                <w:sz w:val="20"/>
                <w:szCs w:val="20"/>
                <w:highlight w:val="none"/>
                <w14:textFill>
                  <w14:solidFill>
                    <w14:schemeClr w14:val="tx1"/>
                  </w14:solidFill>
                </w14:textFill>
              </w:rPr>
            </w:pPr>
            <w:r>
              <w:rPr>
                <w:rFonts w:eastAsia="等线"/>
                <w:color w:val="000000" w:themeColor="text1"/>
                <w:sz w:val="20"/>
                <w:szCs w:val="20"/>
                <w:highlight w:val="none"/>
                <w14:textFill>
                  <w14:solidFill>
                    <w14:schemeClr w14:val="tx1"/>
                  </w14:solidFill>
                </w14:textFill>
              </w:rPr>
              <w:t>填写单位全称，应与营业执照或法人登记证或组织机构代码证或其他有效证明文件一致</w:t>
            </w:r>
          </w:p>
        </w:tc>
      </w:tr>
      <w:tr w14:paraId="6546D9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1942" w:type="dxa"/>
            <w:vMerge w:val="restart"/>
            <w:tcBorders>
              <w:right w:val="single" w:color="auto" w:sz="4" w:space="0"/>
            </w:tcBorders>
            <w:noWrap w:val="0"/>
            <w:vAlign w:val="center"/>
          </w:tcPr>
          <w:p w14:paraId="5172951B">
            <w:pPr>
              <w:jc w:val="center"/>
              <w:rPr>
                <w:rFonts w:eastAsia="等线"/>
                <w:color w:val="000000" w:themeColor="text1"/>
                <w:sz w:val="22"/>
                <w:szCs w:val="22"/>
                <w:highlight w:val="none"/>
                <w14:textFill>
                  <w14:solidFill>
                    <w14:schemeClr w14:val="tx1"/>
                  </w14:solidFill>
                </w14:textFill>
              </w:rPr>
            </w:pPr>
            <w:r>
              <w:rPr>
                <w:rFonts w:eastAsia="等线"/>
                <w:color w:val="000000" w:themeColor="text1"/>
                <w:sz w:val="22"/>
                <w:szCs w:val="22"/>
                <w:highlight w:val="none"/>
                <w14:textFill>
                  <w14:solidFill>
                    <w14:schemeClr w14:val="tx1"/>
                  </w14:solidFill>
                </w14:textFill>
              </w:rPr>
              <w:t>项目联系人</w:t>
            </w:r>
          </w:p>
        </w:tc>
        <w:tc>
          <w:tcPr>
            <w:tcW w:w="6838" w:type="dxa"/>
            <w:tcBorders>
              <w:top w:val="single" w:color="auto" w:sz="6" w:space="0"/>
              <w:left w:val="single" w:color="auto" w:sz="4" w:space="0"/>
              <w:bottom w:val="nil"/>
            </w:tcBorders>
            <w:noWrap w:val="0"/>
            <w:vAlign w:val="center"/>
          </w:tcPr>
          <w:p w14:paraId="67FBE322">
            <w:pPr>
              <w:rPr>
                <w:rFonts w:eastAsia="等线"/>
                <w:color w:val="000000" w:themeColor="text1"/>
                <w:sz w:val="22"/>
                <w:szCs w:val="22"/>
                <w:highlight w:val="none"/>
                <w14:textFill>
                  <w14:solidFill>
                    <w14:schemeClr w14:val="tx1"/>
                  </w14:solidFill>
                </w14:textFill>
              </w:rPr>
            </w:pPr>
          </w:p>
        </w:tc>
      </w:tr>
      <w:tr w14:paraId="5397AA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0" w:hRule="atLeast"/>
          <w:jc w:val="center"/>
        </w:trPr>
        <w:tc>
          <w:tcPr>
            <w:tcW w:w="1942" w:type="dxa"/>
            <w:vMerge w:val="continue"/>
            <w:tcBorders>
              <w:right w:val="single" w:color="auto" w:sz="4" w:space="0"/>
            </w:tcBorders>
            <w:noWrap w:val="0"/>
            <w:vAlign w:val="center"/>
          </w:tcPr>
          <w:p w14:paraId="37A4EC51">
            <w:pPr>
              <w:jc w:val="center"/>
              <w:rPr>
                <w:rFonts w:eastAsia="等线"/>
                <w:color w:val="000000" w:themeColor="text1"/>
                <w:sz w:val="22"/>
                <w:szCs w:val="22"/>
                <w:highlight w:val="none"/>
                <w14:textFill>
                  <w14:solidFill>
                    <w14:schemeClr w14:val="tx1"/>
                  </w14:solidFill>
                </w14:textFill>
              </w:rPr>
            </w:pPr>
          </w:p>
        </w:tc>
        <w:tc>
          <w:tcPr>
            <w:tcW w:w="6838" w:type="dxa"/>
            <w:tcBorders>
              <w:top w:val="nil"/>
              <w:left w:val="single" w:color="auto" w:sz="4" w:space="0"/>
              <w:bottom w:val="single" w:color="auto" w:sz="6" w:space="0"/>
            </w:tcBorders>
            <w:noWrap w:val="0"/>
            <w:vAlign w:val="center"/>
          </w:tcPr>
          <w:p w14:paraId="4672BCB1">
            <w:pPr>
              <w:rPr>
                <w:rFonts w:eastAsia="等线"/>
                <w:color w:val="000000" w:themeColor="text1"/>
                <w:sz w:val="20"/>
                <w:szCs w:val="20"/>
                <w:highlight w:val="none"/>
                <w14:textFill>
                  <w14:solidFill>
                    <w14:schemeClr w14:val="tx1"/>
                  </w14:solidFill>
                </w14:textFill>
              </w:rPr>
            </w:pPr>
            <w:r>
              <w:rPr>
                <w:rFonts w:eastAsia="等线"/>
                <w:color w:val="000000" w:themeColor="text1"/>
                <w:sz w:val="20"/>
                <w:szCs w:val="20"/>
                <w:highlight w:val="none"/>
                <w14:textFill>
                  <w14:solidFill>
                    <w14:schemeClr w14:val="tx1"/>
                  </w14:solidFill>
                </w14:textFill>
              </w:rPr>
              <w:t>填写本项目的项目经理或具体负责人</w:t>
            </w:r>
          </w:p>
        </w:tc>
      </w:tr>
      <w:tr w14:paraId="72622E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942" w:type="dxa"/>
            <w:noWrap w:val="0"/>
            <w:vAlign w:val="center"/>
          </w:tcPr>
          <w:p w14:paraId="20F0DCD4">
            <w:pPr>
              <w:jc w:val="center"/>
              <w:rPr>
                <w:rFonts w:eastAsia="等线"/>
                <w:color w:val="000000" w:themeColor="text1"/>
                <w:sz w:val="22"/>
                <w:szCs w:val="22"/>
                <w:highlight w:val="none"/>
                <w14:textFill>
                  <w14:solidFill>
                    <w14:schemeClr w14:val="tx1"/>
                  </w14:solidFill>
                </w14:textFill>
              </w:rPr>
            </w:pPr>
            <w:r>
              <w:rPr>
                <w:rFonts w:eastAsia="等线"/>
                <w:color w:val="000000" w:themeColor="text1"/>
                <w:sz w:val="22"/>
                <w:szCs w:val="22"/>
                <w:highlight w:val="none"/>
                <w14:textFill>
                  <w14:solidFill>
                    <w14:schemeClr w14:val="tx1"/>
                  </w14:solidFill>
                </w14:textFill>
              </w:rPr>
              <w:t>移动电话</w:t>
            </w:r>
          </w:p>
        </w:tc>
        <w:tc>
          <w:tcPr>
            <w:tcW w:w="6838" w:type="dxa"/>
            <w:noWrap w:val="0"/>
            <w:vAlign w:val="center"/>
          </w:tcPr>
          <w:p w14:paraId="5B73DF51">
            <w:pPr>
              <w:rPr>
                <w:rFonts w:eastAsia="等线"/>
                <w:color w:val="000000" w:themeColor="text1"/>
                <w:sz w:val="22"/>
                <w:szCs w:val="22"/>
                <w:highlight w:val="none"/>
                <w14:textFill>
                  <w14:solidFill>
                    <w14:schemeClr w14:val="tx1"/>
                  </w14:solidFill>
                </w14:textFill>
              </w:rPr>
            </w:pPr>
          </w:p>
        </w:tc>
      </w:tr>
      <w:tr w14:paraId="61F223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942" w:type="dxa"/>
            <w:noWrap w:val="0"/>
            <w:vAlign w:val="center"/>
          </w:tcPr>
          <w:p w14:paraId="508B6A14">
            <w:pPr>
              <w:jc w:val="center"/>
              <w:rPr>
                <w:rFonts w:eastAsia="等线"/>
                <w:color w:val="000000" w:themeColor="text1"/>
                <w:sz w:val="22"/>
                <w:szCs w:val="22"/>
                <w:highlight w:val="none"/>
                <w14:textFill>
                  <w14:solidFill>
                    <w14:schemeClr w14:val="tx1"/>
                  </w14:solidFill>
                </w14:textFill>
              </w:rPr>
            </w:pPr>
            <w:r>
              <w:rPr>
                <w:rFonts w:eastAsia="等线"/>
                <w:color w:val="000000" w:themeColor="text1"/>
                <w:sz w:val="22"/>
                <w:szCs w:val="22"/>
                <w:highlight w:val="none"/>
                <w14:textFill>
                  <w14:solidFill>
                    <w14:schemeClr w14:val="tx1"/>
                  </w14:solidFill>
                </w14:textFill>
              </w:rPr>
              <w:t>电子邮箱</w:t>
            </w:r>
          </w:p>
        </w:tc>
        <w:tc>
          <w:tcPr>
            <w:tcW w:w="6838" w:type="dxa"/>
            <w:noWrap w:val="0"/>
            <w:vAlign w:val="center"/>
          </w:tcPr>
          <w:p w14:paraId="4C626B9A">
            <w:pPr>
              <w:rPr>
                <w:rFonts w:eastAsia="等线"/>
                <w:color w:val="000000" w:themeColor="text1"/>
                <w:sz w:val="22"/>
                <w:szCs w:val="22"/>
                <w:highlight w:val="none"/>
                <w14:textFill>
                  <w14:solidFill>
                    <w14:schemeClr w14:val="tx1"/>
                  </w14:solidFill>
                </w14:textFill>
              </w:rPr>
            </w:pPr>
          </w:p>
        </w:tc>
      </w:tr>
    </w:tbl>
    <w:p w14:paraId="639A77A1">
      <w:pPr>
        <w:widowControl/>
        <w:jc w:val="left"/>
        <w:rPr>
          <w:rFonts w:ascii="Times New Roman"/>
          <w:color w:val="000000" w:themeColor="text1"/>
          <w:highlight w:val="none"/>
          <w:u w:val="none"/>
          <w14:textFill>
            <w14:solidFill>
              <w14:schemeClr w14:val="tx1"/>
            </w14:solidFill>
          </w14:textFill>
        </w:rPr>
      </w:pPr>
    </w:p>
    <w:p w14:paraId="095FD495">
      <w:pPr>
        <w:widowControl/>
        <w:jc w:val="left"/>
        <w:rPr>
          <w:rFonts w:ascii="Times New Roman"/>
          <w:color w:val="000000" w:themeColor="text1"/>
          <w:highlight w:val="none"/>
          <w:u w:val="none"/>
          <w14:textFill>
            <w14:solidFill>
              <w14:schemeClr w14:val="tx1"/>
            </w14:solidFill>
          </w14:textFill>
        </w:rPr>
      </w:pPr>
    </w:p>
    <w:p w14:paraId="0AC0C02C">
      <w:pPr>
        <w:widowControl/>
        <w:jc w:val="left"/>
        <w:rPr>
          <w:rFonts w:ascii="Times New Roman"/>
          <w:color w:val="000000" w:themeColor="text1"/>
          <w:highlight w:val="none"/>
          <w:u w:val="none"/>
          <w14:textFill>
            <w14:solidFill>
              <w14:schemeClr w14:val="tx1"/>
            </w14:solidFill>
          </w14:textFill>
        </w:rPr>
      </w:pPr>
    </w:p>
    <w:p w14:paraId="7CE9023B">
      <w:pPr>
        <w:widowControl/>
        <w:jc w:val="left"/>
        <w:rPr>
          <w:rFonts w:ascii="Times New Roman"/>
          <w:color w:val="000000" w:themeColor="text1"/>
          <w:highlight w:val="none"/>
          <w:u w:val="none"/>
          <w14:textFill>
            <w14:solidFill>
              <w14:schemeClr w14:val="tx1"/>
            </w14:solidFill>
          </w14:textFill>
        </w:rPr>
      </w:pPr>
    </w:p>
    <w:p w14:paraId="24409905">
      <w:pPr>
        <w:widowControl/>
        <w:jc w:val="left"/>
        <w:rPr>
          <w:rFonts w:ascii="Times New Roman"/>
          <w:color w:val="000000" w:themeColor="text1"/>
          <w:highlight w:val="none"/>
          <w:u w:val="none"/>
          <w14:textFill>
            <w14:solidFill>
              <w14:schemeClr w14:val="tx1"/>
            </w14:solidFill>
          </w14:textFill>
        </w:rPr>
      </w:pPr>
    </w:p>
    <w:p w14:paraId="64B721E1">
      <w:pPr>
        <w:widowControl/>
        <w:jc w:val="left"/>
        <w:rPr>
          <w:rFonts w:ascii="Times New Roman"/>
          <w:color w:val="000000" w:themeColor="text1"/>
          <w:highlight w:val="none"/>
          <w:u w:val="none"/>
          <w14:textFill>
            <w14:solidFill>
              <w14:schemeClr w14:val="tx1"/>
            </w14:solidFill>
          </w14:textFill>
        </w:rPr>
      </w:pPr>
    </w:p>
    <w:p w14:paraId="6E705969">
      <w:pPr>
        <w:widowControl/>
        <w:jc w:val="left"/>
        <w:rPr>
          <w:rFonts w:ascii="Times New Roman"/>
          <w:color w:val="000000" w:themeColor="text1"/>
          <w:highlight w:val="none"/>
          <w:u w:val="none"/>
          <w14:textFill>
            <w14:solidFill>
              <w14:schemeClr w14:val="tx1"/>
            </w14:solidFill>
          </w14:textFill>
        </w:rPr>
      </w:pPr>
    </w:p>
    <w:p w14:paraId="216ABA60">
      <w:pPr>
        <w:widowControl/>
        <w:jc w:val="left"/>
        <w:rPr>
          <w:rFonts w:ascii="Times New Roman"/>
          <w:color w:val="000000" w:themeColor="text1"/>
          <w:highlight w:val="none"/>
          <w:u w:val="none"/>
          <w14:textFill>
            <w14:solidFill>
              <w14:schemeClr w14:val="tx1"/>
            </w14:solidFill>
          </w14:textFill>
        </w:rPr>
      </w:pPr>
    </w:p>
    <w:p w14:paraId="26C8D88F">
      <w:pPr>
        <w:widowControl/>
        <w:jc w:val="left"/>
        <w:rPr>
          <w:rFonts w:ascii="Times New Roman"/>
          <w:color w:val="000000" w:themeColor="text1"/>
          <w:highlight w:val="none"/>
          <w:u w:val="none"/>
          <w14:textFill>
            <w14:solidFill>
              <w14:schemeClr w14:val="tx1"/>
            </w14:solidFill>
          </w14:textFill>
        </w:rPr>
      </w:pPr>
    </w:p>
    <w:p w14:paraId="5F760FF3">
      <w:pPr>
        <w:widowControl/>
        <w:jc w:val="left"/>
        <w:rPr>
          <w:rFonts w:ascii="Times New Roman"/>
          <w:color w:val="000000" w:themeColor="text1"/>
          <w:highlight w:val="none"/>
          <w:u w:val="none"/>
          <w14:textFill>
            <w14:solidFill>
              <w14:schemeClr w14:val="tx1"/>
            </w14:solidFill>
          </w14:textFill>
        </w:rPr>
      </w:pPr>
    </w:p>
    <w:p w14:paraId="113668BA">
      <w:pPr>
        <w:widowControl/>
        <w:jc w:val="left"/>
        <w:rPr>
          <w:rFonts w:ascii="Times New Roman"/>
          <w:color w:val="000000" w:themeColor="text1"/>
          <w:highlight w:val="none"/>
          <w:u w:val="none"/>
          <w14:textFill>
            <w14:solidFill>
              <w14:schemeClr w14:val="tx1"/>
            </w14:solidFill>
          </w14:textFill>
        </w:rPr>
      </w:pPr>
    </w:p>
    <w:p w14:paraId="7B653099">
      <w:pPr>
        <w:rPr>
          <w:rFonts w:hint="eastAsia"/>
          <w:b/>
          <w:bCs/>
          <w:color w:val="000000" w:themeColor="text1"/>
          <w:highlight w:val="none"/>
          <w:u w:val="none"/>
          <w:lang w:val="en-US" w:eastAsia="zh-CN"/>
          <w14:textFill>
            <w14:solidFill>
              <w14:schemeClr w14:val="tx1"/>
            </w14:solidFill>
          </w14:textFill>
        </w:rPr>
      </w:pPr>
      <w:r>
        <w:rPr>
          <w:rFonts w:hint="eastAsia"/>
          <w:b/>
          <w:bCs/>
          <w:color w:val="000000" w:themeColor="text1"/>
          <w:highlight w:val="none"/>
          <w:u w:val="none"/>
          <w:lang w:val="en-US" w:eastAsia="zh-CN"/>
          <w14:textFill>
            <w14:solidFill>
              <w14:schemeClr w14:val="tx1"/>
            </w14:solidFill>
          </w14:textFill>
        </w:rPr>
        <w:br w:type="page"/>
      </w:r>
    </w:p>
    <w:p w14:paraId="7D6A203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Times New Roman"/>
          <w:b/>
          <w:bCs/>
          <w:color w:val="000000" w:themeColor="text1"/>
          <w:sz w:val="28"/>
          <w:szCs w:val="28"/>
          <w:highlight w:val="none"/>
          <w:u w:val="none"/>
          <w14:textFill>
            <w14:solidFill>
              <w14:schemeClr w14:val="tx1"/>
            </w14:solidFill>
          </w14:textFill>
        </w:rPr>
      </w:pPr>
      <w:r>
        <w:rPr>
          <w:rFonts w:hint="eastAsia"/>
          <w:b/>
          <w:bCs/>
          <w:color w:val="000000" w:themeColor="text1"/>
          <w:sz w:val="28"/>
          <w:szCs w:val="28"/>
          <w:highlight w:val="none"/>
          <w:u w:val="none"/>
          <w:lang w:val="en-US" w:eastAsia="zh-CN"/>
          <w14:textFill>
            <w14:solidFill>
              <w14:schemeClr w14:val="tx1"/>
            </w14:solidFill>
          </w14:textFill>
        </w:rPr>
        <w:t xml:space="preserve">二、 </w:t>
      </w:r>
      <w:r>
        <w:rPr>
          <w:rFonts w:ascii="Times New Roman"/>
          <w:b/>
          <w:bCs/>
          <w:color w:val="000000" w:themeColor="text1"/>
          <w:sz w:val="28"/>
          <w:szCs w:val="28"/>
          <w:highlight w:val="none"/>
          <w:u w:val="none"/>
          <w14:textFill>
            <w14:solidFill>
              <w14:schemeClr w14:val="tx1"/>
            </w14:solidFill>
          </w14:textFill>
        </w:rPr>
        <w:t>供应商营业执照</w:t>
      </w:r>
    </w:p>
    <w:p w14:paraId="118EDFEF">
      <w:pPr>
        <w:keepNext w:val="0"/>
        <w:keepLines w:val="0"/>
        <w:pageBreakBefore w:val="0"/>
        <w:tabs>
          <w:tab w:val="left" w:pos="540"/>
          <w:tab w:val="left" w:pos="567"/>
          <w:tab w:val="left" w:pos="6045"/>
        </w:tabs>
        <w:kinsoku/>
        <w:wordWrap/>
        <w:overflowPunct/>
        <w:topLinePunct w:val="0"/>
        <w:autoSpaceDE/>
        <w:autoSpaceDN/>
        <w:bidi w:val="0"/>
        <w:adjustRightInd/>
        <w:snapToGrid/>
        <w:spacing w:line="560" w:lineRule="exact"/>
        <w:ind w:left="424" w:leftChars="202" w:firstLine="61" w:firstLineChars="22"/>
        <w:contextualSpacing/>
        <w:textAlignment w:val="auto"/>
        <w:rPr>
          <w:color w:val="000000" w:themeColor="text1"/>
          <w:kern w:val="44"/>
          <w:sz w:val="28"/>
          <w:szCs w:val="28"/>
          <w:highlight w:val="none"/>
          <w14:textFill>
            <w14:solidFill>
              <w14:schemeClr w14:val="tx1"/>
            </w14:solidFill>
          </w14:textFill>
        </w:rPr>
      </w:pPr>
    </w:p>
    <w:p w14:paraId="23F96E68">
      <w:pPr>
        <w:keepNext w:val="0"/>
        <w:keepLines w:val="0"/>
        <w:pageBreakBefore w:val="0"/>
        <w:widowControl w:val="0"/>
        <w:tabs>
          <w:tab w:val="left" w:pos="540"/>
          <w:tab w:val="left" w:pos="567"/>
          <w:tab w:val="left" w:pos="6045"/>
        </w:tabs>
        <w:kinsoku/>
        <w:wordWrap/>
        <w:overflowPunct/>
        <w:topLinePunct w:val="0"/>
        <w:autoSpaceDE/>
        <w:autoSpaceDN/>
        <w:bidi w:val="0"/>
        <w:adjustRightInd/>
        <w:snapToGrid/>
        <w:spacing w:line="560" w:lineRule="exact"/>
        <w:ind w:left="0" w:leftChars="0" w:firstLine="560" w:firstLineChars="200"/>
        <w:contextualSpacing/>
        <w:textAlignment w:val="auto"/>
        <w:rPr>
          <w:color w:val="000000" w:themeColor="text1"/>
          <w:kern w:val="44"/>
          <w:sz w:val="28"/>
          <w:szCs w:val="28"/>
          <w:highlight w:val="none"/>
          <w14:textFill>
            <w14:solidFill>
              <w14:schemeClr w14:val="tx1"/>
            </w14:solidFill>
          </w14:textFill>
        </w:rPr>
      </w:pPr>
      <w:r>
        <w:rPr>
          <w:color w:val="000000" w:themeColor="text1"/>
          <w:kern w:val="44"/>
          <w:sz w:val="28"/>
          <w:szCs w:val="28"/>
          <w:highlight w:val="none"/>
          <w14:textFill>
            <w14:solidFill>
              <w14:schemeClr w14:val="tx1"/>
            </w14:solidFill>
          </w14:textFill>
        </w:rPr>
        <w:t>供应商如为企业法人，须提供企业法人营业执照；供应商如为事业单位或其他组织，须提供事业单位法人证书或登记证或组织机构代码证或其他有效证明文件。</w:t>
      </w:r>
    </w:p>
    <w:p w14:paraId="6EC2A01F">
      <w:pPr>
        <w:keepNext w:val="0"/>
        <w:keepLines w:val="0"/>
        <w:pageBreakBefore w:val="0"/>
        <w:widowControl/>
        <w:kinsoku/>
        <w:wordWrap/>
        <w:overflowPunct/>
        <w:topLinePunct w:val="0"/>
        <w:autoSpaceDE/>
        <w:autoSpaceDN/>
        <w:bidi w:val="0"/>
        <w:adjustRightInd/>
        <w:snapToGrid/>
        <w:spacing w:line="560" w:lineRule="exact"/>
        <w:jc w:val="left"/>
        <w:textAlignment w:val="auto"/>
        <w:rPr>
          <w:color w:val="000000" w:themeColor="text1"/>
          <w:kern w:val="44"/>
          <w:sz w:val="28"/>
          <w:szCs w:val="28"/>
          <w:highlight w:val="none"/>
          <w14:textFill>
            <w14:solidFill>
              <w14:schemeClr w14:val="tx1"/>
            </w14:solidFill>
          </w14:textFill>
        </w:rPr>
        <w:sectPr>
          <w:headerReference r:id="rId8" w:type="default"/>
          <w:footerReference r:id="rId9" w:type="default"/>
          <w:pgSz w:w="11907" w:h="16840"/>
          <w:pgMar w:top="1418" w:right="1134" w:bottom="1418" w:left="1701" w:header="851" w:footer="851" w:gutter="0"/>
          <w:pgNumType w:fmt="decimal" w:start="1"/>
          <w:cols w:space="720" w:num="1"/>
          <w:docGrid w:linePitch="462" w:charSpace="0"/>
        </w:sectPr>
      </w:pPr>
    </w:p>
    <w:p w14:paraId="0AC8DB76">
      <w:pPr>
        <w:widowControl/>
        <w:jc w:val="left"/>
        <w:rPr>
          <w:rFonts w:ascii="Times New Roman"/>
          <w:b w:val="0"/>
          <w:bCs/>
          <w:color w:val="000000" w:themeColor="text1"/>
          <w:sz w:val="28"/>
          <w:szCs w:val="36"/>
          <w:highlight w:val="none"/>
          <w:u w:val="none"/>
          <w14:textFill>
            <w14:solidFill>
              <w14:schemeClr w14:val="tx1"/>
            </w14:solidFill>
          </w14:textFill>
        </w:rPr>
      </w:pPr>
      <w:r>
        <w:rPr>
          <w:rFonts w:hint="eastAsia"/>
          <w:b/>
          <w:bCs/>
          <w:color w:val="000000" w:themeColor="text1"/>
          <w:sz w:val="28"/>
          <w:szCs w:val="36"/>
          <w:highlight w:val="none"/>
          <w:u w:val="none"/>
          <w:lang w:val="en-US" w:eastAsia="zh-CN"/>
          <w14:textFill>
            <w14:solidFill>
              <w14:schemeClr w14:val="tx1"/>
            </w14:solidFill>
          </w14:textFill>
        </w:rPr>
        <w:t>三、</w:t>
      </w:r>
      <w:r>
        <w:rPr>
          <w:rFonts w:ascii="Times New Roman"/>
          <w:b/>
          <w:bCs/>
          <w:color w:val="000000" w:themeColor="text1"/>
          <w:sz w:val="28"/>
          <w:szCs w:val="36"/>
          <w:highlight w:val="none"/>
          <w:u w:val="none"/>
          <w14:textFill>
            <w14:solidFill>
              <w14:schemeClr w14:val="tx1"/>
            </w14:solidFill>
          </w14:textFill>
        </w:rPr>
        <w:t xml:space="preserve"> 报价表</w:t>
      </w:r>
    </w:p>
    <w:p w14:paraId="335A76DE">
      <w:pPr>
        <w:rPr>
          <w:color w:val="000000" w:themeColor="text1"/>
          <w:highlight w:val="none"/>
          <w14:textFill>
            <w14:solidFill>
              <w14:schemeClr w14:val="tx1"/>
            </w14:solidFill>
          </w14:textFill>
        </w:rPr>
      </w:pPr>
    </w:p>
    <w:p w14:paraId="1851D194">
      <w:pPr>
        <w:pStyle w:val="8"/>
        <w:spacing w:line="360" w:lineRule="auto"/>
        <w:jc w:val="center"/>
        <w:rPr>
          <w:rFonts w:ascii="Times New Roman" w:hAnsi="Times New Roman"/>
          <w:color w:val="000000" w:themeColor="text1"/>
          <w:sz w:val="36"/>
          <w:highlight w:val="none"/>
          <w14:textFill>
            <w14:solidFill>
              <w14:schemeClr w14:val="tx1"/>
            </w14:solidFill>
          </w14:textFill>
        </w:rPr>
      </w:pPr>
      <w:r>
        <w:rPr>
          <w:rFonts w:ascii="Times New Roman" w:hAnsi="Times New Roman"/>
          <w:color w:val="000000" w:themeColor="text1"/>
          <w:sz w:val="36"/>
          <w:highlight w:val="none"/>
          <w14:textFill>
            <w14:solidFill>
              <w14:schemeClr w14:val="tx1"/>
            </w14:solidFill>
          </w14:textFill>
        </w:rPr>
        <w:t>报价表</w:t>
      </w:r>
    </w:p>
    <w:p w14:paraId="4151DA5F">
      <w:pPr>
        <w:tabs>
          <w:tab w:val="left" w:pos="1800"/>
          <w:tab w:val="left" w:pos="5580"/>
        </w:tabs>
        <w:spacing w:line="360" w:lineRule="auto"/>
        <w:ind w:firstLine="360" w:firstLineChars="150"/>
        <w:jc w:val="lef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14:paraId="61318292">
      <w:pPr>
        <w:tabs>
          <w:tab w:val="left" w:pos="1800"/>
          <w:tab w:val="left" w:pos="5580"/>
        </w:tabs>
        <w:spacing w:line="360" w:lineRule="auto"/>
        <w:ind w:firstLine="360" w:firstLineChars="150"/>
        <w:jc w:val="left"/>
        <w:rPr>
          <w:color w:val="000000" w:themeColor="text1"/>
          <w:sz w:val="24"/>
          <w:highlight w:val="none"/>
          <w14:textFill>
            <w14:solidFill>
              <w14:schemeClr w14:val="tx1"/>
            </w14:solidFill>
          </w14:textFill>
        </w:rPr>
      </w:pPr>
    </w:p>
    <w:tbl>
      <w:tblPr>
        <w:tblStyle w:val="13"/>
        <w:tblW w:w="5773" w:type="pct"/>
        <w:jc w:val="center"/>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67"/>
        <w:gridCol w:w="3517"/>
        <w:gridCol w:w="3889"/>
        <w:gridCol w:w="1279"/>
        <w:gridCol w:w="1347"/>
        <w:gridCol w:w="2662"/>
        <w:gridCol w:w="2125"/>
      </w:tblGrid>
      <w:tr w14:paraId="1CA31495">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22" w:type="pct"/>
            <w:vMerge w:val="restart"/>
            <w:noWrap w:val="0"/>
            <w:vAlign w:val="center"/>
          </w:tcPr>
          <w:p w14:paraId="6DD86E94">
            <w:pPr>
              <w:tabs>
                <w:tab w:val="left" w:pos="5580"/>
              </w:tabs>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序号</w:t>
            </w:r>
          </w:p>
        </w:tc>
        <w:tc>
          <w:tcPr>
            <w:tcW w:w="1086" w:type="pct"/>
            <w:vMerge w:val="restart"/>
            <w:noWrap w:val="0"/>
            <w:vAlign w:val="center"/>
          </w:tcPr>
          <w:p w14:paraId="40B67F61">
            <w:pPr>
              <w:tabs>
                <w:tab w:val="left" w:pos="5580"/>
              </w:tabs>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供应商名称</w:t>
            </w:r>
          </w:p>
        </w:tc>
        <w:tc>
          <w:tcPr>
            <w:tcW w:w="2012" w:type="pct"/>
            <w:gridSpan w:val="3"/>
            <w:noWrap w:val="0"/>
            <w:vAlign w:val="center"/>
          </w:tcPr>
          <w:p w14:paraId="3376DB6E">
            <w:pPr>
              <w:tabs>
                <w:tab w:val="left" w:pos="5580"/>
              </w:tabs>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报价</w:t>
            </w:r>
          </w:p>
        </w:tc>
        <w:tc>
          <w:tcPr>
            <w:tcW w:w="822" w:type="pct"/>
            <w:vMerge w:val="restart"/>
            <w:noWrap w:val="0"/>
            <w:vAlign w:val="center"/>
          </w:tcPr>
          <w:p w14:paraId="7EF7B996">
            <w:pPr>
              <w:tabs>
                <w:tab w:val="left" w:pos="5580"/>
              </w:tabs>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其他</w:t>
            </w:r>
          </w:p>
          <w:p w14:paraId="00D73EEB">
            <w:pPr>
              <w:tabs>
                <w:tab w:val="left" w:pos="5580"/>
              </w:tabs>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声明</w:t>
            </w:r>
          </w:p>
        </w:tc>
        <w:tc>
          <w:tcPr>
            <w:tcW w:w="656" w:type="pct"/>
            <w:vMerge w:val="restart"/>
            <w:noWrap w:val="0"/>
            <w:vAlign w:val="center"/>
          </w:tcPr>
          <w:p w14:paraId="05B74379">
            <w:pPr>
              <w:tabs>
                <w:tab w:val="left" w:pos="5580"/>
              </w:tabs>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备注</w:t>
            </w:r>
          </w:p>
        </w:tc>
      </w:tr>
      <w:tr w14:paraId="5468CFEB">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22" w:type="pct"/>
            <w:vMerge w:val="continue"/>
            <w:noWrap w:val="0"/>
            <w:vAlign w:val="center"/>
          </w:tcPr>
          <w:p w14:paraId="5191E890">
            <w:pPr>
              <w:tabs>
                <w:tab w:val="left" w:pos="5580"/>
              </w:tabs>
              <w:jc w:val="center"/>
              <w:rPr>
                <w:color w:val="000000" w:themeColor="text1"/>
                <w:sz w:val="24"/>
                <w:highlight w:val="none"/>
                <w14:textFill>
                  <w14:solidFill>
                    <w14:schemeClr w14:val="tx1"/>
                  </w14:solidFill>
                </w14:textFill>
              </w:rPr>
            </w:pPr>
          </w:p>
        </w:tc>
        <w:tc>
          <w:tcPr>
            <w:tcW w:w="1086" w:type="pct"/>
            <w:vMerge w:val="continue"/>
            <w:noWrap w:val="0"/>
            <w:vAlign w:val="center"/>
          </w:tcPr>
          <w:p w14:paraId="626295A2">
            <w:pPr>
              <w:tabs>
                <w:tab w:val="left" w:pos="5580"/>
              </w:tabs>
              <w:jc w:val="center"/>
              <w:rPr>
                <w:color w:val="000000" w:themeColor="text1"/>
                <w:sz w:val="24"/>
                <w:highlight w:val="none"/>
                <w14:textFill>
                  <w14:solidFill>
                    <w14:schemeClr w14:val="tx1"/>
                  </w14:solidFill>
                </w14:textFill>
              </w:rPr>
            </w:pPr>
          </w:p>
        </w:tc>
        <w:tc>
          <w:tcPr>
            <w:tcW w:w="1201" w:type="pct"/>
            <w:noWrap w:val="0"/>
            <w:vAlign w:val="center"/>
          </w:tcPr>
          <w:p w14:paraId="3CBD59C6">
            <w:pPr>
              <w:tabs>
                <w:tab w:val="left" w:pos="5580"/>
              </w:tabs>
              <w:jc w:val="center"/>
              <w:rPr>
                <w:rFonts w:hint="default" w:eastAsia="宋体"/>
                <w:b/>
                <w:color w:val="000000" w:themeColor="text1"/>
                <w:sz w:val="24"/>
                <w:highlight w:val="none"/>
                <w:lang w:val="en-US" w:eastAsia="zh-CN"/>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服务内容</w:t>
            </w:r>
          </w:p>
        </w:tc>
        <w:tc>
          <w:tcPr>
            <w:tcW w:w="395" w:type="pct"/>
            <w:noWrap w:val="0"/>
            <w:vAlign w:val="center"/>
          </w:tcPr>
          <w:p w14:paraId="5F21EFD0">
            <w:pPr>
              <w:tabs>
                <w:tab w:val="left" w:pos="5580"/>
              </w:tabs>
              <w:jc w:val="center"/>
              <w:rPr>
                <w:rFonts w:hint="eastAsia" w:eastAsia="宋体"/>
                <w:b/>
                <w:color w:val="000000" w:themeColor="text1"/>
                <w:sz w:val="24"/>
                <w:highlight w:val="none"/>
                <w:lang w:eastAsia="zh-CN"/>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服务价格</w:t>
            </w:r>
            <w:r>
              <w:rPr>
                <w:b/>
                <w:color w:val="000000" w:themeColor="text1"/>
                <w:sz w:val="24"/>
                <w:highlight w:val="none"/>
                <w14:textFill>
                  <w14:solidFill>
                    <w14:schemeClr w14:val="tx1"/>
                  </w14:solidFill>
                </w14:textFill>
              </w:rPr>
              <w:t>（元）</w:t>
            </w:r>
          </w:p>
        </w:tc>
        <w:tc>
          <w:tcPr>
            <w:tcW w:w="415" w:type="pct"/>
            <w:noWrap w:val="0"/>
            <w:vAlign w:val="center"/>
          </w:tcPr>
          <w:p w14:paraId="7EB55575">
            <w:pPr>
              <w:tabs>
                <w:tab w:val="left" w:pos="5580"/>
              </w:tabs>
              <w:jc w:val="center"/>
              <w:rPr>
                <w:rFonts w:hint="default" w:eastAsia="宋体"/>
                <w:b/>
                <w:color w:val="000000" w:themeColor="text1"/>
                <w:sz w:val="24"/>
                <w:highlight w:val="none"/>
                <w:lang w:val="en-US" w:eastAsia="zh-CN"/>
                <w14:textFill>
                  <w14:solidFill>
                    <w14:schemeClr w14:val="tx1"/>
                  </w14:solidFill>
                </w14:textFill>
              </w:rPr>
            </w:pPr>
            <w:r>
              <w:rPr>
                <w:rFonts w:hint="eastAsia"/>
                <w:b/>
                <w:color w:val="000000" w:themeColor="text1"/>
                <w:sz w:val="24"/>
                <w:highlight w:val="none"/>
                <w:lang w:val="en-US" w:eastAsia="zh-CN"/>
                <w14:textFill>
                  <w14:solidFill>
                    <w14:schemeClr w14:val="tx1"/>
                  </w14:solidFill>
                </w14:textFill>
              </w:rPr>
              <w:t>总额</w:t>
            </w:r>
            <w:r>
              <w:rPr>
                <w:b/>
                <w:color w:val="000000" w:themeColor="text1"/>
                <w:sz w:val="24"/>
                <w:highlight w:val="none"/>
                <w14:textFill>
                  <w14:solidFill>
                    <w14:schemeClr w14:val="tx1"/>
                  </w14:solidFill>
                </w14:textFill>
              </w:rPr>
              <w:t>（元）</w:t>
            </w:r>
          </w:p>
        </w:tc>
        <w:tc>
          <w:tcPr>
            <w:tcW w:w="822" w:type="pct"/>
            <w:vMerge w:val="continue"/>
            <w:noWrap w:val="0"/>
            <w:vAlign w:val="center"/>
          </w:tcPr>
          <w:p w14:paraId="58DAB5A4">
            <w:pPr>
              <w:tabs>
                <w:tab w:val="left" w:pos="5580"/>
              </w:tabs>
              <w:jc w:val="center"/>
              <w:rPr>
                <w:b/>
                <w:color w:val="000000" w:themeColor="text1"/>
                <w:sz w:val="24"/>
                <w:highlight w:val="none"/>
                <w14:textFill>
                  <w14:solidFill>
                    <w14:schemeClr w14:val="tx1"/>
                  </w14:solidFill>
                </w14:textFill>
              </w:rPr>
            </w:pPr>
          </w:p>
        </w:tc>
        <w:tc>
          <w:tcPr>
            <w:tcW w:w="656" w:type="pct"/>
            <w:vMerge w:val="continue"/>
            <w:noWrap w:val="0"/>
            <w:vAlign w:val="center"/>
          </w:tcPr>
          <w:p w14:paraId="659EB18F">
            <w:pPr>
              <w:tabs>
                <w:tab w:val="left" w:pos="5580"/>
              </w:tabs>
              <w:jc w:val="center"/>
              <w:rPr>
                <w:color w:val="000000" w:themeColor="text1"/>
                <w:sz w:val="24"/>
                <w:highlight w:val="none"/>
                <w14:textFill>
                  <w14:solidFill>
                    <w14:schemeClr w14:val="tx1"/>
                  </w14:solidFill>
                </w14:textFill>
              </w:rPr>
            </w:pPr>
          </w:p>
        </w:tc>
      </w:tr>
      <w:tr w14:paraId="0609AAC0">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22" w:type="pct"/>
            <w:vMerge w:val="restart"/>
            <w:noWrap w:val="0"/>
            <w:vAlign w:val="center"/>
          </w:tcPr>
          <w:p w14:paraId="2B02FAA6">
            <w:pPr>
              <w:tabs>
                <w:tab w:val="left" w:pos="5580"/>
              </w:tabs>
              <w:jc w:val="center"/>
              <w:rPr>
                <w:color w:val="000000" w:themeColor="text1"/>
                <w:sz w:val="24"/>
                <w:highlight w:val="none"/>
                <w14:textFill>
                  <w14:solidFill>
                    <w14:schemeClr w14:val="tx1"/>
                  </w14:solidFill>
                </w14:textFill>
              </w:rPr>
            </w:pPr>
          </w:p>
        </w:tc>
        <w:tc>
          <w:tcPr>
            <w:tcW w:w="1086" w:type="pct"/>
            <w:vMerge w:val="restart"/>
            <w:noWrap w:val="0"/>
            <w:vAlign w:val="center"/>
          </w:tcPr>
          <w:p w14:paraId="5DF04DDC">
            <w:pPr>
              <w:tabs>
                <w:tab w:val="left" w:pos="5580"/>
              </w:tabs>
              <w:jc w:val="center"/>
              <w:rPr>
                <w:color w:val="000000" w:themeColor="text1"/>
                <w:sz w:val="24"/>
                <w:highlight w:val="none"/>
                <w14:textFill>
                  <w14:solidFill>
                    <w14:schemeClr w14:val="tx1"/>
                  </w14:solidFill>
                </w14:textFill>
              </w:rPr>
            </w:pPr>
          </w:p>
        </w:tc>
        <w:tc>
          <w:tcPr>
            <w:tcW w:w="1201" w:type="pct"/>
            <w:noWrap w:val="0"/>
            <w:vAlign w:val="center"/>
          </w:tcPr>
          <w:p w14:paraId="418FC691">
            <w:pPr>
              <w:tabs>
                <w:tab w:val="left" w:pos="5580"/>
              </w:tabs>
              <w:jc w:val="center"/>
              <w:rPr>
                <w:color w:val="000000" w:themeColor="text1"/>
                <w:sz w:val="24"/>
                <w:highlight w:val="none"/>
                <w14:textFill>
                  <w14:solidFill>
                    <w14:schemeClr w14:val="tx1"/>
                  </w14:solidFill>
                </w14:textFill>
              </w:rPr>
            </w:pPr>
          </w:p>
        </w:tc>
        <w:tc>
          <w:tcPr>
            <w:tcW w:w="395" w:type="pct"/>
            <w:noWrap w:val="0"/>
            <w:vAlign w:val="center"/>
          </w:tcPr>
          <w:p w14:paraId="510864A2">
            <w:pPr>
              <w:tabs>
                <w:tab w:val="left" w:pos="5580"/>
              </w:tabs>
              <w:jc w:val="center"/>
              <w:rPr>
                <w:color w:val="000000" w:themeColor="text1"/>
                <w:sz w:val="24"/>
                <w:highlight w:val="none"/>
                <w14:textFill>
                  <w14:solidFill>
                    <w14:schemeClr w14:val="tx1"/>
                  </w14:solidFill>
                </w14:textFill>
              </w:rPr>
            </w:pPr>
          </w:p>
        </w:tc>
        <w:tc>
          <w:tcPr>
            <w:tcW w:w="415" w:type="pct"/>
            <w:vMerge w:val="restart"/>
            <w:noWrap w:val="0"/>
            <w:vAlign w:val="center"/>
          </w:tcPr>
          <w:p w14:paraId="6BE5423D">
            <w:pPr>
              <w:tabs>
                <w:tab w:val="left" w:pos="5580"/>
              </w:tabs>
              <w:jc w:val="center"/>
              <w:rPr>
                <w:color w:val="000000" w:themeColor="text1"/>
                <w:sz w:val="24"/>
                <w:highlight w:val="none"/>
                <w14:textFill>
                  <w14:solidFill>
                    <w14:schemeClr w14:val="tx1"/>
                  </w14:solidFill>
                </w14:textFill>
              </w:rPr>
            </w:pPr>
          </w:p>
        </w:tc>
        <w:tc>
          <w:tcPr>
            <w:tcW w:w="822" w:type="pct"/>
            <w:vMerge w:val="restart"/>
            <w:noWrap w:val="0"/>
            <w:vAlign w:val="center"/>
          </w:tcPr>
          <w:p w14:paraId="38DFBE76">
            <w:pPr>
              <w:tabs>
                <w:tab w:val="left" w:pos="5580"/>
              </w:tabs>
              <w:jc w:val="center"/>
              <w:rPr>
                <w:color w:val="000000" w:themeColor="text1"/>
                <w:sz w:val="24"/>
                <w:highlight w:val="none"/>
                <w14:textFill>
                  <w14:solidFill>
                    <w14:schemeClr w14:val="tx1"/>
                  </w14:solidFill>
                </w14:textFill>
              </w:rPr>
            </w:pPr>
          </w:p>
        </w:tc>
        <w:tc>
          <w:tcPr>
            <w:tcW w:w="656" w:type="pct"/>
            <w:vMerge w:val="restart"/>
            <w:noWrap w:val="0"/>
            <w:vAlign w:val="center"/>
          </w:tcPr>
          <w:p w14:paraId="5DF8F765">
            <w:pPr>
              <w:tabs>
                <w:tab w:val="left" w:pos="5580"/>
              </w:tabs>
              <w:jc w:val="center"/>
              <w:rPr>
                <w:color w:val="000000" w:themeColor="text1"/>
                <w:sz w:val="24"/>
                <w:highlight w:val="none"/>
                <w14:textFill>
                  <w14:solidFill>
                    <w14:schemeClr w14:val="tx1"/>
                  </w14:solidFill>
                </w14:textFill>
              </w:rPr>
            </w:pPr>
          </w:p>
        </w:tc>
      </w:tr>
      <w:tr w14:paraId="72016BA6">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22" w:type="pct"/>
            <w:vMerge w:val="continue"/>
            <w:noWrap w:val="0"/>
            <w:vAlign w:val="center"/>
          </w:tcPr>
          <w:p w14:paraId="77A59CA3">
            <w:pPr>
              <w:tabs>
                <w:tab w:val="left" w:pos="5580"/>
              </w:tabs>
              <w:jc w:val="center"/>
              <w:rPr>
                <w:color w:val="000000" w:themeColor="text1"/>
                <w:sz w:val="24"/>
                <w:highlight w:val="none"/>
                <w14:textFill>
                  <w14:solidFill>
                    <w14:schemeClr w14:val="tx1"/>
                  </w14:solidFill>
                </w14:textFill>
              </w:rPr>
            </w:pPr>
          </w:p>
        </w:tc>
        <w:tc>
          <w:tcPr>
            <w:tcW w:w="1086" w:type="pct"/>
            <w:vMerge w:val="continue"/>
            <w:noWrap w:val="0"/>
            <w:vAlign w:val="center"/>
          </w:tcPr>
          <w:p w14:paraId="7A7E8C7B">
            <w:pPr>
              <w:tabs>
                <w:tab w:val="left" w:pos="5580"/>
              </w:tabs>
              <w:jc w:val="center"/>
              <w:rPr>
                <w:color w:val="000000" w:themeColor="text1"/>
                <w:sz w:val="24"/>
                <w:highlight w:val="none"/>
                <w14:textFill>
                  <w14:solidFill>
                    <w14:schemeClr w14:val="tx1"/>
                  </w14:solidFill>
                </w14:textFill>
              </w:rPr>
            </w:pPr>
          </w:p>
        </w:tc>
        <w:tc>
          <w:tcPr>
            <w:tcW w:w="1201" w:type="pct"/>
            <w:noWrap w:val="0"/>
            <w:vAlign w:val="center"/>
          </w:tcPr>
          <w:p w14:paraId="24DF1AF4">
            <w:pPr>
              <w:tabs>
                <w:tab w:val="left" w:pos="5580"/>
              </w:tabs>
              <w:jc w:val="center"/>
              <w:rPr>
                <w:color w:val="000000" w:themeColor="text1"/>
                <w:sz w:val="24"/>
                <w:highlight w:val="none"/>
                <w14:textFill>
                  <w14:solidFill>
                    <w14:schemeClr w14:val="tx1"/>
                  </w14:solidFill>
                </w14:textFill>
              </w:rPr>
            </w:pPr>
          </w:p>
        </w:tc>
        <w:tc>
          <w:tcPr>
            <w:tcW w:w="395" w:type="pct"/>
            <w:noWrap w:val="0"/>
            <w:vAlign w:val="center"/>
          </w:tcPr>
          <w:p w14:paraId="1135F6A8">
            <w:pPr>
              <w:tabs>
                <w:tab w:val="left" w:pos="5580"/>
              </w:tabs>
              <w:jc w:val="center"/>
              <w:rPr>
                <w:color w:val="000000" w:themeColor="text1"/>
                <w:sz w:val="24"/>
                <w:highlight w:val="none"/>
                <w14:textFill>
                  <w14:solidFill>
                    <w14:schemeClr w14:val="tx1"/>
                  </w14:solidFill>
                </w14:textFill>
              </w:rPr>
            </w:pPr>
          </w:p>
        </w:tc>
        <w:tc>
          <w:tcPr>
            <w:tcW w:w="415" w:type="pct"/>
            <w:vMerge w:val="continue"/>
            <w:noWrap w:val="0"/>
            <w:vAlign w:val="center"/>
          </w:tcPr>
          <w:p w14:paraId="7531251F">
            <w:pPr>
              <w:tabs>
                <w:tab w:val="left" w:pos="5580"/>
              </w:tabs>
              <w:jc w:val="center"/>
              <w:rPr>
                <w:color w:val="000000" w:themeColor="text1"/>
                <w:sz w:val="24"/>
                <w:highlight w:val="none"/>
                <w14:textFill>
                  <w14:solidFill>
                    <w14:schemeClr w14:val="tx1"/>
                  </w14:solidFill>
                </w14:textFill>
              </w:rPr>
            </w:pPr>
          </w:p>
        </w:tc>
        <w:tc>
          <w:tcPr>
            <w:tcW w:w="822" w:type="pct"/>
            <w:vMerge w:val="continue"/>
            <w:noWrap w:val="0"/>
            <w:vAlign w:val="center"/>
          </w:tcPr>
          <w:p w14:paraId="008BCC4A">
            <w:pPr>
              <w:tabs>
                <w:tab w:val="left" w:pos="5580"/>
              </w:tabs>
              <w:jc w:val="center"/>
              <w:rPr>
                <w:color w:val="000000" w:themeColor="text1"/>
                <w:sz w:val="24"/>
                <w:highlight w:val="none"/>
                <w14:textFill>
                  <w14:solidFill>
                    <w14:schemeClr w14:val="tx1"/>
                  </w14:solidFill>
                </w14:textFill>
              </w:rPr>
            </w:pPr>
          </w:p>
        </w:tc>
        <w:tc>
          <w:tcPr>
            <w:tcW w:w="656" w:type="pct"/>
            <w:vMerge w:val="continue"/>
            <w:noWrap w:val="0"/>
            <w:vAlign w:val="center"/>
          </w:tcPr>
          <w:p w14:paraId="0F9B8341">
            <w:pPr>
              <w:tabs>
                <w:tab w:val="left" w:pos="5580"/>
              </w:tabs>
              <w:jc w:val="center"/>
              <w:rPr>
                <w:color w:val="000000" w:themeColor="text1"/>
                <w:sz w:val="24"/>
                <w:highlight w:val="none"/>
                <w14:textFill>
                  <w14:solidFill>
                    <w14:schemeClr w14:val="tx1"/>
                  </w14:solidFill>
                </w14:textFill>
              </w:rPr>
            </w:pPr>
          </w:p>
        </w:tc>
      </w:tr>
      <w:tr w14:paraId="0C31B097">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22" w:type="pct"/>
            <w:vMerge w:val="continue"/>
            <w:noWrap w:val="0"/>
            <w:vAlign w:val="center"/>
          </w:tcPr>
          <w:p w14:paraId="0E971F56">
            <w:pPr>
              <w:tabs>
                <w:tab w:val="left" w:pos="5580"/>
              </w:tabs>
              <w:jc w:val="center"/>
              <w:rPr>
                <w:color w:val="000000" w:themeColor="text1"/>
                <w:sz w:val="24"/>
                <w:highlight w:val="none"/>
                <w14:textFill>
                  <w14:solidFill>
                    <w14:schemeClr w14:val="tx1"/>
                  </w14:solidFill>
                </w14:textFill>
              </w:rPr>
            </w:pPr>
          </w:p>
        </w:tc>
        <w:tc>
          <w:tcPr>
            <w:tcW w:w="1086" w:type="pct"/>
            <w:vMerge w:val="continue"/>
            <w:noWrap w:val="0"/>
            <w:vAlign w:val="center"/>
          </w:tcPr>
          <w:p w14:paraId="4EC745E0">
            <w:pPr>
              <w:tabs>
                <w:tab w:val="left" w:pos="5580"/>
              </w:tabs>
              <w:jc w:val="center"/>
              <w:rPr>
                <w:color w:val="000000" w:themeColor="text1"/>
                <w:sz w:val="24"/>
                <w:highlight w:val="none"/>
                <w14:textFill>
                  <w14:solidFill>
                    <w14:schemeClr w14:val="tx1"/>
                  </w14:solidFill>
                </w14:textFill>
              </w:rPr>
            </w:pPr>
          </w:p>
        </w:tc>
        <w:tc>
          <w:tcPr>
            <w:tcW w:w="1201" w:type="pct"/>
            <w:noWrap w:val="0"/>
            <w:vAlign w:val="center"/>
          </w:tcPr>
          <w:p w14:paraId="4C92526D">
            <w:pPr>
              <w:tabs>
                <w:tab w:val="left" w:pos="5580"/>
              </w:tabs>
              <w:jc w:val="center"/>
              <w:rPr>
                <w:color w:val="000000" w:themeColor="text1"/>
                <w:sz w:val="24"/>
                <w:highlight w:val="none"/>
                <w14:textFill>
                  <w14:solidFill>
                    <w14:schemeClr w14:val="tx1"/>
                  </w14:solidFill>
                </w14:textFill>
              </w:rPr>
            </w:pPr>
          </w:p>
        </w:tc>
        <w:tc>
          <w:tcPr>
            <w:tcW w:w="395" w:type="pct"/>
            <w:noWrap w:val="0"/>
            <w:vAlign w:val="center"/>
          </w:tcPr>
          <w:p w14:paraId="11B528B3">
            <w:pPr>
              <w:tabs>
                <w:tab w:val="left" w:pos="5580"/>
              </w:tabs>
              <w:jc w:val="center"/>
              <w:rPr>
                <w:color w:val="000000" w:themeColor="text1"/>
                <w:sz w:val="24"/>
                <w:highlight w:val="none"/>
                <w14:textFill>
                  <w14:solidFill>
                    <w14:schemeClr w14:val="tx1"/>
                  </w14:solidFill>
                </w14:textFill>
              </w:rPr>
            </w:pPr>
          </w:p>
        </w:tc>
        <w:tc>
          <w:tcPr>
            <w:tcW w:w="415" w:type="pct"/>
            <w:vMerge w:val="continue"/>
            <w:noWrap w:val="0"/>
            <w:vAlign w:val="center"/>
          </w:tcPr>
          <w:p w14:paraId="67B5ABF2">
            <w:pPr>
              <w:tabs>
                <w:tab w:val="left" w:pos="5580"/>
              </w:tabs>
              <w:jc w:val="center"/>
              <w:rPr>
                <w:color w:val="000000" w:themeColor="text1"/>
                <w:sz w:val="24"/>
                <w:highlight w:val="none"/>
                <w14:textFill>
                  <w14:solidFill>
                    <w14:schemeClr w14:val="tx1"/>
                  </w14:solidFill>
                </w14:textFill>
              </w:rPr>
            </w:pPr>
          </w:p>
        </w:tc>
        <w:tc>
          <w:tcPr>
            <w:tcW w:w="822" w:type="pct"/>
            <w:vMerge w:val="continue"/>
            <w:noWrap w:val="0"/>
            <w:vAlign w:val="center"/>
          </w:tcPr>
          <w:p w14:paraId="209D415B">
            <w:pPr>
              <w:tabs>
                <w:tab w:val="left" w:pos="5580"/>
              </w:tabs>
              <w:jc w:val="center"/>
              <w:rPr>
                <w:color w:val="000000" w:themeColor="text1"/>
                <w:sz w:val="24"/>
                <w:highlight w:val="none"/>
                <w14:textFill>
                  <w14:solidFill>
                    <w14:schemeClr w14:val="tx1"/>
                  </w14:solidFill>
                </w14:textFill>
              </w:rPr>
            </w:pPr>
          </w:p>
        </w:tc>
        <w:tc>
          <w:tcPr>
            <w:tcW w:w="656" w:type="pct"/>
            <w:vMerge w:val="continue"/>
            <w:noWrap w:val="0"/>
            <w:vAlign w:val="center"/>
          </w:tcPr>
          <w:p w14:paraId="5D971B7D">
            <w:pPr>
              <w:tabs>
                <w:tab w:val="left" w:pos="5580"/>
              </w:tabs>
              <w:jc w:val="center"/>
              <w:rPr>
                <w:color w:val="000000" w:themeColor="text1"/>
                <w:sz w:val="24"/>
                <w:highlight w:val="none"/>
                <w14:textFill>
                  <w14:solidFill>
                    <w14:schemeClr w14:val="tx1"/>
                  </w14:solidFill>
                </w14:textFill>
              </w:rPr>
            </w:pPr>
          </w:p>
        </w:tc>
      </w:tr>
    </w:tbl>
    <w:p w14:paraId="2CD66195">
      <w:pPr>
        <w:spacing w:line="360" w:lineRule="auto"/>
        <w:rPr>
          <w:b/>
          <w:color w:val="000000" w:themeColor="text1"/>
          <w:kern w:val="0"/>
          <w:sz w:val="24"/>
          <w:highlight w:val="none"/>
          <w14:textFill>
            <w14:solidFill>
              <w14:schemeClr w14:val="tx1"/>
            </w14:solidFill>
          </w14:textFill>
        </w:rPr>
      </w:pPr>
    </w:p>
    <w:p w14:paraId="7376F142">
      <w:pPr>
        <w:pStyle w:val="8"/>
        <w:tabs>
          <w:tab w:val="left" w:pos="5580"/>
        </w:tabs>
        <w:spacing w:line="360" w:lineRule="auto"/>
        <w:ind w:left="680" w:hanging="680"/>
        <w:rPr>
          <w:rFonts w:ascii="Times New Roman" w:hAnsi="Times New Roman"/>
          <w:color w:val="000000" w:themeColor="text1"/>
          <w:sz w:val="24"/>
          <w:highlight w:val="none"/>
          <w:u w:val="singl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供应商名称（盖章）：</w:t>
      </w:r>
      <w:r>
        <w:rPr>
          <w:rFonts w:ascii="Times New Roman" w:hAnsi="Times New Roman"/>
          <w:color w:val="000000" w:themeColor="text1"/>
          <w:sz w:val="24"/>
          <w:highlight w:val="none"/>
          <w:u w:val="single"/>
          <w14:textFill>
            <w14:solidFill>
              <w14:schemeClr w14:val="tx1"/>
            </w14:solidFill>
          </w14:textFill>
        </w:rPr>
        <w:t xml:space="preserve">                       </w:t>
      </w:r>
    </w:p>
    <w:p w14:paraId="36A13F87">
      <w:pPr>
        <w:widowControl/>
        <w:jc w:val="left"/>
        <w:rPr>
          <w:color w:val="000000" w:themeColor="text1"/>
          <w:kern w:val="44"/>
          <w:sz w:val="24"/>
          <w:highlight w:val="none"/>
          <w14:textFill>
            <w14:solidFill>
              <w14:schemeClr w14:val="tx1"/>
            </w14:solidFill>
          </w14:textFill>
        </w:rPr>
      </w:pPr>
      <w:r>
        <w:rPr>
          <w:color w:val="000000" w:themeColor="text1"/>
          <w:kern w:val="44"/>
          <w:sz w:val="24"/>
          <w:highlight w:val="none"/>
          <w14:textFill>
            <w14:solidFill>
              <w14:schemeClr w14:val="tx1"/>
            </w14:solidFill>
          </w14:textFill>
        </w:rPr>
        <w:t>注：供应商报价不得超过采购预算，否则其响应将被拒绝。</w:t>
      </w:r>
    </w:p>
    <w:p w14:paraId="3880F494">
      <w:pPr>
        <w:widowControl/>
        <w:jc w:val="left"/>
        <w:rPr>
          <w:color w:val="000000" w:themeColor="text1"/>
          <w:highlight w:val="none"/>
          <w14:textFill>
            <w14:solidFill>
              <w14:schemeClr w14:val="tx1"/>
            </w14:solidFill>
          </w14:textFill>
        </w:rPr>
        <w:sectPr>
          <w:pgSz w:w="16840" w:h="11907" w:orient="landscape"/>
          <w:pgMar w:top="1701" w:right="1418" w:bottom="1134" w:left="1418" w:header="851" w:footer="851" w:gutter="0"/>
          <w:pgNumType w:fmt="decimal"/>
          <w:cols w:space="720" w:num="1"/>
          <w:docGrid w:linePitch="462" w:charSpace="0"/>
        </w:sectPr>
      </w:pPr>
      <w:r>
        <w:rPr>
          <w:color w:val="000000" w:themeColor="text1"/>
          <w:highlight w:val="none"/>
          <w14:textFill>
            <w14:solidFill>
              <w14:schemeClr w14:val="tx1"/>
            </w14:solidFill>
          </w14:textFill>
        </w:rPr>
        <w:br w:type="page"/>
      </w:r>
    </w:p>
    <w:p w14:paraId="71C8DEE2">
      <w:pPr>
        <w:pStyle w:val="4"/>
        <w:pageBreakBefore w:val="0"/>
        <w:widowControl w:val="0"/>
        <w:kinsoku/>
        <w:wordWrap/>
        <w:overflowPunct/>
        <w:topLinePunct w:val="0"/>
        <w:bidi w:val="0"/>
        <w:snapToGrid/>
        <w:spacing w:before="0" w:after="0" w:line="560" w:lineRule="exact"/>
        <w:textAlignment w:val="auto"/>
        <w:rPr>
          <w:rFonts w:ascii="Times New Roman"/>
          <w:bCs/>
          <w:color w:val="000000" w:themeColor="text1"/>
          <w:sz w:val="28"/>
          <w:szCs w:val="28"/>
          <w:highlight w:val="none"/>
          <w14:textFill>
            <w14:solidFill>
              <w14:schemeClr w14:val="tx1"/>
            </w14:solidFill>
          </w14:textFill>
        </w:rPr>
      </w:pPr>
      <w:r>
        <w:rPr>
          <w:rFonts w:hint="eastAsia" w:ascii="Times New Roman"/>
          <w:color w:val="000000" w:themeColor="text1"/>
          <w:sz w:val="28"/>
          <w:szCs w:val="28"/>
          <w:highlight w:val="none"/>
          <w:u w:val="none"/>
          <w:lang w:val="en-US" w:eastAsia="zh-CN"/>
          <w14:textFill>
            <w14:solidFill>
              <w14:schemeClr w14:val="tx1"/>
            </w14:solidFill>
          </w14:textFill>
        </w:rPr>
        <w:t xml:space="preserve">四、 </w:t>
      </w:r>
      <w:r>
        <w:rPr>
          <w:rFonts w:ascii="Times New Roman"/>
          <w:color w:val="000000" w:themeColor="text1"/>
          <w:sz w:val="28"/>
          <w:szCs w:val="28"/>
          <w:highlight w:val="none"/>
          <w:u w:val="none"/>
          <w14:textFill>
            <w14:solidFill>
              <w14:schemeClr w14:val="tx1"/>
            </w14:solidFill>
          </w14:textFill>
        </w:rPr>
        <w:t>供应商声明函</w:t>
      </w:r>
    </w:p>
    <w:p w14:paraId="3056AC18">
      <w:pPr>
        <w:pageBreakBefore w:val="0"/>
        <w:widowControl w:val="0"/>
        <w:kinsoku/>
        <w:wordWrap/>
        <w:overflowPunct/>
        <w:topLinePunct w:val="0"/>
        <w:bidi w:val="0"/>
        <w:snapToGrid/>
        <w:spacing w:line="560" w:lineRule="exact"/>
        <w:textAlignment w:val="auto"/>
        <w:rPr>
          <w:rFonts w:eastAsia="宋体"/>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致：</w:t>
      </w:r>
      <w:r>
        <w:rPr>
          <w:rFonts w:eastAsia="宋体"/>
          <w:color w:val="000000" w:themeColor="text1"/>
          <w:sz w:val="28"/>
          <w:szCs w:val="28"/>
          <w:highlight w:val="none"/>
          <w14:textFill>
            <w14:solidFill>
              <w14:schemeClr w14:val="tx1"/>
            </w14:solidFill>
          </w14:textFill>
        </w:rPr>
        <w:t>北京市应急管理事务中心：</w:t>
      </w:r>
    </w:p>
    <w:p w14:paraId="415FD17B">
      <w:pPr>
        <w:pageBreakBefore w:val="0"/>
        <w:widowControl w:val="0"/>
        <w:kinsoku/>
        <w:wordWrap/>
        <w:overflowPunct/>
        <w:topLinePunct w:val="0"/>
        <w:bidi w:val="0"/>
        <w:snapToGrid/>
        <w:spacing w:line="560" w:lineRule="exact"/>
        <w:ind w:firstLine="560" w:firstLineChars="200"/>
        <w:textAlignment w:val="auto"/>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在参与本次项目采购中，我单位承诺：</w:t>
      </w:r>
    </w:p>
    <w:p w14:paraId="41BD1925">
      <w:pPr>
        <w:pageBreakBefore w:val="0"/>
        <w:widowControl w:val="0"/>
        <w:kinsoku/>
        <w:wordWrap/>
        <w:overflowPunct/>
        <w:topLinePunct w:val="0"/>
        <w:bidi w:val="0"/>
        <w:snapToGrid/>
        <w:spacing w:line="560" w:lineRule="exact"/>
        <w:ind w:firstLine="560" w:firstLineChars="200"/>
        <w:textAlignment w:val="auto"/>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1、我单位符合《中华人民共和国政府采购法》第二十二条及《中华人民共和国政府采购法实施条例》第十八条的相关规定，未被列入失信被执行人、重大税收违法案件当事人名单、政府采购严重违法失信行为记录名单。</w:t>
      </w:r>
    </w:p>
    <w:p w14:paraId="0E5BFBC1">
      <w:pPr>
        <w:pageBreakBefore w:val="0"/>
        <w:widowControl w:val="0"/>
        <w:kinsoku/>
        <w:wordWrap/>
        <w:overflowPunct/>
        <w:topLinePunct w:val="0"/>
        <w:bidi w:val="0"/>
        <w:snapToGrid/>
        <w:spacing w:line="560" w:lineRule="exact"/>
        <w:ind w:firstLine="560" w:firstLineChars="200"/>
        <w:textAlignment w:val="auto"/>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若采购单位在本项目采购过程中发现我单位不符合《中华人民共和国政府采购法》第二十二条及《中华人民共和国政府采购法实施条例》第十八条的相关规定，或者被列入失信被执行人、重大税收违法案件当事人名单、政府采购严重违法失信行为记录名单等情况，我单位将无条件地退出本项目的响应，并承担因此引起的一切后果。</w:t>
      </w:r>
    </w:p>
    <w:p w14:paraId="5D06291B">
      <w:pPr>
        <w:pageBreakBefore w:val="0"/>
        <w:widowControl w:val="0"/>
        <w:kinsoku/>
        <w:wordWrap/>
        <w:overflowPunct/>
        <w:topLinePunct w:val="0"/>
        <w:bidi w:val="0"/>
        <w:snapToGrid/>
        <w:spacing w:line="560" w:lineRule="exact"/>
        <w:ind w:firstLine="560" w:firstLineChars="200"/>
        <w:textAlignment w:val="auto"/>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2、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14:paraId="2EB3EE31">
      <w:pPr>
        <w:pageBreakBefore w:val="0"/>
        <w:widowControl w:val="0"/>
        <w:kinsoku/>
        <w:wordWrap/>
        <w:overflowPunct/>
        <w:topLinePunct w:val="0"/>
        <w:bidi w:val="0"/>
        <w:snapToGrid/>
        <w:spacing w:line="560" w:lineRule="exact"/>
        <w:ind w:firstLine="560" w:firstLineChars="200"/>
        <w:textAlignment w:val="auto"/>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若采购人或采购代理机构在本项目采购过程中发现我单位存在违反上述承诺的事项，我单位将自动失去在本项目的成交资格，并承担因此引起的一切后果及虚假响应责任。</w:t>
      </w:r>
    </w:p>
    <w:p w14:paraId="399F6CA2">
      <w:pPr>
        <w:pageBreakBefore w:val="0"/>
        <w:widowControl w:val="0"/>
        <w:kinsoku/>
        <w:wordWrap/>
        <w:overflowPunct/>
        <w:topLinePunct w:val="0"/>
        <w:bidi w:val="0"/>
        <w:snapToGrid/>
        <w:spacing w:line="560" w:lineRule="exact"/>
        <w:ind w:firstLine="560" w:firstLineChars="200"/>
        <w:textAlignment w:val="auto"/>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供应商名称（加盖公章）：_______________________</w:t>
      </w:r>
    </w:p>
    <w:p w14:paraId="4F89181D">
      <w:pPr>
        <w:pageBreakBefore w:val="0"/>
        <w:widowControl w:val="0"/>
        <w:tabs>
          <w:tab w:val="left" w:pos="540"/>
          <w:tab w:val="left" w:pos="567"/>
          <w:tab w:val="left" w:pos="6045"/>
        </w:tabs>
        <w:kinsoku/>
        <w:wordWrap/>
        <w:overflowPunct/>
        <w:topLinePunct w:val="0"/>
        <w:bidi w:val="0"/>
        <w:snapToGrid/>
        <w:spacing w:line="560" w:lineRule="exact"/>
        <w:ind w:firstLine="560" w:firstLineChars="200"/>
        <w:contextualSpacing/>
        <w:textAlignment w:val="auto"/>
        <w:rPr>
          <w:color w:val="000000" w:themeColor="text1"/>
          <w:kern w:val="44"/>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（注：供应商客观情况如与上述内容不一致，请如实列出。一旦发现供应商提供的声明函不实，其响应将被否决。）</w:t>
      </w:r>
    </w:p>
    <w:p w14:paraId="6DB6CF0A">
      <w:pPr>
        <w:tabs>
          <w:tab w:val="left" w:pos="540"/>
          <w:tab w:val="left" w:pos="567"/>
          <w:tab w:val="left" w:pos="6045"/>
        </w:tabs>
        <w:spacing w:line="360" w:lineRule="auto"/>
        <w:ind w:firstLine="560" w:firstLineChars="200"/>
        <w:contextualSpacing/>
        <w:rPr>
          <w:color w:val="000000" w:themeColor="text1"/>
          <w:kern w:val="44"/>
          <w:sz w:val="28"/>
          <w:szCs w:val="28"/>
          <w:highlight w:val="none"/>
          <w14:textFill>
            <w14:solidFill>
              <w14:schemeClr w14:val="tx1"/>
            </w14:solidFill>
          </w14:textFill>
        </w:rPr>
      </w:pPr>
      <w:r>
        <w:rPr>
          <w:color w:val="000000" w:themeColor="text1"/>
          <w:kern w:val="44"/>
          <w:sz w:val="28"/>
          <w:szCs w:val="28"/>
          <w:highlight w:val="none"/>
          <w14:textFill>
            <w14:solidFill>
              <w14:schemeClr w14:val="tx1"/>
            </w14:solidFill>
          </w14:textFill>
        </w:rPr>
        <w:t> </w:t>
      </w:r>
    </w:p>
    <w:p w14:paraId="1EEA9E92">
      <w:pPr>
        <w:widowControl/>
        <w:jc w:val="left"/>
        <w:rPr>
          <w:color w:val="000000" w:themeColor="text1"/>
          <w:kern w:val="44"/>
          <w:sz w:val="28"/>
          <w:szCs w:val="28"/>
          <w:highlight w:val="none"/>
          <w14:textFill>
            <w14:solidFill>
              <w14:schemeClr w14:val="tx1"/>
            </w14:solidFill>
          </w14:textFill>
        </w:rPr>
      </w:pPr>
      <w:r>
        <w:rPr>
          <w:color w:val="000000" w:themeColor="text1"/>
          <w:kern w:val="44"/>
          <w:sz w:val="28"/>
          <w:szCs w:val="28"/>
          <w:highlight w:val="none"/>
          <w14:textFill>
            <w14:solidFill>
              <w14:schemeClr w14:val="tx1"/>
            </w14:solidFill>
          </w14:textFill>
        </w:rPr>
        <w:br w:type="page"/>
      </w:r>
    </w:p>
    <w:p w14:paraId="0103B7B3">
      <w:pPr>
        <w:pStyle w:val="4"/>
        <w:rPr>
          <w:rFonts w:ascii="Times New Roman"/>
          <w:color w:val="000000" w:themeColor="text1"/>
          <w:sz w:val="28"/>
          <w:szCs w:val="28"/>
          <w:highlight w:val="none"/>
          <w:u w:val="none"/>
          <w14:textFill>
            <w14:solidFill>
              <w14:schemeClr w14:val="tx1"/>
            </w14:solidFill>
          </w14:textFill>
        </w:rPr>
      </w:pPr>
      <w:r>
        <w:rPr>
          <w:rFonts w:hint="eastAsia" w:ascii="Times New Roman"/>
          <w:color w:val="000000" w:themeColor="text1"/>
          <w:sz w:val="28"/>
          <w:szCs w:val="28"/>
          <w:highlight w:val="none"/>
          <w:u w:val="none"/>
          <w:lang w:val="en-US" w:eastAsia="zh-CN"/>
          <w14:textFill>
            <w14:solidFill>
              <w14:schemeClr w14:val="tx1"/>
            </w14:solidFill>
          </w14:textFill>
        </w:rPr>
        <w:t xml:space="preserve">五、 </w:t>
      </w:r>
      <w:r>
        <w:rPr>
          <w:rFonts w:ascii="Times New Roman"/>
          <w:color w:val="000000" w:themeColor="text1"/>
          <w:sz w:val="28"/>
          <w:szCs w:val="28"/>
          <w:highlight w:val="none"/>
          <w:u w:val="none"/>
          <w14:textFill>
            <w14:solidFill>
              <w14:schemeClr w14:val="tx1"/>
            </w14:solidFill>
          </w14:textFill>
        </w:rPr>
        <w:t>供应商同类业绩一览表</w:t>
      </w:r>
    </w:p>
    <w:p w14:paraId="5F5C364D">
      <w:pPr>
        <w:rPr>
          <w:color w:val="000000" w:themeColor="text1"/>
          <w:sz w:val="28"/>
          <w:szCs w:val="28"/>
          <w:highlight w:val="none"/>
          <w14:textFill>
            <w14:solidFill>
              <w14:schemeClr w14:val="tx1"/>
            </w14:solidFill>
          </w14:textFill>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936"/>
        <w:gridCol w:w="1581"/>
        <w:gridCol w:w="1367"/>
        <w:gridCol w:w="936"/>
        <w:gridCol w:w="2064"/>
        <w:gridCol w:w="1579"/>
      </w:tblGrid>
      <w:tr w14:paraId="42ED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tcBorders>
              <w:bottom w:val="single" w:color="auto" w:sz="4" w:space="0"/>
            </w:tcBorders>
            <w:noWrap w:val="0"/>
            <w:vAlign w:val="center"/>
          </w:tcPr>
          <w:p w14:paraId="4EBFB1B1">
            <w:pPr>
              <w:jc w:val="center"/>
              <w:rPr>
                <w:color w:val="000000" w:themeColor="text1"/>
                <w:sz w:val="28"/>
                <w:szCs w:val="28"/>
                <w:highlight w:val="none"/>
                <w14:textFill>
                  <w14:solidFill>
                    <w14:schemeClr w14:val="tx1"/>
                  </w14:solidFill>
                </w14:textFill>
              </w:rPr>
            </w:pPr>
            <w:r>
              <w:rPr>
                <w:color w:val="000000" w:themeColor="text1"/>
                <w:kern w:val="0"/>
                <w:sz w:val="28"/>
                <w:szCs w:val="28"/>
                <w:highlight w:val="none"/>
                <w14:textFill>
                  <w14:solidFill>
                    <w14:schemeClr w14:val="tx1"/>
                  </w14:solidFill>
                </w14:textFill>
              </w:rPr>
              <w:t>序号</w:t>
            </w:r>
          </w:p>
        </w:tc>
        <w:tc>
          <w:tcPr>
            <w:tcW w:w="936" w:type="dxa"/>
            <w:tcBorders>
              <w:bottom w:val="single" w:color="auto" w:sz="4" w:space="0"/>
            </w:tcBorders>
            <w:noWrap w:val="0"/>
            <w:vAlign w:val="center"/>
          </w:tcPr>
          <w:p w14:paraId="43C88838">
            <w:pPr>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项目</w:t>
            </w:r>
          </w:p>
          <w:p w14:paraId="48DA3BF6">
            <w:pPr>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名称</w:t>
            </w:r>
          </w:p>
        </w:tc>
        <w:tc>
          <w:tcPr>
            <w:tcW w:w="1581" w:type="dxa"/>
            <w:tcBorders>
              <w:bottom w:val="single" w:color="auto" w:sz="4" w:space="0"/>
            </w:tcBorders>
            <w:noWrap w:val="0"/>
            <w:vAlign w:val="center"/>
          </w:tcPr>
          <w:p w14:paraId="0497D32B">
            <w:pPr>
              <w:jc w:val="center"/>
              <w:rPr>
                <w:color w:val="000000" w:themeColor="text1"/>
                <w:kern w:val="0"/>
                <w:sz w:val="28"/>
                <w:szCs w:val="28"/>
                <w:highlight w:val="none"/>
                <w14:textFill>
                  <w14:solidFill>
                    <w14:schemeClr w14:val="tx1"/>
                  </w14:solidFill>
                </w14:textFill>
              </w:rPr>
            </w:pPr>
            <w:r>
              <w:rPr>
                <w:color w:val="000000" w:themeColor="text1"/>
                <w:kern w:val="0"/>
                <w:sz w:val="28"/>
                <w:szCs w:val="28"/>
                <w:highlight w:val="none"/>
                <w14:textFill>
                  <w14:solidFill>
                    <w14:schemeClr w14:val="tx1"/>
                  </w14:solidFill>
                </w14:textFill>
              </w:rPr>
              <w:t>合同</w:t>
            </w:r>
          </w:p>
          <w:p w14:paraId="620FB6EC">
            <w:pPr>
              <w:jc w:val="center"/>
              <w:rPr>
                <w:color w:val="000000" w:themeColor="text1"/>
                <w:sz w:val="28"/>
                <w:szCs w:val="28"/>
                <w:highlight w:val="none"/>
                <w14:textFill>
                  <w14:solidFill>
                    <w14:schemeClr w14:val="tx1"/>
                  </w14:solidFill>
                </w14:textFill>
              </w:rPr>
            </w:pPr>
            <w:r>
              <w:rPr>
                <w:color w:val="000000" w:themeColor="text1"/>
                <w:kern w:val="0"/>
                <w:sz w:val="28"/>
                <w:szCs w:val="28"/>
                <w:highlight w:val="none"/>
                <w14:textFill>
                  <w14:solidFill>
                    <w14:schemeClr w14:val="tx1"/>
                  </w14:solidFill>
                </w14:textFill>
              </w:rPr>
              <w:t>签订时间</w:t>
            </w:r>
          </w:p>
        </w:tc>
        <w:tc>
          <w:tcPr>
            <w:tcW w:w="1367" w:type="dxa"/>
            <w:tcBorders>
              <w:bottom w:val="single" w:color="auto" w:sz="4" w:space="0"/>
            </w:tcBorders>
            <w:noWrap w:val="0"/>
            <w:vAlign w:val="center"/>
          </w:tcPr>
          <w:p w14:paraId="21380F8D">
            <w:pPr>
              <w:jc w:val="center"/>
              <w:rPr>
                <w:color w:val="000000" w:themeColor="text1"/>
                <w:spacing w:val="-20"/>
                <w:sz w:val="28"/>
                <w:szCs w:val="28"/>
                <w:highlight w:val="none"/>
                <w14:textFill>
                  <w14:solidFill>
                    <w14:schemeClr w14:val="tx1"/>
                  </w14:solidFill>
                </w14:textFill>
              </w:rPr>
            </w:pPr>
            <w:r>
              <w:rPr>
                <w:color w:val="000000" w:themeColor="text1"/>
                <w:spacing w:val="-20"/>
                <w:sz w:val="28"/>
                <w:szCs w:val="28"/>
                <w:highlight w:val="none"/>
                <w14:textFill>
                  <w14:solidFill>
                    <w14:schemeClr w14:val="tx1"/>
                  </w14:solidFill>
                </w14:textFill>
              </w:rPr>
              <w:t>合同金额</w:t>
            </w:r>
          </w:p>
          <w:p w14:paraId="644F0E50">
            <w:pPr>
              <w:jc w:val="center"/>
              <w:rPr>
                <w:color w:val="000000" w:themeColor="text1"/>
                <w:sz w:val="28"/>
                <w:szCs w:val="28"/>
                <w:highlight w:val="none"/>
                <w14:textFill>
                  <w14:solidFill>
                    <w14:schemeClr w14:val="tx1"/>
                  </w14:solidFill>
                </w14:textFill>
              </w:rPr>
            </w:pPr>
            <w:r>
              <w:rPr>
                <w:color w:val="000000" w:themeColor="text1"/>
                <w:spacing w:val="-20"/>
                <w:sz w:val="28"/>
                <w:szCs w:val="28"/>
                <w:highlight w:val="none"/>
                <w14:textFill>
                  <w14:solidFill>
                    <w14:schemeClr w14:val="tx1"/>
                  </w14:solidFill>
                </w14:textFill>
              </w:rPr>
              <w:t>（元）</w:t>
            </w:r>
          </w:p>
        </w:tc>
        <w:tc>
          <w:tcPr>
            <w:tcW w:w="936" w:type="dxa"/>
            <w:tcBorders>
              <w:bottom w:val="single" w:color="auto" w:sz="4" w:space="0"/>
            </w:tcBorders>
            <w:noWrap w:val="0"/>
            <w:vAlign w:val="top"/>
          </w:tcPr>
          <w:p w14:paraId="49FE7FC0">
            <w:pPr>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项目</w:t>
            </w:r>
          </w:p>
          <w:p w14:paraId="1CFD7C6E">
            <w:pPr>
              <w:jc w:val="center"/>
              <w:rPr>
                <w:color w:val="000000" w:themeColor="text1"/>
                <w:spacing w:val="-20"/>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单位</w:t>
            </w:r>
          </w:p>
        </w:tc>
        <w:tc>
          <w:tcPr>
            <w:tcW w:w="2064" w:type="dxa"/>
            <w:tcBorders>
              <w:bottom w:val="single" w:color="auto" w:sz="4" w:space="0"/>
            </w:tcBorders>
            <w:noWrap w:val="0"/>
            <w:vAlign w:val="top"/>
          </w:tcPr>
          <w:p w14:paraId="70ED4234">
            <w:pPr>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项目单位</w:t>
            </w:r>
          </w:p>
          <w:p w14:paraId="730EA4D9">
            <w:pPr>
              <w:jc w:val="center"/>
              <w:rPr>
                <w:color w:val="000000" w:themeColor="text1"/>
                <w:spacing w:val="-20"/>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联系人/电话</w:t>
            </w:r>
          </w:p>
        </w:tc>
        <w:tc>
          <w:tcPr>
            <w:tcW w:w="1579" w:type="dxa"/>
            <w:tcBorders>
              <w:bottom w:val="single" w:color="auto" w:sz="4" w:space="0"/>
            </w:tcBorders>
            <w:noWrap w:val="0"/>
            <w:vAlign w:val="top"/>
          </w:tcPr>
          <w:p w14:paraId="06DEBF9B">
            <w:pPr>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项目内容</w:t>
            </w:r>
          </w:p>
          <w:p w14:paraId="5F8651F1">
            <w:pPr>
              <w:jc w:val="center"/>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描述</w:t>
            </w:r>
          </w:p>
        </w:tc>
      </w:tr>
      <w:tr w14:paraId="41F9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14:paraId="451B392D">
            <w:pPr>
              <w:widowControl/>
              <w:jc w:val="center"/>
              <w:rPr>
                <w:color w:val="000000" w:themeColor="text1"/>
                <w:kern w:val="0"/>
                <w:sz w:val="28"/>
                <w:szCs w:val="28"/>
                <w:highlight w:val="none"/>
                <w14:textFill>
                  <w14:solidFill>
                    <w14:schemeClr w14:val="tx1"/>
                  </w14:solidFill>
                </w14:textFill>
              </w:rPr>
            </w:pPr>
            <w:r>
              <w:rPr>
                <w:color w:val="000000" w:themeColor="text1"/>
                <w:kern w:val="0"/>
                <w:sz w:val="28"/>
                <w:szCs w:val="28"/>
                <w:highlight w:val="none"/>
                <w14:textFill>
                  <w14:solidFill>
                    <w14:schemeClr w14:val="tx1"/>
                  </w14:solidFill>
                </w14:textFill>
              </w:rPr>
              <w:t>1</w:t>
            </w:r>
          </w:p>
        </w:tc>
        <w:tc>
          <w:tcPr>
            <w:tcW w:w="936" w:type="dxa"/>
            <w:noWrap w:val="0"/>
            <w:vAlign w:val="center"/>
          </w:tcPr>
          <w:p w14:paraId="2D1E693E">
            <w:pPr>
              <w:jc w:val="center"/>
              <w:rPr>
                <w:color w:val="000000" w:themeColor="text1"/>
                <w:sz w:val="28"/>
                <w:szCs w:val="28"/>
                <w:highlight w:val="none"/>
                <w14:textFill>
                  <w14:solidFill>
                    <w14:schemeClr w14:val="tx1"/>
                  </w14:solidFill>
                </w14:textFill>
              </w:rPr>
            </w:pPr>
          </w:p>
        </w:tc>
        <w:tc>
          <w:tcPr>
            <w:tcW w:w="1581" w:type="dxa"/>
            <w:noWrap w:val="0"/>
            <w:vAlign w:val="center"/>
          </w:tcPr>
          <w:p w14:paraId="0DD173B7">
            <w:pPr>
              <w:jc w:val="center"/>
              <w:rPr>
                <w:color w:val="000000" w:themeColor="text1"/>
                <w:sz w:val="28"/>
                <w:szCs w:val="28"/>
                <w:highlight w:val="none"/>
                <w14:textFill>
                  <w14:solidFill>
                    <w14:schemeClr w14:val="tx1"/>
                  </w14:solidFill>
                </w14:textFill>
              </w:rPr>
            </w:pPr>
          </w:p>
        </w:tc>
        <w:tc>
          <w:tcPr>
            <w:tcW w:w="1367" w:type="dxa"/>
            <w:noWrap w:val="0"/>
            <w:vAlign w:val="center"/>
          </w:tcPr>
          <w:p w14:paraId="0ED18C5D">
            <w:pPr>
              <w:jc w:val="center"/>
              <w:rPr>
                <w:color w:val="000000" w:themeColor="text1"/>
                <w:sz w:val="28"/>
                <w:szCs w:val="28"/>
                <w:highlight w:val="none"/>
                <w14:textFill>
                  <w14:solidFill>
                    <w14:schemeClr w14:val="tx1"/>
                  </w14:solidFill>
                </w14:textFill>
              </w:rPr>
            </w:pPr>
          </w:p>
        </w:tc>
        <w:tc>
          <w:tcPr>
            <w:tcW w:w="936" w:type="dxa"/>
            <w:noWrap w:val="0"/>
            <w:vAlign w:val="top"/>
          </w:tcPr>
          <w:p w14:paraId="7FC83825">
            <w:pPr>
              <w:jc w:val="center"/>
              <w:rPr>
                <w:color w:val="000000" w:themeColor="text1"/>
                <w:sz w:val="28"/>
                <w:szCs w:val="28"/>
                <w:highlight w:val="none"/>
                <w14:textFill>
                  <w14:solidFill>
                    <w14:schemeClr w14:val="tx1"/>
                  </w14:solidFill>
                </w14:textFill>
              </w:rPr>
            </w:pPr>
          </w:p>
        </w:tc>
        <w:tc>
          <w:tcPr>
            <w:tcW w:w="2064" w:type="dxa"/>
            <w:noWrap w:val="0"/>
            <w:vAlign w:val="top"/>
          </w:tcPr>
          <w:p w14:paraId="0F75F989">
            <w:pPr>
              <w:jc w:val="center"/>
              <w:rPr>
                <w:color w:val="000000" w:themeColor="text1"/>
                <w:sz w:val="28"/>
                <w:szCs w:val="28"/>
                <w:highlight w:val="none"/>
                <w14:textFill>
                  <w14:solidFill>
                    <w14:schemeClr w14:val="tx1"/>
                  </w14:solidFill>
                </w14:textFill>
              </w:rPr>
            </w:pPr>
          </w:p>
        </w:tc>
        <w:tc>
          <w:tcPr>
            <w:tcW w:w="1579" w:type="dxa"/>
            <w:noWrap w:val="0"/>
            <w:vAlign w:val="top"/>
          </w:tcPr>
          <w:p w14:paraId="6C147F42">
            <w:pPr>
              <w:jc w:val="center"/>
              <w:rPr>
                <w:color w:val="000000" w:themeColor="text1"/>
                <w:sz w:val="28"/>
                <w:szCs w:val="28"/>
                <w:highlight w:val="none"/>
                <w14:textFill>
                  <w14:solidFill>
                    <w14:schemeClr w14:val="tx1"/>
                  </w14:solidFill>
                </w14:textFill>
              </w:rPr>
            </w:pPr>
          </w:p>
        </w:tc>
      </w:tr>
      <w:tr w14:paraId="77DE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14:paraId="01B0D64F">
            <w:pPr>
              <w:widowControl/>
              <w:jc w:val="center"/>
              <w:rPr>
                <w:color w:val="000000" w:themeColor="text1"/>
                <w:kern w:val="0"/>
                <w:sz w:val="28"/>
                <w:szCs w:val="28"/>
                <w:highlight w:val="none"/>
                <w14:textFill>
                  <w14:solidFill>
                    <w14:schemeClr w14:val="tx1"/>
                  </w14:solidFill>
                </w14:textFill>
              </w:rPr>
            </w:pPr>
            <w:r>
              <w:rPr>
                <w:color w:val="000000" w:themeColor="text1"/>
                <w:kern w:val="0"/>
                <w:sz w:val="28"/>
                <w:szCs w:val="28"/>
                <w:highlight w:val="none"/>
                <w14:textFill>
                  <w14:solidFill>
                    <w14:schemeClr w14:val="tx1"/>
                  </w14:solidFill>
                </w14:textFill>
              </w:rPr>
              <w:t>2</w:t>
            </w:r>
          </w:p>
        </w:tc>
        <w:tc>
          <w:tcPr>
            <w:tcW w:w="936" w:type="dxa"/>
            <w:noWrap w:val="0"/>
            <w:vAlign w:val="center"/>
          </w:tcPr>
          <w:p w14:paraId="01D26E91">
            <w:pPr>
              <w:jc w:val="center"/>
              <w:rPr>
                <w:color w:val="000000" w:themeColor="text1"/>
                <w:sz w:val="28"/>
                <w:szCs w:val="28"/>
                <w:highlight w:val="none"/>
                <w14:textFill>
                  <w14:solidFill>
                    <w14:schemeClr w14:val="tx1"/>
                  </w14:solidFill>
                </w14:textFill>
              </w:rPr>
            </w:pPr>
          </w:p>
        </w:tc>
        <w:tc>
          <w:tcPr>
            <w:tcW w:w="1581" w:type="dxa"/>
            <w:noWrap w:val="0"/>
            <w:vAlign w:val="center"/>
          </w:tcPr>
          <w:p w14:paraId="5879CF0F">
            <w:pPr>
              <w:jc w:val="center"/>
              <w:rPr>
                <w:color w:val="000000" w:themeColor="text1"/>
                <w:sz w:val="28"/>
                <w:szCs w:val="28"/>
                <w:highlight w:val="none"/>
                <w14:textFill>
                  <w14:solidFill>
                    <w14:schemeClr w14:val="tx1"/>
                  </w14:solidFill>
                </w14:textFill>
              </w:rPr>
            </w:pPr>
          </w:p>
        </w:tc>
        <w:tc>
          <w:tcPr>
            <w:tcW w:w="1367" w:type="dxa"/>
            <w:noWrap w:val="0"/>
            <w:vAlign w:val="center"/>
          </w:tcPr>
          <w:p w14:paraId="147882AD">
            <w:pPr>
              <w:jc w:val="center"/>
              <w:rPr>
                <w:color w:val="000000" w:themeColor="text1"/>
                <w:sz w:val="28"/>
                <w:szCs w:val="28"/>
                <w:highlight w:val="none"/>
                <w14:textFill>
                  <w14:solidFill>
                    <w14:schemeClr w14:val="tx1"/>
                  </w14:solidFill>
                </w14:textFill>
              </w:rPr>
            </w:pPr>
          </w:p>
        </w:tc>
        <w:tc>
          <w:tcPr>
            <w:tcW w:w="936" w:type="dxa"/>
            <w:noWrap w:val="0"/>
            <w:vAlign w:val="top"/>
          </w:tcPr>
          <w:p w14:paraId="08939BC1">
            <w:pPr>
              <w:jc w:val="center"/>
              <w:rPr>
                <w:color w:val="000000" w:themeColor="text1"/>
                <w:sz w:val="28"/>
                <w:szCs w:val="28"/>
                <w:highlight w:val="none"/>
                <w14:textFill>
                  <w14:solidFill>
                    <w14:schemeClr w14:val="tx1"/>
                  </w14:solidFill>
                </w14:textFill>
              </w:rPr>
            </w:pPr>
          </w:p>
        </w:tc>
        <w:tc>
          <w:tcPr>
            <w:tcW w:w="2064" w:type="dxa"/>
            <w:noWrap w:val="0"/>
            <w:vAlign w:val="top"/>
          </w:tcPr>
          <w:p w14:paraId="2CE4E02E">
            <w:pPr>
              <w:jc w:val="center"/>
              <w:rPr>
                <w:color w:val="000000" w:themeColor="text1"/>
                <w:sz w:val="28"/>
                <w:szCs w:val="28"/>
                <w:highlight w:val="none"/>
                <w14:textFill>
                  <w14:solidFill>
                    <w14:schemeClr w14:val="tx1"/>
                  </w14:solidFill>
                </w14:textFill>
              </w:rPr>
            </w:pPr>
          </w:p>
        </w:tc>
        <w:tc>
          <w:tcPr>
            <w:tcW w:w="1579" w:type="dxa"/>
            <w:noWrap w:val="0"/>
            <w:vAlign w:val="top"/>
          </w:tcPr>
          <w:p w14:paraId="0E56E06E">
            <w:pPr>
              <w:jc w:val="center"/>
              <w:rPr>
                <w:color w:val="000000" w:themeColor="text1"/>
                <w:sz w:val="28"/>
                <w:szCs w:val="28"/>
                <w:highlight w:val="none"/>
                <w14:textFill>
                  <w14:solidFill>
                    <w14:schemeClr w14:val="tx1"/>
                  </w14:solidFill>
                </w14:textFill>
              </w:rPr>
            </w:pPr>
          </w:p>
        </w:tc>
      </w:tr>
      <w:tr w14:paraId="3307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14:paraId="1A46EEA6">
            <w:pPr>
              <w:widowControl/>
              <w:jc w:val="center"/>
              <w:rPr>
                <w:color w:val="000000" w:themeColor="text1"/>
                <w:kern w:val="0"/>
                <w:sz w:val="28"/>
                <w:szCs w:val="28"/>
                <w:highlight w:val="none"/>
                <w14:textFill>
                  <w14:solidFill>
                    <w14:schemeClr w14:val="tx1"/>
                  </w14:solidFill>
                </w14:textFill>
              </w:rPr>
            </w:pPr>
            <w:r>
              <w:rPr>
                <w:color w:val="000000" w:themeColor="text1"/>
                <w:kern w:val="0"/>
                <w:sz w:val="28"/>
                <w:szCs w:val="28"/>
                <w:highlight w:val="none"/>
                <w14:textFill>
                  <w14:solidFill>
                    <w14:schemeClr w14:val="tx1"/>
                  </w14:solidFill>
                </w14:textFill>
              </w:rPr>
              <w:t>…</w:t>
            </w:r>
          </w:p>
        </w:tc>
        <w:tc>
          <w:tcPr>
            <w:tcW w:w="936" w:type="dxa"/>
            <w:noWrap w:val="0"/>
            <w:vAlign w:val="center"/>
          </w:tcPr>
          <w:p w14:paraId="46E2A34B">
            <w:pPr>
              <w:jc w:val="center"/>
              <w:rPr>
                <w:color w:val="000000" w:themeColor="text1"/>
                <w:sz w:val="28"/>
                <w:szCs w:val="28"/>
                <w:highlight w:val="none"/>
                <w14:textFill>
                  <w14:solidFill>
                    <w14:schemeClr w14:val="tx1"/>
                  </w14:solidFill>
                </w14:textFill>
              </w:rPr>
            </w:pPr>
          </w:p>
        </w:tc>
        <w:tc>
          <w:tcPr>
            <w:tcW w:w="1581" w:type="dxa"/>
            <w:noWrap w:val="0"/>
            <w:vAlign w:val="center"/>
          </w:tcPr>
          <w:p w14:paraId="2973DFFF">
            <w:pPr>
              <w:jc w:val="center"/>
              <w:rPr>
                <w:color w:val="000000" w:themeColor="text1"/>
                <w:sz w:val="28"/>
                <w:szCs w:val="28"/>
                <w:highlight w:val="none"/>
                <w14:textFill>
                  <w14:solidFill>
                    <w14:schemeClr w14:val="tx1"/>
                  </w14:solidFill>
                </w14:textFill>
              </w:rPr>
            </w:pPr>
          </w:p>
        </w:tc>
        <w:tc>
          <w:tcPr>
            <w:tcW w:w="1367" w:type="dxa"/>
            <w:noWrap w:val="0"/>
            <w:vAlign w:val="center"/>
          </w:tcPr>
          <w:p w14:paraId="564CD5AF">
            <w:pPr>
              <w:jc w:val="center"/>
              <w:rPr>
                <w:color w:val="000000" w:themeColor="text1"/>
                <w:sz w:val="28"/>
                <w:szCs w:val="28"/>
                <w:highlight w:val="none"/>
                <w14:textFill>
                  <w14:solidFill>
                    <w14:schemeClr w14:val="tx1"/>
                  </w14:solidFill>
                </w14:textFill>
              </w:rPr>
            </w:pPr>
          </w:p>
        </w:tc>
        <w:tc>
          <w:tcPr>
            <w:tcW w:w="936" w:type="dxa"/>
            <w:noWrap w:val="0"/>
            <w:vAlign w:val="top"/>
          </w:tcPr>
          <w:p w14:paraId="6E02ABCE">
            <w:pPr>
              <w:jc w:val="center"/>
              <w:rPr>
                <w:color w:val="000000" w:themeColor="text1"/>
                <w:sz w:val="28"/>
                <w:szCs w:val="28"/>
                <w:highlight w:val="none"/>
                <w14:textFill>
                  <w14:solidFill>
                    <w14:schemeClr w14:val="tx1"/>
                  </w14:solidFill>
                </w14:textFill>
              </w:rPr>
            </w:pPr>
          </w:p>
        </w:tc>
        <w:tc>
          <w:tcPr>
            <w:tcW w:w="2064" w:type="dxa"/>
            <w:noWrap w:val="0"/>
            <w:vAlign w:val="top"/>
          </w:tcPr>
          <w:p w14:paraId="0B3CDD27">
            <w:pPr>
              <w:jc w:val="center"/>
              <w:rPr>
                <w:color w:val="000000" w:themeColor="text1"/>
                <w:sz w:val="28"/>
                <w:szCs w:val="28"/>
                <w:highlight w:val="none"/>
                <w14:textFill>
                  <w14:solidFill>
                    <w14:schemeClr w14:val="tx1"/>
                  </w14:solidFill>
                </w14:textFill>
              </w:rPr>
            </w:pPr>
          </w:p>
        </w:tc>
        <w:tc>
          <w:tcPr>
            <w:tcW w:w="1579" w:type="dxa"/>
            <w:noWrap w:val="0"/>
            <w:vAlign w:val="top"/>
          </w:tcPr>
          <w:p w14:paraId="36F68F69">
            <w:pPr>
              <w:jc w:val="center"/>
              <w:rPr>
                <w:color w:val="000000" w:themeColor="text1"/>
                <w:sz w:val="28"/>
                <w:szCs w:val="28"/>
                <w:highlight w:val="none"/>
                <w14:textFill>
                  <w14:solidFill>
                    <w14:schemeClr w14:val="tx1"/>
                  </w14:solidFill>
                </w14:textFill>
              </w:rPr>
            </w:pPr>
          </w:p>
        </w:tc>
      </w:tr>
    </w:tbl>
    <w:p w14:paraId="6907B7CE">
      <w:pPr>
        <w:rPr>
          <w:color w:val="000000" w:themeColor="text1"/>
          <w:sz w:val="28"/>
          <w:szCs w:val="28"/>
          <w:highlight w:val="none"/>
          <w14:textFill>
            <w14:solidFill>
              <w14:schemeClr w14:val="tx1"/>
            </w14:solidFill>
          </w14:textFill>
        </w:rPr>
      </w:pPr>
    </w:p>
    <w:p w14:paraId="6750BB2A">
      <w:pPr>
        <w:spacing w:line="360" w:lineRule="auto"/>
        <w:ind w:firstLine="560" w:firstLineChars="200"/>
        <w:rPr>
          <w:bCs/>
          <w:color w:val="000000" w:themeColor="text1"/>
          <w:sz w:val="28"/>
          <w:szCs w:val="28"/>
          <w:highlight w:val="none"/>
          <w14:textFill>
            <w14:solidFill>
              <w14:schemeClr w14:val="tx1"/>
            </w14:solidFill>
          </w14:textFill>
        </w:rPr>
      </w:pPr>
      <w:r>
        <w:rPr>
          <w:bCs/>
          <w:color w:val="000000" w:themeColor="text1"/>
          <w:sz w:val="28"/>
          <w:szCs w:val="28"/>
          <w:highlight w:val="none"/>
          <w14:textFill>
            <w14:solidFill>
              <w14:schemeClr w14:val="tx1"/>
            </w14:solidFill>
          </w14:textFill>
        </w:rPr>
        <w:t>注：供应商在提供业绩证明时必须提供证明其真实性的合同复印件（必须包括合同首页、含有项目名称的页面、金额页以及签章页），认定时间以合同签订时间为准。</w:t>
      </w:r>
    </w:p>
    <w:p w14:paraId="294019D4">
      <w:pPr>
        <w:widowControl/>
        <w:jc w:val="left"/>
        <w:rPr>
          <w:bCs/>
          <w:color w:val="000000" w:themeColor="text1"/>
          <w:sz w:val="28"/>
          <w:szCs w:val="28"/>
          <w:highlight w:val="none"/>
          <w14:textFill>
            <w14:solidFill>
              <w14:schemeClr w14:val="tx1"/>
            </w14:solidFill>
          </w14:textFill>
        </w:rPr>
      </w:pPr>
      <w:r>
        <w:rPr>
          <w:bCs/>
          <w:color w:val="000000" w:themeColor="text1"/>
          <w:sz w:val="28"/>
          <w:szCs w:val="28"/>
          <w:highlight w:val="none"/>
          <w14:textFill>
            <w14:solidFill>
              <w14:schemeClr w14:val="tx1"/>
            </w14:solidFill>
          </w14:textFill>
        </w:rPr>
        <w:br w:type="page"/>
      </w:r>
    </w:p>
    <w:p w14:paraId="4CEF664E">
      <w:pPr>
        <w:pStyle w:val="4"/>
        <w:rPr>
          <w:rFonts w:ascii="Times New Roman"/>
          <w:color w:val="000000" w:themeColor="text1"/>
          <w:sz w:val="28"/>
          <w:szCs w:val="28"/>
          <w:highlight w:val="none"/>
          <w:u w:val="none"/>
          <w14:textFill>
            <w14:solidFill>
              <w14:schemeClr w14:val="tx1"/>
            </w14:solidFill>
          </w14:textFill>
        </w:rPr>
      </w:pPr>
      <w:r>
        <w:rPr>
          <w:rFonts w:hint="eastAsia" w:ascii="Times New Roman"/>
          <w:color w:val="000000" w:themeColor="text1"/>
          <w:sz w:val="28"/>
          <w:szCs w:val="28"/>
          <w:highlight w:val="none"/>
          <w:u w:val="none"/>
          <w:lang w:val="en-US" w:eastAsia="zh-CN"/>
          <w14:textFill>
            <w14:solidFill>
              <w14:schemeClr w14:val="tx1"/>
            </w14:solidFill>
          </w14:textFill>
        </w:rPr>
        <w:t>六、</w:t>
      </w:r>
      <w:r>
        <w:rPr>
          <w:rFonts w:ascii="Times New Roman"/>
          <w:color w:val="000000" w:themeColor="text1"/>
          <w:sz w:val="28"/>
          <w:szCs w:val="28"/>
          <w:highlight w:val="none"/>
          <w:u w:val="none"/>
          <w14:textFill>
            <w14:solidFill>
              <w14:schemeClr w14:val="tx1"/>
            </w14:solidFill>
          </w14:textFill>
        </w:rPr>
        <w:t xml:space="preserve"> 拟派往本项目实施团队情况</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844"/>
        <w:gridCol w:w="844"/>
        <w:gridCol w:w="844"/>
        <w:gridCol w:w="844"/>
        <w:gridCol w:w="1425"/>
        <w:gridCol w:w="2004"/>
      </w:tblGrid>
      <w:tr w14:paraId="7F57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618C1D4A">
            <w:pPr>
              <w:jc w:val="center"/>
              <w:rPr>
                <w:color w:val="000000" w:themeColor="text1"/>
                <w:kern w:val="0"/>
                <w:sz w:val="28"/>
                <w:szCs w:val="28"/>
                <w:highlight w:val="none"/>
                <w14:textFill>
                  <w14:solidFill>
                    <w14:schemeClr w14:val="tx1"/>
                  </w14:solidFill>
                </w14:textFill>
              </w:rPr>
            </w:pPr>
            <w:r>
              <w:rPr>
                <w:color w:val="000000" w:themeColor="text1"/>
                <w:kern w:val="0"/>
                <w:sz w:val="28"/>
                <w:szCs w:val="28"/>
                <w:highlight w:val="none"/>
                <w14:textFill>
                  <w14:solidFill>
                    <w14:schemeClr w14:val="tx1"/>
                  </w14:solidFill>
                </w14:textFill>
              </w:rPr>
              <w:t>拟担任</w:t>
            </w:r>
          </w:p>
          <w:p w14:paraId="01A4D704">
            <w:pPr>
              <w:jc w:val="center"/>
              <w:rPr>
                <w:color w:val="000000" w:themeColor="text1"/>
                <w:kern w:val="0"/>
                <w:sz w:val="28"/>
                <w:szCs w:val="28"/>
                <w:highlight w:val="none"/>
                <w14:textFill>
                  <w14:solidFill>
                    <w14:schemeClr w14:val="tx1"/>
                  </w14:solidFill>
                </w14:textFill>
              </w:rPr>
            </w:pPr>
            <w:r>
              <w:rPr>
                <w:color w:val="000000" w:themeColor="text1"/>
                <w:kern w:val="0"/>
                <w:sz w:val="28"/>
                <w:szCs w:val="28"/>
                <w:highlight w:val="none"/>
                <w14:textFill>
                  <w14:solidFill>
                    <w14:schemeClr w14:val="tx1"/>
                  </w14:solidFill>
                </w14:textFill>
              </w:rPr>
              <w:t>职务、分工</w:t>
            </w:r>
          </w:p>
        </w:tc>
        <w:tc>
          <w:tcPr>
            <w:tcW w:w="495" w:type="pct"/>
            <w:noWrap w:val="0"/>
            <w:vAlign w:val="center"/>
          </w:tcPr>
          <w:p w14:paraId="5C5C0F7C">
            <w:pPr>
              <w:jc w:val="center"/>
              <w:rPr>
                <w:color w:val="000000" w:themeColor="text1"/>
                <w:kern w:val="0"/>
                <w:sz w:val="28"/>
                <w:szCs w:val="28"/>
                <w:highlight w:val="none"/>
                <w14:textFill>
                  <w14:solidFill>
                    <w14:schemeClr w14:val="tx1"/>
                  </w14:solidFill>
                </w14:textFill>
              </w:rPr>
            </w:pPr>
            <w:r>
              <w:rPr>
                <w:color w:val="000000" w:themeColor="text1"/>
                <w:kern w:val="0"/>
                <w:sz w:val="28"/>
                <w:szCs w:val="28"/>
                <w:highlight w:val="none"/>
                <w14:textFill>
                  <w14:solidFill>
                    <w14:schemeClr w14:val="tx1"/>
                  </w14:solidFill>
                </w14:textFill>
              </w:rPr>
              <w:t>姓名</w:t>
            </w:r>
          </w:p>
        </w:tc>
        <w:tc>
          <w:tcPr>
            <w:tcW w:w="495" w:type="pct"/>
            <w:noWrap w:val="0"/>
            <w:vAlign w:val="center"/>
          </w:tcPr>
          <w:p w14:paraId="7220DCFF">
            <w:pPr>
              <w:jc w:val="center"/>
              <w:rPr>
                <w:color w:val="000000" w:themeColor="text1"/>
                <w:kern w:val="0"/>
                <w:sz w:val="28"/>
                <w:szCs w:val="28"/>
                <w:highlight w:val="none"/>
                <w14:textFill>
                  <w14:solidFill>
                    <w14:schemeClr w14:val="tx1"/>
                  </w14:solidFill>
                </w14:textFill>
              </w:rPr>
            </w:pPr>
            <w:r>
              <w:rPr>
                <w:color w:val="000000" w:themeColor="text1"/>
                <w:kern w:val="0"/>
                <w:sz w:val="28"/>
                <w:szCs w:val="28"/>
                <w:highlight w:val="none"/>
                <w14:textFill>
                  <w14:solidFill>
                    <w14:schemeClr w14:val="tx1"/>
                  </w14:solidFill>
                </w14:textFill>
              </w:rPr>
              <w:t>职称</w:t>
            </w:r>
          </w:p>
        </w:tc>
        <w:tc>
          <w:tcPr>
            <w:tcW w:w="495" w:type="pct"/>
            <w:noWrap w:val="0"/>
            <w:vAlign w:val="center"/>
          </w:tcPr>
          <w:p w14:paraId="4887C439">
            <w:pPr>
              <w:jc w:val="center"/>
              <w:rPr>
                <w:color w:val="000000" w:themeColor="text1"/>
                <w:kern w:val="0"/>
                <w:sz w:val="28"/>
                <w:szCs w:val="28"/>
                <w:highlight w:val="none"/>
                <w14:textFill>
                  <w14:solidFill>
                    <w14:schemeClr w14:val="tx1"/>
                  </w14:solidFill>
                </w14:textFill>
              </w:rPr>
            </w:pPr>
            <w:r>
              <w:rPr>
                <w:color w:val="000000" w:themeColor="text1"/>
                <w:kern w:val="0"/>
                <w:sz w:val="28"/>
                <w:szCs w:val="28"/>
                <w:highlight w:val="none"/>
                <w14:textFill>
                  <w14:solidFill>
                    <w14:schemeClr w14:val="tx1"/>
                  </w14:solidFill>
                </w14:textFill>
              </w:rPr>
              <w:t>学历</w:t>
            </w:r>
          </w:p>
        </w:tc>
        <w:tc>
          <w:tcPr>
            <w:tcW w:w="495" w:type="pct"/>
            <w:noWrap w:val="0"/>
            <w:vAlign w:val="center"/>
          </w:tcPr>
          <w:p w14:paraId="0025BBB5">
            <w:pPr>
              <w:jc w:val="center"/>
              <w:rPr>
                <w:color w:val="000000" w:themeColor="text1"/>
                <w:kern w:val="0"/>
                <w:sz w:val="28"/>
                <w:szCs w:val="28"/>
                <w:highlight w:val="none"/>
                <w14:textFill>
                  <w14:solidFill>
                    <w14:schemeClr w14:val="tx1"/>
                  </w14:solidFill>
                </w14:textFill>
              </w:rPr>
            </w:pPr>
            <w:r>
              <w:rPr>
                <w:color w:val="000000" w:themeColor="text1"/>
                <w:kern w:val="0"/>
                <w:sz w:val="28"/>
                <w:szCs w:val="28"/>
                <w:highlight w:val="none"/>
                <w14:textFill>
                  <w14:solidFill>
                    <w14:schemeClr w14:val="tx1"/>
                  </w14:solidFill>
                </w14:textFill>
              </w:rPr>
              <w:t>专业</w:t>
            </w:r>
          </w:p>
        </w:tc>
        <w:tc>
          <w:tcPr>
            <w:tcW w:w="836" w:type="pct"/>
            <w:noWrap w:val="0"/>
            <w:vAlign w:val="center"/>
          </w:tcPr>
          <w:p w14:paraId="15849A9F">
            <w:pPr>
              <w:jc w:val="center"/>
              <w:rPr>
                <w:color w:val="000000" w:themeColor="text1"/>
                <w:kern w:val="0"/>
                <w:sz w:val="28"/>
                <w:szCs w:val="28"/>
                <w:highlight w:val="none"/>
                <w14:textFill>
                  <w14:solidFill>
                    <w14:schemeClr w14:val="tx1"/>
                  </w14:solidFill>
                </w14:textFill>
              </w:rPr>
            </w:pPr>
            <w:r>
              <w:rPr>
                <w:color w:val="000000" w:themeColor="text1"/>
                <w:kern w:val="0"/>
                <w:sz w:val="28"/>
                <w:szCs w:val="28"/>
                <w:highlight w:val="none"/>
                <w14:textFill>
                  <w14:solidFill>
                    <w14:schemeClr w14:val="tx1"/>
                  </w14:solidFill>
                </w14:textFill>
              </w:rPr>
              <w:t>从业资格</w:t>
            </w:r>
          </w:p>
        </w:tc>
        <w:tc>
          <w:tcPr>
            <w:tcW w:w="1177" w:type="pct"/>
            <w:noWrap w:val="0"/>
            <w:vAlign w:val="center"/>
          </w:tcPr>
          <w:p w14:paraId="5F992E9E">
            <w:pPr>
              <w:jc w:val="center"/>
              <w:rPr>
                <w:color w:val="000000" w:themeColor="text1"/>
                <w:kern w:val="0"/>
                <w:sz w:val="28"/>
                <w:szCs w:val="28"/>
                <w:highlight w:val="none"/>
                <w14:textFill>
                  <w14:solidFill>
                    <w14:schemeClr w14:val="tx1"/>
                  </w14:solidFill>
                </w14:textFill>
              </w:rPr>
            </w:pPr>
            <w:r>
              <w:rPr>
                <w:color w:val="000000" w:themeColor="text1"/>
                <w:kern w:val="0"/>
                <w:sz w:val="28"/>
                <w:szCs w:val="28"/>
                <w:highlight w:val="none"/>
                <w14:textFill>
                  <w14:solidFill>
                    <w14:schemeClr w14:val="tx1"/>
                  </w14:solidFill>
                </w14:textFill>
              </w:rPr>
              <w:t>相关工作年限</w:t>
            </w:r>
          </w:p>
        </w:tc>
      </w:tr>
      <w:tr w14:paraId="40DC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0D3465F2">
            <w:pPr>
              <w:jc w:val="center"/>
              <w:rPr>
                <w:color w:val="000000" w:themeColor="text1"/>
                <w:kern w:val="0"/>
                <w:sz w:val="28"/>
                <w:szCs w:val="28"/>
                <w:highlight w:val="none"/>
                <w14:textFill>
                  <w14:solidFill>
                    <w14:schemeClr w14:val="tx1"/>
                  </w14:solidFill>
                </w14:textFill>
              </w:rPr>
            </w:pPr>
          </w:p>
        </w:tc>
        <w:tc>
          <w:tcPr>
            <w:tcW w:w="495" w:type="pct"/>
            <w:noWrap w:val="0"/>
            <w:vAlign w:val="center"/>
          </w:tcPr>
          <w:p w14:paraId="7D6A98CC">
            <w:pPr>
              <w:jc w:val="center"/>
              <w:rPr>
                <w:color w:val="000000" w:themeColor="text1"/>
                <w:kern w:val="0"/>
                <w:sz w:val="28"/>
                <w:szCs w:val="28"/>
                <w:highlight w:val="none"/>
                <w14:textFill>
                  <w14:solidFill>
                    <w14:schemeClr w14:val="tx1"/>
                  </w14:solidFill>
                </w14:textFill>
              </w:rPr>
            </w:pPr>
          </w:p>
        </w:tc>
        <w:tc>
          <w:tcPr>
            <w:tcW w:w="495" w:type="pct"/>
            <w:noWrap w:val="0"/>
            <w:vAlign w:val="center"/>
          </w:tcPr>
          <w:p w14:paraId="51CC18A3">
            <w:pPr>
              <w:jc w:val="center"/>
              <w:rPr>
                <w:color w:val="000000" w:themeColor="text1"/>
                <w:kern w:val="0"/>
                <w:sz w:val="28"/>
                <w:szCs w:val="28"/>
                <w:highlight w:val="none"/>
                <w14:textFill>
                  <w14:solidFill>
                    <w14:schemeClr w14:val="tx1"/>
                  </w14:solidFill>
                </w14:textFill>
              </w:rPr>
            </w:pPr>
          </w:p>
        </w:tc>
        <w:tc>
          <w:tcPr>
            <w:tcW w:w="495" w:type="pct"/>
            <w:noWrap w:val="0"/>
            <w:vAlign w:val="top"/>
          </w:tcPr>
          <w:p w14:paraId="1AB7C6C9">
            <w:pPr>
              <w:jc w:val="center"/>
              <w:rPr>
                <w:color w:val="000000" w:themeColor="text1"/>
                <w:kern w:val="0"/>
                <w:sz w:val="28"/>
                <w:szCs w:val="28"/>
                <w:highlight w:val="none"/>
                <w14:textFill>
                  <w14:solidFill>
                    <w14:schemeClr w14:val="tx1"/>
                  </w14:solidFill>
                </w14:textFill>
              </w:rPr>
            </w:pPr>
          </w:p>
        </w:tc>
        <w:tc>
          <w:tcPr>
            <w:tcW w:w="495" w:type="pct"/>
            <w:noWrap w:val="0"/>
            <w:vAlign w:val="center"/>
          </w:tcPr>
          <w:p w14:paraId="72CE2601">
            <w:pPr>
              <w:jc w:val="center"/>
              <w:rPr>
                <w:color w:val="000000" w:themeColor="text1"/>
                <w:kern w:val="0"/>
                <w:sz w:val="28"/>
                <w:szCs w:val="28"/>
                <w:highlight w:val="none"/>
                <w14:textFill>
                  <w14:solidFill>
                    <w14:schemeClr w14:val="tx1"/>
                  </w14:solidFill>
                </w14:textFill>
              </w:rPr>
            </w:pPr>
          </w:p>
        </w:tc>
        <w:tc>
          <w:tcPr>
            <w:tcW w:w="836" w:type="pct"/>
            <w:noWrap w:val="0"/>
            <w:vAlign w:val="center"/>
          </w:tcPr>
          <w:p w14:paraId="08C01545">
            <w:pPr>
              <w:jc w:val="center"/>
              <w:rPr>
                <w:color w:val="000000" w:themeColor="text1"/>
                <w:kern w:val="0"/>
                <w:sz w:val="28"/>
                <w:szCs w:val="28"/>
                <w:highlight w:val="none"/>
                <w14:textFill>
                  <w14:solidFill>
                    <w14:schemeClr w14:val="tx1"/>
                  </w14:solidFill>
                </w14:textFill>
              </w:rPr>
            </w:pPr>
          </w:p>
        </w:tc>
        <w:tc>
          <w:tcPr>
            <w:tcW w:w="1177" w:type="pct"/>
            <w:noWrap w:val="0"/>
            <w:vAlign w:val="center"/>
          </w:tcPr>
          <w:p w14:paraId="3E3F419D">
            <w:pPr>
              <w:jc w:val="center"/>
              <w:rPr>
                <w:color w:val="000000" w:themeColor="text1"/>
                <w:kern w:val="0"/>
                <w:sz w:val="28"/>
                <w:szCs w:val="28"/>
                <w:highlight w:val="none"/>
                <w14:textFill>
                  <w14:solidFill>
                    <w14:schemeClr w14:val="tx1"/>
                  </w14:solidFill>
                </w14:textFill>
              </w:rPr>
            </w:pPr>
          </w:p>
        </w:tc>
      </w:tr>
      <w:tr w14:paraId="5274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1D5CFCC7">
            <w:pPr>
              <w:jc w:val="center"/>
              <w:rPr>
                <w:color w:val="000000" w:themeColor="text1"/>
                <w:kern w:val="0"/>
                <w:sz w:val="24"/>
                <w:highlight w:val="none"/>
                <w14:textFill>
                  <w14:solidFill>
                    <w14:schemeClr w14:val="tx1"/>
                  </w14:solidFill>
                </w14:textFill>
              </w:rPr>
            </w:pPr>
          </w:p>
        </w:tc>
        <w:tc>
          <w:tcPr>
            <w:tcW w:w="495" w:type="pct"/>
            <w:noWrap w:val="0"/>
            <w:vAlign w:val="center"/>
          </w:tcPr>
          <w:p w14:paraId="14F3E2C5">
            <w:pPr>
              <w:jc w:val="center"/>
              <w:rPr>
                <w:color w:val="000000" w:themeColor="text1"/>
                <w:kern w:val="0"/>
                <w:sz w:val="24"/>
                <w:highlight w:val="none"/>
                <w14:textFill>
                  <w14:solidFill>
                    <w14:schemeClr w14:val="tx1"/>
                  </w14:solidFill>
                </w14:textFill>
              </w:rPr>
            </w:pPr>
          </w:p>
        </w:tc>
        <w:tc>
          <w:tcPr>
            <w:tcW w:w="495" w:type="pct"/>
            <w:noWrap w:val="0"/>
            <w:vAlign w:val="center"/>
          </w:tcPr>
          <w:p w14:paraId="56E25B80">
            <w:pPr>
              <w:jc w:val="center"/>
              <w:rPr>
                <w:color w:val="000000" w:themeColor="text1"/>
                <w:kern w:val="0"/>
                <w:sz w:val="24"/>
                <w:highlight w:val="none"/>
                <w14:textFill>
                  <w14:solidFill>
                    <w14:schemeClr w14:val="tx1"/>
                  </w14:solidFill>
                </w14:textFill>
              </w:rPr>
            </w:pPr>
          </w:p>
        </w:tc>
        <w:tc>
          <w:tcPr>
            <w:tcW w:w="495" w:type="pct"/>
            <w:noWrap w:val="0"/>
            <w:vAlign w:val="top"/>
          </w:tcPr>
          <w:p w14:paraId="43B2277E">
            <w:pPr>
              <w:jc w:val="center"/>
              <w:rPr>
                <w:color w:val="000000" w:themeColor="text1"/>
                <w:kern w:val="0"/>
                <w:sz w:val="24"/>
                <w:highlight w:val="none"/>
                <w14:textFill>
                  <w14:solidFill>
                    <w14:schemeClr w14:val="tx1"/>
                  </w14:solidFill>
                </w14:textFill>
              </w:rPr>
            </w:pPr>
          </w:p>
        </w:tc>
        <w:tc>
          <w:tcPr>
            <w:tcW w:w="495" w:type="pct"/>
            <w:noWrap w:val="0"/>
            <w:vAlign w:val="center"/>
          </w:tcPr>
          <w:p w14:paraId="352349FE">
            <w:pPr>
              <w:jc w:val="center"/>
              <w:rPr>
                <w:color w:val="000000" w:themeColor="text1"/>
                <w:kern w:val="0"/>
                <w:sz w:val="24"/>
                <w:highlight w:val="none"/>
                <w14:textFill>
                  <w14:solidFill>
                    <w14:schemeClr w14:val="tx1"/>
                  </w14:solidFill>
                </w14:textFill>
              </w:rPr>
            </w:pPr>
          </w:p>
        </w:tc>
        <w:tc>
          <w:tcPr>
            <w:tcW w:w="836" w:type="pct"/>
            <w:noWrap w:val="0"/>
            <w:vAlign w:val="center"/>
          </w:tcPr>
          <w:p w14:paraId="75A50615">
            <w:pPr>
              <w:jc w:val="center"/>
              <w:rPr>
                <w:color w:val="000000" w:themeColor="text1"/>
                <w:kern w:val="0"/>
                <w:sz w:val="24"/>
                <w:highlight w:val="none"/>
                <w14:textFill>
                  <w14:solidFill>
                    <w14:schemeClr w14:val="tx1"/>
                  </w14:solidFill>
                </w14:textFill>
              </w:rPr>
            </w:pPr>
          </w:p>
        </w:tc>
        <w:tc>
          <w:tcPr>
            <w:tcW w:w="1177" w:type="pct"/>
            <w:noWrap w:val="0"/>
            <w:vAlign w:val="center"/>
          </w:tcPr>
          <w:p w14:paraId="59F50730">
            <w:pPr>
              <w:jc w:val="center"/>
              <w:rPr>
                <w:color w:val="000000" w:themeColor="text1"/>
                <w:kern w:val="0"/>
                <w:sz w:val="24"/>
                <w:highlight w:val="none"/>
                <w14:textFill>
                  <w14:solidFill>
                    <w14:schemeClr w14:val="tx1"/>
                  </w14:solidFill>
                </w14:textFill>
              </w:rPr>
            </w:pPr>
          </w:p>
        </w:tc>
      </w:tr>
      <w:tr w14:paraId="17CA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1E380FFB">
            <w:pPr>
              <w:jc w:val="center"/>
              <w:rPr>
                <w:color w:val="000000" w:themeColor="text1"/>
                <w:kern w:val="0"/>
                <w:sz w:val="24"/>
                <w:highlight w:val="none"/>
                <w14:textFill>
                  <w14:solidFill>
                    <w14:schemeClr w14:val="tx1"/>
                  </w14:solidFill>
                </w14:textFill>
              </w:rPr>
            </w:pPr>
          </w:p>
        </w:tc>
        <w:tc>
          <w:tcPr>
            <w:tcW w:w="495" w:type="pct"/>
            <w:noWrap w:val="0"/>
            <w:vAlign w:val="center"/>
          </w:tcPr>
          <w:p w14:paraId="1C692073">
            <w:pPr>
              <w:jc w:val="center"/>
              <w:rPr>
                <w:color w:val="000000" w:themeColor="text1"/>
                <w:kern w:val="0"/>
                <w:sz w:val="24"/>
                <w:highlight w:val="none"/>
                <w14:textFill>
                  <w14:solidFill>
                    <w14:schemeClr w14:val="tx1"/>
                  </w14:solidFill>
                </w14:textFill>
              </w:rPr>
            </w:pPr>
          </w:p>
        </w:tc>
        <w:tc>
          <w:tcPr>
            <w:tcW w:w="495" w:type="pct"/>
            <w:noWrap w:val="0"/>
            <w:vAlign w:val="center"/>
          </w:tcPr>
          <w:p w14:paraId="6CDF2D33">
            <w:pPr>
              <w:jc w:val="center"/>
              <w:rPr>
                <w:color w:val="000000" w:themeColor="text1"/>
                <w:kern w:val="0"/>
                <w:sz w:val="24"/>
                <w:highlight w:val="none"/>
                <w14:textFill>
                  <w14:solidFill>
                    <w14:schemeClr w14:val="tx1"/>
                  </w14:solidFill>
                </w14:textFill>
              </w:rPr>
            </w:pPr>
          </w:p>
        </w:tc>
        <w:tc>
          <w:tcPr>
            <w:tcW w:w="495" w:type="pct"/>
            <w:noWrap w:val="0"/>
            <w:vAlign w:val="top"/>
          </w:tcPr>
          <w:p w14:paraId="7D3EA0F2">
            <w:pPr>
              <w:jc w:val="center"/>
              <w:rPr>
                <w:color w:val="000000" w:themeColor="text1"/>
                <w:kern w:val="0"/>
                <w:sz w:val="24"/>
                <w:highlight w:val="none"/>
                <w14:textFill>
                  <w14:solidFill>
                    <w14:schemeClr w14:val="tx1"/>
                  </w14:solidFill>
                </w14:textFill>
              </w:rPr>
            </w:pPr>
          </w:p>
        </w:tc>
        <w:tc>
          <w:tcPr>
            <w:tcW w:w="495" w:type="pct"/>
            <w:noWrap w:val="0"/>
            <w:vAlign w:val="center"/>
          </w:tcPr>
          <w:p w14:paraId="4FA311D4">
            <w:pPr>
              <w:jc w:val="center"/>
              <w:rPr>
                <w:color w:val="000000" w:themeColor="text1"/>
                <w:kern w:val="0"/>
                <w:sz w:val="24"/>
                <w:highlight w:val="none"/>
                <w14:textFill>
                  <w14:solidFill>
                    <w14:schemeClr w14:val="tx1"/>
                  </w14:solidFill>
                </w14:textFill>
              </w:rPr>
            </w:pPr>
          </w:p>
        </w:tc>
        <w:tc>
          <w:tcPr>
            <w:tcW w:w="836" w:type="pct"/>
            <w:noWrap w:val="0"/>
            <w:vAlign w:val="center"/>
          </w:tcPr>
          <w:p w14:paraId="1E588AB3">
            <w:pPr>
              <w:jc w:val="center"/>
              <w:rPr>
                <w:color w:val="000000" w:themeColor="text1"/>
                <w:kern w:val="0"/>
                <w:sz w:val="24"/>
                <w:highlight w:val="none"/>
                <w14:textFill>
                  <w14:solidFill>
                    <w14:schemeClr w14:val="tx1"/>
                  </w14:solidFill>
                </w14:textFill>
              </w:rPr>
            </w:pPr>
          </w:p>
        </w:tc>
        <w:tc>
          <w:tcPr>
            <w:tcW w:w="1177" w:type="pct"/>
            <w:noWrap w:val="0"/>
            <w:vAlign w:val="center"/>
          </w:tcPr>
          <w:p w14:paraId="67D0843C">
            <w:pPr>
              <w:jc w:val="center"/>
              <w:rPr>
                <w:color w:val="000000" w:themeColor="text1"/>
                <w:kern w:val="0"/>
                <w:sz w:val="24"/>
                <w:highlight w:val="none"/>
                <w14:textFill>
                  <w14:solidFill>
                    <w14:schemeClr w14:val="tx1"/>
                  </w14:solidFill>
                </w14:textFill>
              </w:rPr>
            </w:pPr>
          </w:p>
        </w:tc>
      </w:tr>
      <w:tr w14:paraId="46DA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2370078E">
            <w:pPr>
              <w:jc w:val="center"/>
              <w:rPr>
                <w:color w:val="000000" w:themeColor="text1"/>
                <w:kern w:val="0"/>
                <w:sz w:val="24"/>
                <w:highlight w:val="none"/>
                <w14:textFill>
                  <w14:solidFill>
                    <w14:schemeClr w14:val="tx1"/>
                  </w14:solidFill>
                </w14:textFill>
              </w:rPr>
            </w:pPr>
          </w:p>
        </w:tc>
        <w:tc>
          <w:tcPr>
            <w:tcW w:w="495" w:type="pct"/>
            <w:noWrap w:val="0"/>
            <w:vAlign w:val="center"/>
          </w:tcPr>
          <w:p w14:paraId="1B500624">
            <w:pPr>
              <w:jc w:val="center"/>
              <w:rPr>
                <w:color w:val="000000" w:themeColor="text1"/>
                <w:kern w:val="0"/>
                <w:sz w:val="24"/>
                <w:highlight w:val="none"/>
                <w14:textFill>
                  <w14:solidFill>
                    <w14:schemeClr w14:val="tx1"/>
                  </w14:solidFill>
                </w14:textFill>
              </w:rPr>
            </w:pPr>
          </w:p>
        </w:tc>
        <w:tc>
          <w:tcPr>
            <w:tcW w:w="495" w:type="pct"/>
            <w:noWrap w:val="0"/>
            <w:vAlign w:val="center"/>
          </w:tcPr>
          <w:p w14:paraId="20ECA014">
            <w:pPr>
              <w:jc w:val="center"/>
              <w:rPr>
                <w:color w:val="000000" w:themeColor="text1"/>
                <w:kern w:val="0"/>
                <w:sz w:val="24"/>
                <w:highlight w:val="none"/>
                <w14:textFill>
                  <w14:solidFill>
                    <w14:schemeClr w14:val="tx1"/>
                  </w14:solidFill>
                </w14:textFill>
              </w:rPr>
            </w:pPr>
          </w:p>
        </w:tc>
        <w:tc>
          <w:tcPr>
            <w:tcW w:w="495" w:type="pct"/>
            <w:noWrap w:val="0"/>
            <w:vAlign w:val="top"/>
          </w:tcPr>
          <w:p w14:paraId="70D3C9AE">
            <w:pPr>
              <w:jc w:val="center"/>
              <w:rPr>
                <w:color w:val="000000" w:themeColor="text1"/>
                <w:kern w:val="0"/>
                <w:sz w:val="24"/>
                <w:highlight w:val="none"/>
                <w14:textFill>
                  <w14:solidFill>
                    <w14:schemeClr w14:val="tx1"/>
                  </w14:solidFill>
                </w14:textFill>
              </w:rPr>
            </w:pPr>
          </w:p>
        </w:tc>
        <w:tc>
          <w:tcPr>
            <w:tcW w:w="495" w:type="pct"/>
            <w:noWrap w:val="0"/>
            <w:vAlign w:val="center"/>
          </w:tcPr>
          <w:p w14:paraId="3F250DC7">
            <w:pPr>
              <w:jc w:val="center"/>
              <w:rPr>
                <w:color w:val="000000" w:themeColor="text1"/>
                <w:kern w:val="0"/>
                <w:sz w:val="24"/>
                <w:highlight w:val="none"/>
                <w14:textFill>
                  <w14:solidFill>
                    <w14:schemeClr w14:val="tx1"/>
                  </w14:solidFill>
                </w14:textFill>
              </w:rPr>
            </w:pPr>
          </w:p>
        </w:tc>
        <w:tc>
          <w:tcPr>
            <w:tcW w:w="836" w:type="pct"/>
            <w:noWrap w:val="0"/>
            <w:vAlign w:val="center"/>
          </w:tcPr>
          <w:p w14:paraId="72B2D241">
            <w:pPr>
              <w:jc w:val="center"/>
              <w:rPr>
                <w:color w:val="000000" w:themeColor="text1"/>
                <w:kern w:val="0"/>
                <w:sz w:val="24"/>
                <w:highlight w:val="none"/>
                <w14:textFill>
                  <w14:solidFill>
                    <w14:schemeClr w14:val="tx1"/>
                  </w14:solidFill>
                </w14:textFill>
              </w:rPr>
            </w:pPr>
          </w:p>
        </w:tc>
        <w:tc>
          <w:tcPr>
            <w:tcW w:w="1177" w:type="pct"/>
            <w:noWrap w:val="0"/>
            <w:vAlign w:val="center"/>
          </w:tcPr>
          <w:p w14:paraId="5852F1DC">
            <w:pPr>
              <w:jc w:val="center"/>
              <w:rPr>
                <w:color w:val="000000" w:themeColor="text1"/>
                <w:kern w:val="0"/>
                <w:sz w:val="24"/>
                <w:highlight w:val="none"/>
                <w14:textFill>
                  <w14:solidFill>
                    <w14:schemeClr w14:val="tx1"/>
                  </w14:solidFill>
                </w14:textFill>
              </w:rPr>
            </w:pPr>
          </w:p>
        </w:tc>
      </w:tr>
      <w:tr w14:paraId="67CE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69E6AF12">
            <w:pPr>
              <w:jc w:val="center"/>
              <w:rPr>
                <w:color w:val="000000" w:themeColor="text1"/>
                <w:kern w:val="0"/>
                <w:sz w:val="24"/>
                <w:highlight w:val="none"/>
                <w14:textFill>
                  <w14:solidFill>
                    <w14:schemeClr w14:val="tx1"/>
                  </w14:solidFill>
                </w14:textFill>
              </w:rPr>
            </w:pPr>
          </w:p>
        </w:tc>
        <w:tc>
          <w:tcPr>
            <w:tcW w:w="495" w:type="pct"/>
            <w:noWrap w:val="0"/>
            <w:vAlign w:val="center"/>
          </w:tcPr>
          <w:p w14:paraId="39F30CA9">
            <w:pPr>
              <w:jc w:val="center"/>
              <w:rPr>
                <w:color w:val="000000" w:themeColor="text1"/>
                <w:kern w:val="0"/>
                <w:sz w:val="24"/>
                <w:highlight w:val="none"/>
                <w14:textFill>
                  <w14:solidFill>
                    <w14:schemeClr w14:val="tx1"/>
                  </w14:solidFill>
                </w14:textFill>
              </w:rPr>
            </w:pPr>
          </w:p>
        </w:tc>
        <w:tc>
          <w:tcPr>
            <w:tcW w:w="495" w:type="pct"/>
            <w:noWrap w:val="0"/>
            <w:vAlign w:val="center"/>
          </w:tcPr>
          <w:p w14:paraId="59A9B50A">
            <w:pPr>
              <w:jc w:val="center"/>
              <w:rPr>
                <w:color w:val="000000" w:themeColor="text1"/>
                <w:kern w:val="0"/>
                <w:sz w:val="24"/>
                <w:highlight w:val="none"/>
                <w14:textFill>
                  <w14:solidFill>
                    <w14:schemeClr w14:val="tx1"/>
                  </w14:solidFill>
                </w14:textFill>
              </w:rPr>
            </w:pPr>
          </w:p>
        </w:tc>
        <w:tc>
          <w:tcPr>
            <w:tcW w:w="495" w:type="pct"/>
            <w:noWrap w:val="0"/>
            <w:vAlign w:val="top"/>
          </w:tcPr>
          <w:p w14:paraId="0D912E0D">
            <w:pPr>
              <w:jc w:val="center"/>
              <w:rPr>
                <w:color w:val="000000" w:themeColor="text1"/>
                <w:kern w:val="0"/>
                <w:sz w:val="24"/>
                <w:highlight w:val="none"/>
                <w14:textFill>
                  <w14:solidFill>
                    <w14:schemeClr w14:val="tx1"/>
                  </w14:solidFill>
                </w14:textFill>
              </w:rPr>
            </w:pPr>
          </w:p>
        </w:tc>
        <w:tc>
          <w:tcPr>
            <w:tcW w:w="495" w:type="pct"/>
            <w:noWrap w:val="0"/>
            <w:vAlign w:val="center"/>
          </w:tcPr>
          <w:p w14:paraId="36772B46">
            <w:pPr>
              <w:jc w:val="center"/>
              <w:rPr>
                <w:color w:val="000000" w:themeColor="text1"/>
                <w:kern w:val="0"/>
                <w:sz w:val="24"/>
                <w:highlight w:val="none"/>
                <w14:textFill>
                  <w14:solidFill>
                    <w14:schemeClr w14:val="tx1"/>
                  </w14:solidFill>
                </w14:textFill>
              </w:rPr>
            </w:pPr>
          </w:p>
        </w:tc>
        <w:tc>
          <w:tcPr>
            <w:tcW w:w="836" w:type="pct"/>
            <w:noWrap w:val="0"/>
            <w:vAlign w:val="center"/>
          </w:tcPr>
          <w:p w14:paraId="5FB32511">
            <w:pPr>
              <w:jc w:val="center"/>
              <w:rPr>
                <w:color w:val="000000" w:themeColor="text1"/>
                <w:kern w:val="0"/>
                <w:sz w:val="24"/>
                <w:highlight w:val="none"/>
                <w14:textFill>
                  <w14:solidFill>
                    <w14:schemeClr w14:val="tx1"/>
                  </w14:solidFill>
                </w14:textFill>
              </w:rPr>
            </w:pPr>
          </w:p>
        </w:tc>
        <w:tc>
          <w:tcPr>
            <w:tcW w:w="1177" w:type="pct"/>
            <w:noWrap w:val="0"/>
            <w:vAlign w:val="center"/>
          </w:tcPr>
          <w:p w14:paraId="4B50DFC4">
            <w:pPr>
              <w:jc w:val="center"/>
              <w:rPr>
                <w:color w:val="000000" w:themeColor="text1"/>
                <w:kern w:val="0"/>
                <w:sz w:val="24"/>
                <w:highlight w:val="none"/>
                <w14:textFill>
                  <w14:solidFill>
                    <w14:schemeClr w14:val="tx1"/>
                  </w14:solidFill>
                </w14:textFill>
              </w:rPr>
            </w:pPr>
          </w:p>
        </w:tc>
      </w:tr>
      <w:tr w14:paraId="49D1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15DD73B9">
            <w:pPr>
              <w:jc w:val="center"/>
              <w:rPr>
                <w:color w:val="000000" w:themeColor="text1"/>
                <w:kern w:val="0"/>
                <w:sz w:val="24"/>
                <w:highlight w:val="none"/>
                <w14:textFill>
                  <w14:solidFill>
                    <w14:schemeClr w14:val="tx1"/>
                  </w14:solidFill>
                </w14:textFill>
              </w:rPr>
            </w:pPr>
          </w:p>
        </w:tc>
        <w:tc>
          <w:tcPr>
            <w:tcW w:w="495" w:type="pct"/>
            <w:noWrap w:val="0"/>
            <w:vAlign w:val="center"/>
          </w:tcPr>
          <w:p w14:paraId="721BC941">
            <w:pPr>
              <w:jc w:val="center"/>
              <w:rPr>
                <w:color w:val="000000" w:themeColor="text1"/>
                <w:kern w:val="0"/>
                <w:sz w:val="24"/>
                <w:highlight w:val="none"/>
                <w14:textFill>
                  <w14:solidFill>
                    <w14:schemeClr w14:val="tx1"/>
                  </w14:solidFill>
                </w14:textFill>
              </w:rPr>
            </w:pPr>
          </w:p>
        </w:tc>
        <w:tc>
          <w:tcPr>
            <w:tcW w:w="495" w:type="pct"/>
            <w:noWrap w:val="0"/>
            <w:vAlign w:val="center"/>
          </w:tcPr>
          <w:p w14:paraId="01868845">
            <w:pPr>
              <w:jc w:val="center"/>
              <w:rPr>
                <w:color w:val="000000" w:themeColor="text1"/>
                <w:kern w:val="0"/>
                <w:sz w:val="24"/>
                <w:highlight w:val="none"/>
                <w14:textFill>
                  <w14:solidFill>
                    <w14:schemeClr w14:val="tx1"/>
                  </w14:solidFill>
                </w14:textFill>
              </w:rPr>
            </w:pPr>
          </w:p>
        </w:tc>
        <w:tc>
          <w:tcPr>
            <w:tcW w:w="495" w:type="pct"/>
            <w:noWrap w:val="0"/>
            <w:vAlign w:val="top"/>
          </w:tcPr>
          <w:p w14:paraId="13CA92AA">
            <w:pPr>
              <w:jc w:val="center"/>
              <w:rPr>
                <w:color w:val="000000" w:themeColor="text1"/>
                <w:kern w:val="0"/>
                <w:sz w:val="24"/>
                <w:highlight w:val="none"/>
                <w14:textFill>
                  <w14:solidFill>
                    <w14:schemeClr w14:val="tx1"/>
                  </w14:solidFill>
                </w14:textFill>
              </w:rPr>
            </w:pPr>
          </w:p>
        </w:tc>
        <w:tc>
          <w:tcPr>
            <w:tcW w:w="495" w:type="pct"/>
            <w:noWrap w:val="0"/>
            <w:vAlign w:val="center"/>
          </w:tcPr>
          <w:p w14:paraId="6BA05FA3">
            <w:pPr>
              <w:jc w:val="center"/>
              <w:rPr>
                <w:color w:val="000000" w:themeColor="text1"/>
                <w:kern w:val="0"/>
                <w:sz w:val="24"/>
                <w:highlight w:val="none"/>
                <w14:textFill>
                  <w14:solidFill>
                    <w14:schemeClr w14:val="tx1"/>
                  </w14:solidFill>
                </w14:textFill>
              </w:rPr>
            </w:pPr>
          </w:p>
        </w:tc>
        <w:tc>
          <w:tcPr>
            <w:tcW w:w="836" w:type="pct"/>
            <w:noWrap w:val="0"/>
            <w:vAlign w:val="center"/>
          </w:tcPr>
          <w:p w14:paraId="77B021D4">
            <w:pPr>
              <w:jc w:val="center"/>
              <w:rPr>
                <w:color w:val="000000" w:themeColor="text1"/>
                <w:kern w:val="0"/>
                <w:sz w:val="24"/>
                <w:highlight w:val="none"/>
                <w14:textFill>
                  <w14:solidFill>
                    <w14:schemeClr w14:val="tx1"/>
                  </w14:solidFill>
                </w14:textFill>
              </w:rPr>
            </w:pPr>
          </w:p>
        </w:tc>
        <w:tc>
          <w:tcPr>
            <w:tcW w:w="1177" w:type="pct"/>
            <w:noWrap w:val="0"/>
            <w:vAlign w:val="center"/>
          </w:tcPr>
          <w:p w14:paraId="71D991FD">
            <w:pPr>
              <w:jc w:val="center"/>
              <w:rPr>
                <w:color w:val="000000" w:themeColor="text1"/>
                <w:kern w:val="0"/>
                <w:sz w:val="24"/>
                <w:highlight w:val="none"/>
                <w14:textFill>
                  <w14:solidFill>
                    <w14:schemeClr w14:val="tx1"/>
                  </w14:solidFill>
                </w14:textFill>
              </w:rPr>
            </w:pPr>
          </w:p>
        </w:tc>
      </w:tr>
      <w:tr w14:paraId="3B65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15FB304C">
            <w:pPr>
              <w:jc w:val="center"/>
              <w:rPr>
                <w:color w:val="000000" w:themeColor="text1"/>
                <w:kern w:val="0"/>
                <w:sz w:val="24"/>
                <w:highlight w:val="none"/>
                <w14:textFill>
                  <w14:solidFill>
                    <w14:schemeClr w14:val="tx1"/>
                  </w14:solidFill>
                </w14:textFill>
              </w:rPr>
            </w:pPr>
          </w:p>
        </w:tc>
        <w:tc>
          <w:tcPr>
            <w:tcW w:w="495" w:type="pct"/>
            <w:noWrap w:val="0"/>
            <w:vAlign w:val="center"/>
          </w:tcPr>
          <w:p w14:paraId="7070A375">
            <w:pPr>
              <w:jc w:val="center"/>
              <w:rPr>
                <w:color w:val="000000" w:themeColor="text1"/>
                <w:kern w:val="0"/>
                <w:sz w:val="24"/>
                <w:highlight w:val="none"/>
                <w14:textFill>
                  <w14:solidFill>
                    <w14:schemeClr w14:val="tx1"/>
                  </w14:solidFill>
                </w14:textFill>
              </w:rPr>
            </w:pPr>
          </w:p>
        </w:tc>
        <w:tc>
          <w:tcPr>
            <w:tcW w:w="495" w:type="pct"/>
            <w:noWrap w:val="0"/>
            <w:vAlign w:val="center"/>
          </w:tcPr>
          <w:p w14:paraId="7BA18786">
            <w:pPr>
              <w:jc w:val="center"/>
              <w:rPr>
                <w:color w:val="000000" w:themeColor="text1"/>
                <w:kern w:val="0"/>
                <w:sz w:val="24"/>
                <w:highlight w:val="none"/>
                <w14:textFill>
                  <w14:solidFill>
                    <w14:schemeClr w14:val="tx1"/>
                  </w14:solidFill>
                </w14:textFill>
              </w:rPr>
            </w:pPr>
          </w:p>
        </w:tc>
        <w:tc>
          <w:tcPr>
            <w:tcW w:w="495" w:type="pct"/>
            <w:noWrap w:val="0"/>
            <w:vAlign w:val="top"/>
          </w:tcPr>
          <w:p w14:paraId="7FC49E50">
            <w:pPr>
              <w:jc w:val="center"/>
              <w:rPr>
                <w:color w:val="000000" w:themeColor="text1"/>
                <w:kern w:val="0"/>
                <w:sz w:val="24"/>
                <w:highlight w:val="none"/>
                <w14:textFill>
                  <w14:solidFill>
                    <w14:schemeClr w14:val="tx1"/>
                  </w14:solidFill>
                </w14:textFill>
              </w:rPr>
            </w:pPr>
          </w:p>
        </w:tc>
        <w:tc>
          <w:tcPr>
            <w:tcW w:w="495" w:type="pct"/>
            <w:noWrap w:val="0"/>
            <w:vAlign w:val="center"/>
          </w:tcPr>
          <w:p w14:paraId="6E32FFF9">
            <w:pPr>
              <w:jc w:val="center"/>
              <w:rPr>
                <w:color w:val="000000" w:themeColor="text1"/>
                <w:kern w:val="0"/>
                <w:sz w:val="24"/>
                <w:highlight w:val="none"/>
                <w14:textFill>
                  <w14:solidFill>
                    <w14:schemeClr w14:val="tx1"/>
                  </w14:solidFill>
                </w14:textFill>
              </w:rPr>
            </w:pPr>
          </w:p>
        </w:tc>
        <w:tc>
          <w:tcPr>
            <w:tcW w:w="836" w:type="pct"/>
            <w:noWrap w:val="0"/>
            <w:vAlign w:val="center"/>
          </w:tcPr>
          <w:p w14:paraId="7497CBEF">
            <w:pPr>
              <w:jc w:val="center"/>
              <w:rPr>
                <w:color w:val="000000" w:themeColor="text1"/>
                <w:kern w:val="0"/>
                <w:sz w:val="24"/>
                <w:highlight w:val="none"/>
                <w14:textFill>
                  <w14:solidFill>
                    <w14:schemeClr w14:val="tx1"/>
                  </w14:solidFill>
                </w14:textFill>
              </w:rPr>
            </w:pPr>
          </w:p>
        </w:tc>
        <w:tc>
          <w:tcPr>
            <w:tcW w:w="1177" w:type="pct"/>
            <w:noWrap w:val="0"/>
            <w:vAlign w:val="center"/>
          </w:tcPr>
          <w:p w14:paraId="60BEB43E">
            <w:pPr>
              <w:jc w:val="center"/>
              <w:rPr>
                <w:color w:val="000000" w:themeColor="text1"/>
                <w:kern w:val="0"/>
                <w:sz w:val="24"/>
                <w:highlight w:val="none"/>
                <w14:textFill>
                  <w14:solidFill>
                    <w14:schemeClr w14:val="tx1"/>
                  </w14:solidFill>
                </w14:textFill>
              </w:rPr>
            </w:pPr>
          </w:p>
        </w:tc>
      </w:tr>
      <w:tr w14:paraId="62C1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0C55A45F">
            <w:pPr>
              <w:jc w:val="center"/>
              <w:rPr>
                <w:color w:val="000000" w:themeColor="text1"/>
                <w:kern w:val="0"/>
                <w:sz w:val="24"/>
                <w:highlight w:val="none"/>
                <w14:textFill>
                  <w14:solidFill>
                    <w14:schemeClr w14:val="tx1"/>
                  </w14:solidFill>
                </w14:textFill>
              </w:rPr>
            </w:pPr>
          </w:p>
        </w:tc>
        <w:tc>
          <w:tcPr>
            <w:tcW w:w="495" w:type="pct"/>
            <w:noWrap w:val="0"/>
            <w:vAlign w:val="center"/>
          </w:tcPr>
          <w:p w14:paraId="3145094B">
            <w:pPr>
              <w:jc w:val="center"/>
              <w:rPr>
                <w:color w:val="000000" w:themeColor="text1"/>
                <w:kern w:val="0"/>
                <w:sz w:val="24"/>
                <w:highlight w:val="none"/>
                <w14:textFill>
                  <w14:solidFill>
                    <w14:schemeClr w14:val="tx1"/>
                  </w14:solidFill>
                </w14:textFill>
              </w:rPr>
            </w:pPr>
          </w:p>
        </w:tc>
        <w:tc>
          <w:tcPr>
            <w:tcW w:w="495" w:type="pct"/>
            <w:noWrap w:val="0"/>
            <w:vAlign w:val="center"/>
          </w:tcPr>
          <w:p w14:paraId="50539D4A">
            <w:pPr>
              <w:jc w:val="center"/>
              <w:rPr>
                <w:color w:val="000000" w:themeColor="text1"/>
                <w:kern w:val="0"/>
                <w:sz w:val="24"/>
                <w:highlight w:val="none"/>
                <w14:textFill>
                  <w14:solidFill>
                    <w14:schemeClr w14:val="tx1"/>
                  </w14:solidFill>
                </w14:textFill>
              </w:rPr>
            </w:pPr>
          </w:p>
        </w:tc>
        <w:tc>
          <w:tcPr>
            <w:tcW w:w="495" w:type="pct"/>
            <w:noWrap w:val="0"/>
            <w:vAlign w:val="top"/>
          </w:tcPr>
          <w:p w14:paraId="1966CE84">
            <w:pPr>
              <w:jc w:val="center"/>
              <w:rPr>
                <w:color w:val="000000" w:themeColor="text1"/>
                <w:kern w:val="0"/>
                <w:sz w:val="24"/>
                <w:highlight w:val="none"/>
                <w14:textFill>
                  <w14:solidFill>
                    <w14:schemeClr w14:val="tx1"/>
                  </w14:solidFill>
                </w14:textFill>
              </w:rPr>
            </w:pPr>
          </w:p>
        </w:tc>
        <w:tc>
          <w:tcPr>
            <w:tcW w:w="495" w:type="pct"/>
            <w:noWrap w:val="0"/>
            <w:vAlign w:val="center"/>
          </w:tcPr>
          <w:p w14:paraId="262D441F">
            <w:pPr>
              <w:jc w:val="center"/>
              <w:rPr>
                <w:color w:val="000000" w:themeColor="text1"/>
                <w:kern w:val="0"/>
                <w:sz w:val="24"/>
                <w:highlight w:val="none"/>
                <w14:textFill>
                  <w14:solidFill>
                    <w14:schemeClr w14:val="tx1"/>
                  </w14:solidFill>
                </w14:textFill>
              </w:rPr>
            </w:pPr>
          </w:p>
        </w:tc>
        <w:tc>
          <w:tcPr>
            <w:tcW w:w="836" w:type="pct"/>
            <w:noWrap w:val="0"/>
            <w:vAlign w:val="center"/>
          </w:tcPr>
          <w:p w14:paraId="3D412CE8">
            <w:pPr>
              <w:jc w:val="center"/>
              <w:rPr>
                <w:color w:val="000000" w:themeColor="text1"/>
                <w:kern w:val="0"/>
                <w:sz w:val="24"/>
                <w:highlight w:val="none"/>
                <w14:textFill>
                  <w14:solidFill>
                    <w14:schemeClr w14:val="tx1"/>
                  </w14:solidFill>
                </w14:textFill>
              </w:rPr>
            </w:pPr>
          </w:p>
        </w:tc>
        <w:tc>
          <w:tcPr>
            <w:tcW w:w="1177" w:type="pct"/>
            <w:noWrap w:val="0"/>
            <w:vAlign w:val="center"/>
          </w:tcPr>
          <w:p w14:paraId="148B59EF">
            <w:pPr>
              <w:jc w:val="center"/>
              <w:rPr>
                <w:color w:val="000000" w:themeColor="text1"/>
                <w:kern w:val="0"/>
                <w:sz w:val="24"/>
                <w:highlight w:val="none"/>
                <w14:textFill>
                  <w14:solidFill>
                    <w14:schemeClr w14:val="tx1"/>
                  </w14:solidFill>
                </w14:textFill>
              </w:rPr>
            </w:pPr>
          </w:p>
        </w:tc>
      </w:tr>
      <w:tr w14:paraId="5D9C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08" w:type="pct"/>
            <w:noWrap w:val="0"/>
            <w:vAlign w:val="center"/>
          </w:tcPr>
          <w:p w14:paraId="7CA85447">
            <w:pPr>
              <w:jc w:val="center"/>
              <w:rPr>
                <w:color w:val="000000" w:themeColor="text1"/>
                <w:kern w:val="0"/>
                <w:sz w:val="24"/>
                <w:highlight w:val="none"/>
                <w14:textFill>
                  <w14:solidFill>
                    <w14:schemeClr w14:val="tx1"/>
                  </w14:solidFill>
                </w14:textFill>
              </w:rPr>
            </w:pPr>
          </w:p>
        </w:tc>
        <w:tc>
          <w:tcPr>
            <w:tcW w:w="495" w:type="pct"/>
            <w:noWrap w:val="0"/>
            <w:vAlign w:val="center"/>
          </w:tcPr>
          <w:p w14:paraId="72834470">
            <w:pPr>
              <w:jc w:val="center"/>
              <w:rPr>
                <w:color w:val="000000" w:themeColor="text1"/>
                <w:kern w:val="0"/>
                <w:sz w:val="24"/>
                <w:highlight w:val="none"/>
                <w14:textFill>
                  <w14:solidFill>
                    <w14:schemeClr w14:val="tx1"/>
                  </w14:solidFill>
                </w14:textFill>
              </w:rPr>
            </w:pPr>
          </w:p>
        </w:tc>
        <w:tc>
          <w:tcPr>
            <w:tcW w:w="495" w:type="pct"/>
            <w:noWrap w:val="0"/>
            <w:vAlign w:val="center"/>
          </w:tcPr>
          <w:p w14:paraId="3EA877FB">
            <w:pPr>
              <w:jc w:val="center"/>
              <w:rPr>
                <w:color w:val="000000" w:themeColor="text1"/>
                <w:kern w:val="0"/>
                <w:sz w:val="24"/>
                <w:highlight w:val="none"/>
                <w14:textFill>
                  <w14:solidFill>
                    <w14:schemeClr w14:val="tx1"/>
                  </w14:solidFill>
                </w14:textFill>
              </w:rPr>
            </w:pPr>
          </w:p>
        </w:tc>
        <w:tc>
          <w:tcPr>
            <w:tcW w:w="495" w:type="pct"/>
            <w:noWrap w:val="0"/>
            <w:vAlign w:val="top"/>
          </w:tcPr>
          <w:p w14:paraId="1662E161">
            <w:pPr>
              <w:jc w:val="center"/>
              <w:rPr>
                <w:color w:val="000000" w:themeColor="text1"/>
                <w:kern w:val="0"/>
                <w:sz w:val="24"/>
                <w:highlight w:val="none"/>
                <w14:textFill>
                  <w14:solidFill>
                    <w14:schemeClr w14:val="tx1"/>
                  </w14:solidFill>
                </w14:textFill>
              </w:rPr>
            </w:pPr>
          </w:p>
        </w:tc>
        <w:tc>
          <w:tcPr>
            <w:tcW w:w="495" w:type="pct"/>
            <w:noWrap w:val="0"/>
            <w:vAlign w:val="center"/>
          </w:tcPr>
          <w:p w14:paraId="6DF66863">
            <w:pPr>
              <w:jc w:val="center"/>
              <w:rPr>
                <w:color w:val="000000" w:themeColor="text1"/>
                <w:kern w:val="0"/>
                <w:sz w:val="24"/>
                <w:highlight w:val="none"/>
                <w14:textFill>
                  <w14:solidFill>
                    <w14:schemeClr w14:val="tx1"/>
                  </w14:solidFill>
                </w14:textFill>
              </w:rPr>
            </w:pPr>
          </w:p>
        </w:tc>
        <w:tc>
          <w:tcPr>
            <w:tcW w:w="836" w:type="pct"/>
            <w:noWrap w:val="0"/>
            <w:vAlign w:val="center"/>
          </w:tcPr>
          <w:p w14:paraId="37F85FB3">
            <w:pPr>
              <w:jc w:val="center"/>
              <w:rPr>
                <w:color w:val="000000" w:themeColor="text1"/>
                <w:kern w:val="0"/>
                <w:sz w:val="24"/>
                <w:highlight w:val="none"/>
                <w14:textFill>
                  <w14:solidFill>
                    <w14:schemeClr w14:val="tx1"/>
                  </w14:solidFill>
                </w14:textFill>
              </w:rPr>
            </w:pPr>
          </w:p>
        </w:tc>
        <w:tc>
          <w:tcPr>
            <w:tcW w:w="1177" w:type="pct"/>
            <w:noWrap w:val="0"/>
            <w:vAlign w:val="center"/>
          </w:tcPr>
          <w:p w14:paraId="348F19C4">
            <w:pPr>
              <w:jc w:val="center"/>
              <w:rPr>
                <w:color w:val="000000" w:themeColor="text1"/>
                <w:kern w:val="0"/>
                <w:sz w:val="24"/>
                <w:highlight w:val="none"/>
                <w14:textFill>
                  <w14:solidFill>
                    <w14:schemeClr w14:val="tx1"/>
                  </w14:solidFill>
                </w14:textFill>
              </w:rPr>
            </w:pPr>
          </w:p>
        </w:tc>
      </w:tr>
    </w:tbl>
    <w:p w14:paraId="7458EFA7">
      <w:pPr>
        <w:pStyle w:val="4"/>
        <w:rPr>
          <w:rFonts w:ascii="Times New Roman"/>
          <w:color w:val="000000" w:themeColor="text1"/>
          <w:highlight w:val="none"/>
          <w:u w:val="none"/>
          <w14:textFill>
            <w14:solidFill>
              <w14:schemeClr w14:val="tx1"/>
            </w14:solidFill>
          </w14:textFill>
        </w:rPr>
      </w:pPr>
      <w:r>
        <w:rPr>
          <w:rFonts w:ascii="Times New Roman"/>
          <w:color w:val="000000" w:themeColor="text1"/>
          <w:highlight w:val="none"/>
          <w14:textFill>
            <w14:solidFill>
              <w14:schemeClr w14:val="tx1"/>
            </w14:solidFill>
          </w14:textFill>
        </w:rPr>
        <w:br w:type="page"/>
      </w:r>
      <w:r>
        <w:rPr>
          <w:rFonts w:hint="eastAsia" w:ascii="Times New Roman"/>
          <w:color w:val="000000" w:themeColor="text1"/>
          <w:sz w:val="28"/>
          <w:szCs w:val="28"/>
          <w:highlight w:val="none"/>
          <w:u w:val="none"/>
          <w:lang w:val="en-US" w:eastAsia="zh-CN"/>
          <w14:textFill>
            <w14:solidFill>
              <w14:schemeClr w14:val="tx1"/>
            </w14:solidFill>
          </w14:textFill>
        </w:rPr>
        <w:t>七、</w:t>
      </w:r>
      <w:r>
        <w:rPr>
          <w:rFonts w:ascii="Times New Roman" w:eastAsia="宋体"/>
          <w:color w:val="000000" w:themeColor="text1"/>
          <w:sz w:val="28"/>
          <w:szCs w:val="28"/>
          <w:highlight w:val="none"/>
          <w:u w:val="none"/>
          <w14:textFill>
            <w14:solidFill>
              <w14:schemeClr w14:val="tx1"/>
            </w14:solidFill>
          </w14:textFill>
        </w:rPr>
        <w:t xml:space="preserve"> 项目实施方案</w:t>
      </w:r>
    </w:p>
    <w:p w14:paraId="3FF1E76E">
      <w:pPr>
        <w:keepNext w:val="0"/>
        <w:keepLines w:val="0"/>
        <w:pageBreakBefore w:val="0"/>
        <w:widowControl/>
        <w:kinsoku/>
        <w:wordWrap/>
        <w:overflowPunct/>
        <w:topLinePunct w:val="0"/>
        <w:autoSpaceDE/>
        <w:autoSpaceDN/>
        <w:bidi w:val="0"/>
        <w:adjustRightInd/>
        <w:snapToGrid/>
        <w:spacing w:line="560" w:lineRule="exact"/>
        <w:jc w:val="left"/>
        <w:textAlignment w:val="auto"/>
        <w:rPr>
          <w:b/>
          <w:bCs/>
          <w:color w:val="000000" w:themeColor="text1"/>
          <w:sz w:val="28"/>
          <w:szCs w:val="28"/>
          <w:highlight w:val="none"/>
          <w:u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cs="Times New Roman"/>
          <w:b/>
          <w:color w:val="000000" w:themeColor="text1"/>
          <w:kern w:val="0"/>
          <w:sz w:val="28"/>
          <w:szCs w:val="28"/>
          <w:highlight w:val="none"/>
          <w:u w:val="none"/>
          <w:lang w:val="en-US" w:eastAsia="zh-CN" w:bidi="ar-SA"/>
          <w14:textFill>
            <w14:solidFill>
              <w14:schemeClr w14:val="tx1"/>
            </w14:solidFill>
          </w14:textFill>
        </w:rPr>
        <w:t>八、</w:t>
      </w:r>
      <w:r>
        <w:rPr>
          <w:rFonts w:ascii="Times New Roman" w:hAnsi="Times New Roman" w:eastAsia="宋体" w:cs="Times New Roman"/>
          <w:b/>
          <w:color w:val="000000" w:themeColor="text1"/>
          <w:kern w:val="0"/>
          <w:sz w:val="28"/>
          <w:szCs w:val="28"/>
          <w:highlight w:val="none"/>
          <w:u w:val="none"/>
          <w:lang w:val="en-US" w:eastAsia="zh-CN" w:bidi="ar-SA"/>
          <w14:textFill>
            <w14:solidFill>
              <w14:schemeClr w14:val="tx1"/>
            </w14:solidFill>
          </w14:textFill>
        </w:rPr>
        <w:t xml:space="preserve"> 投标和供货廉政承诺书 </w:t>
      </w:r>
    </w:p>
    <w:p w14:paraId="5D7BCFB1">
      <w:pPr>
        <w:keepNext w:val="0"/>
        <w:keepLines w:val="0"/>
        <w:pageBreakBefore w:val="0"/>
        <w:widowControl/>
        <w:kinsoku/>
        <w:wordWrap/>
        <w:overflowPunct/>
        <w:topLinePunct w:val="0"/>
        <w:autoSpaceDE/>
        <w:autoSpaceDN/>
        <w:bidi w:val="0"/>
        <w:adjustRightInd/>
        <w:snapToGrid/>
        <w:spacing w:line="560" w:lineRule="exact"/>
        <w:jc w:val="left"/>
        <w:textAlignment w:val="auto"/>
        <w:rPr>
          <w:b/>
          <w:bCs/>
          <w:color w:val="000000" w:themeColor="text1"/>
          <w:sz w:val="28"/>
          <w:szCs w:val="28"/>
          <w:highlight w:val="none"/>
          <w:u w:val="none"/>
          <w14:textFill>
            <w14:solidFill>
              <w14:schemeClr w14:val="tx1"/>
            </w14:solidFill>
          </w14:textFill>
        </w:rPr>
      </w:pPr>
    </w:p>
    <w:p w14:paraId="610C41B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eastAsia="宋体"/>
          <w:color w:val="000000" w:themeColor="text1"/>
          <w:sz w:val="28"/>
          <w:szCs w:val="28"/>
          <w:highlight w:val="none"/>
          <w14:textFill>
            <w14:solidFill>
              <w14:schemeClr w14:val="tx1"/>
            </w14:solidFill>
          </w14:textFill>
        </w:rPr>
      </w:pPr>
      <w:r>
        <w:rPr>
          <w:rFonts w:ascii="Times New Roman" w:hAnsi="Times New Roman" w:eastAsia="宋体" w:cs="Times New Roman"/>
          <w:color w:val="000000" w:themeColor="text1"/>
          <w:kern w:val="2"/>
          <w:sz w:val="28"/>
          <w:szCs w:val="28"/>
          <w:highlight w:val="none"/>
          <w:lang w:eastAsia="zh-CN" w:bidi="ar-SA"/>
          <w14:textFill>
            <w14:solidFill>
              <w14:schemeClr w14:val="tx1"/>
            </w14:solidFill>
          </w14:textFill>
        </w:rPr>
        <w:t xml:space="preserve">投标和供货廉政承诺书 </w:t>
      </w:r>
    </w:p>
    <w:p w14:paraId="4B5CCA8F">
      <w:pPr>
        <w:keepNext w:val="0"/>
        <w:keepLines w:val="0"/>
        <w:pageBreakBefore w:val="0"/>
        <w:kinsoku/>
        <w:wordWrap/>
        <w:overflowPunct/>
        <w:topLinePunct w:val="0"/>
        <w:autoSpaceDE/>
        <w:autoSpaceDN/>
        <w:bidi w:val="0"/>
        <w:adjustRightInd/>
        <w:snapToGrid/>
        <w:spacing w:line="560" w:lineRule="exact"/>
        <w:textAlignment w:val="auto"/>
        <w:rPr>
          <w:rFonts w:eastAsia="宋体"/>
          <w:color w:val="000000" w:themeColor="text1"/>
          <w:sz w:val="28"/>
          <w:szCs w:val="28"/>
          <w:highlight w:val="none"/>
          <w14:textFill>
            <w14:solidFill>
              <w14:schemeClr w14:val="tx1"/>
            </w14:solidFill>
          </w14:textFill>
        </w:rPr>
      </w:pPr>
      <w:r>
        <w:rPr>
          <w:rFonts w:eastAsia="宋体"/>
          <w:color w:val="000000" w:themeColor="text1"/>
          <w:sz w:val="28"/>
          <w:szCs w:val="28"/>
          <w:highlight w:val="none"/>
          <w14:textFill>
            <w14:solidFill>
              <w14:schemeClr w14:val="tx1"/>
            </w14:solidFill>
          </w14:textFill>
        </w:rPr>
        <w:t>北京市应急管理事务中心：</w:t>
      </w:r>
    </w:p>
    <w:p w14:paraId="41EE840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color w:val="000000" w:themeColor="text1"/>
          <w:sz w:val="28"/>
          <w:szCs w:val="28"/>
          <w:highlight w:val="none"/>
          <w14:textFill>
            <w14:solidFill>
              <w14:schemeClr w14:val="tx1"/>
            </w14:solidFill>
          </w14:textFill>
        </w:rPr>
      </w:pPr>
      <w:r>
        <w:rPr>
          <w:rFonts w:eastAsia="宋体"/>
          <w:color w:val="000000" w:themeColor="text1"/>
          <w:sz w:val="28"/>
          <w:szCs w:val="28"/>
          <w:highlight w:val="none"/>
          <w14:textFill>
            <w14:solidFill>
              <w14:schemeClr w14:val="tx1"/>
            </w14:solidFill>
          </w14:textFill>
        </w:rPr>
        <w:t xml:space="preserve"> 为加强项目建设及物资采购活动中的廉政建设，防止商业贿赂等违法违纪行为发生，保护国家、集体和当事人的合法权益，根据国家有关法律法规和贵单位党风廉政建设及反腐工作有关规定，我方自愿签订本承诺书，并严格执行。 </w:t>
      </w:r>
    </w:p>
    <w:p w14:paraId="3A7F194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color w:val="000000" w:themeColor="text1"/>
          <w:sz w:val="28"/>
          <w:szCs w:val="28"/>
          <w:highlight w:val="none"/>
          <w14:textFill>
            <w14:solidFill>
              <w14:schemeClr w14:val="tx1"/>
            </w14:solidFill>
          </w14:textFill>
        </w:rPr>
      </w:pPr>
      <w:r>
        <w:rPr>
          <w:rFonts w:eastAsia="宋体"/>
          <w:color w:val="000000" w:themeColor="text1"/>
          <w:sz w:val="28"/>
          <w:szCs w:val="28"/>
          <w:highlight w:val="none"/>
          <w14:textFill>
            <w14:solidFill>
              <w14:schemeClr w14:val="tx1"/>
            </w14:solidFill>
          </w14:textFill>
        </w:rPr>
        <w:t xml:space="preserve">第一条 参与贵单位项目投标、物资采购等活动时，除具备文件规定的资格、资质要求外，我方还将严格遵守有关法律、法规、政策以及上级关于廉政建设的各项规定。 </w:t>
      </w:r>
    </w:p>
    <w:p w14:paraId="5877BAA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color w:val="000000" w:themeColor="text1"/>
          <w:sz w:val="28"/>
          <w:szCs w:val="28"/>
          <w:highlight w:val="none"/>
          <w14:textFill>
            <w14:solidFill>
              <w14:schemeClr w14:val="tx1"/>
            </w14:solidFill>
          </w14:textFill>
        </w:rPr>
      </w:pPr>
      <w:r>
        <w:rPr>
          <w:rFonts w:eastAsia="宋体"/>
          <w:color w:val="000000" w:themeColor="text1"/>
          <w:sz w:val="28"/>
          <w:szCs w:val="28"/>
          <w:highlight w:val="none"/>
          <w14:textFill>
            <w14:solidFill>
              <w14:schemeClr w14:val="tx1"/>
            </w14:solidFill>
          </w14:textFill>
        </w:rPr>
        <w:t xml:space="preserve">第二条 遵循公开、公平、公正、诚实信用原则，不发生损害上述原则及各方当事人合法权益的不正当竞争行为。 </w:t>
      </w:r>
    </w:p>
    <w:p w14:paraId="1554B3B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color w:val="000000" w:themeColor="text1"/>
          <w:sz w:val="28"/>
          <w:szCs w:val="28"/>
          <w:highlight w:val="none"/>
          <w14:textFill>
            <w14:solidFill>
              <w14:schemeClr w14:val="tx1"/>
            </w14:solidFill>
          </w14:textFill>
        </w:rPr>
      </w:pPr>
      <w:r>
        <w:rPr>
          <w:rFonts w:eastAsia="宋体"/>
          <w:color w:val="000000" w:themeColor="text1"/>
          <w:sz w:val="28"/>
          <w:szCs w:val="28"/>
          <w:highlight w:val="none"/>
          <w14:textFill>
            <w14:solidFill>
              <w14:schemeClr w14:val="tx1"/>
            </w14:solidFill>
          </w14:textFill>
        </w:rPr>
        <w:t>第三条 与贵单有关人员保持正常的业务交往，不向相关机构和人员提供不正当利益。 主要有：</w:t>
      </w:r>
    </w:p>
    <w:p w14:paraId="06017A9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color w:val="000000" w:themeColor="text1"/>
          <w:sz w:val="28"/>
          <w:szCs w:val="28"/>
          <w:highlight w:val="none"/>
          <w14:textFill>
            <w14:solidFill>
              <w14:schemeClr w14:val="tx1"/>
            </w14:solidFill>
          </w14:textFill>
        </w:rPr>
      </w:pPr>
      <w:r>
        <w:rPr>
          <w:rFonts w:eastAsia="宋体"/>
          <w:color w:val="000000" w:themeColor="text1"/>
          <w:sz w:val="28"/>
          <w:szCs w:val="28"/>
          <w:highlight w:val="none"/>
          <w14:textFill>
            <w14:solidFill>
              <w14:schemeClr w14:val="tx1"/>
            </w14:solidFill>
          </w14:textFill>
        </w:rPr>
        <w:t xml:space="preserve">  1、不赠送礼金、有价证券、贵重物品及回扣、好处费、感谢费等。</w:t>
      </w:r>
    </w:p>
    <w:p w14:paraId="3BB5EB6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color w:val="000000" w:themeColor="text1"/>
          <w:sz w:val="28"/>
          <w:szCs w:val="28"/>
          <w:highlight w:val="none"/>
          <w14:textFill>
            <w14:solidFill>
              <w14:schemeClr w14:val="tx1"/>
            </w14:solidFill>
          </w14:textFill>
        </w:rPr>
      </w:pPr>
      <w:r>
        <w:rPr>
          <w:rFonts w:eastAsia="宋体"/>
          <w:color w:val="000000" w:themeColor="text1"/>
          <w:sz w:val="28"/>
          <w:szCs w:val="28"/>
          <w:highlight w:val="none"/>
          <w14:textFill>
            <w14:solidFill>
              <w14:schemeClr w14:val="tx1"/>
            </w14:solidFill>
          </w14:textFill>
        </w:rPr>
        <w:t xml:space="preserve">  2、不为有关人员或单位报销应由对方支付的费用。 </w:t>
      </w:r>
    </w:p>
    <w:p w14:paraId="61F0A1A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color w:val="000000" w:themeColor="text1"/>
          <w:sz w:val="28"/>
          <w:szCs w:val="28"/>
          <w:highlight w:val="none"/>
          <w14:textFill>
            <w14:solidFill>
              <w14:schemeClr w14:val="tx1"/>
            </w14:solidFill>
          </w14:textFill>
        </w:rPr>
      </w:pPr>
      <w:r>
        <w:rPr>
          <w:rFonts w:eastAsia="宋体"/>
          <w:color w:val="000000" w:themeColor="text1"/>
          <w:sz w:val="28"/>
          <w:szCs w:val="28"/>
          <w:highlight w:val="none"/>
          <w14:textFill>
            <w14:solidFill>
              <w14:schemeClr w14:val="tx1"/>
            </w14:solidFill>
          </w14:textFill>
        </w:rPr>
        <w:t xml:space="preserve">  3、不为有关人员或单位安排可能影响投标活动的宴请、娱乐等活动。 </w:t>
      </w:r>
    </w:p>
    <w:p w14:paraId="0445250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color w:val="000000" w:themeColor="text1"/>
          <w:sz w:val="28"/>
          <w:szCs w:val="28"/>
          <w:highlight w:val="none"/>
          <w14:textFill>
            <w14:solidFill>
              <w14:schemeClr w14:val="tx1"/>
            </w14:solidFill>
          </w14:textFill>
        </w:rPr>
      </w:pPr>
      <w:r>
        <w:rPr>
          <w:rFonts w:eastAsia="宋体"/>
          <w:color w:val="000000" w:themeColor="text1"/>
          <w:sz w:val="28"/>
          <w:szCs w:val="28"/>
          <w:highlight w:val="none"/>
          <w14:textFill>
            <w14:solidFill>
              <w14:schemeClr w14:val="tx1"/>
            </w14:solidFill>
          </w14:textFill>
        </w:rPr>
        <w:t xml:space="preserve">  4、不暗示为有关人员的住房装修、婚丧嫁娶、配偶子女的工作安排以及出国（境）、旅游等提供方便。 </w:t>
      </w:r>
    </w:p>
    <w:p w14:paraId="70B5D55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color w:val="000000" w:themeColor="text1"/>
          <w:sz w:val="28"/>
          <w:szCs w:val="28"/>
          <w:highlight w:val="none"/>
          <w14:textFill>
            <w14:solidFill>
              <w14:schemeClr w14:val="tx1"/>
            </w14:solidFill>
          </w14:textFill>
        </w:rPr>
      </w:pPr>
      <w:r>
        <w:rPr>
          <w:rFonts w:eastAsia="宋体"/>
          <w:color w:val="000000" w:themeColor="text1"/>
          <w:sz w:val="28"/>
          <w:szCs w:val="28"/>
          <w:highlight w:val="none"/>
          <w14:textFill>
            <w14:solidFill>
              <w14:schemeClr w14:val="tx1"/>
            </w14:solidFill>
          </w14:textFill>
        </w:rPr>
        <w:t xml:space="preserve">  5、不与有关人员或单位发生不正当经济往来，以不正当手段窃取与招标和投标单位相关的文件资料及商业机密。 </w:t>
      </w:r>
    </w:p>
    <w:p w14:paraId="7C3733A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color w:val="000000" w:themeColor="text1"/>
          <w:sz w:val="28"/>
          <w:szCs w:val="28"/>
          <w:highlight w:val="none"/>
          <w14:textFill>
            <w14:solidFill>
              <w14:schemeClr w14:val="tx1"/>
            </w14:solidFill>
          </w14:textFill>
        </w:rPr>
      </w:pPr>
      <w:r>
        <w:rPr>
          <w:rFonts w:eastAsia="宋体"/>
          <w:color w:val="000000" w:themeColor="text1"/>
          <w:sz w:val="28"/>
          <w:szCs w:val="28"/>
          <w:highlight w:val="none"/>
          <w14:textFill>
            <w14:solidFill>
              <w14:schemeClr w14:val="tx1"/>
            </w14:solidFill>
          </w14:textFill>
        </w:rPr>
        <w:t xml:space="preserve">第四条 严格执行项目合同，自觉按合同办事。 </w:t>
      </w:r>
    </w:p>
    <w:p w14:paraId="583C0A6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color w:val="000000" w:themeColor="text1"/>
          <w:sz w:val="28"/>
          <w:szCs w:val="28"/>
          <w:highlight w:val="none"/>
          <w14:textFill>
            <w14:solidFill>
              <w14:schemeClr w14:val="tx1"/>
            </w14:solidFill>
          </w14:textFill>
        </w:rPr>
      </w:pPr>
      <w:r>
        <w:rPr>
          <w:rFonts w:eastAsia="宋体"/>
          <w:color w:val="000000" w:themeColor="text1"/>
          <w:sz w:val="28"/>
          <w:szCs w:val="28"/>
          <w:highlight w:val="none"/>
          <w14:textFill>
            <w14:solidFill>
              <w14:schemeClr w14:val="tx1"/>
            </w14:solidFill>
          </w14:textFill>
        </w:rPr>
        <w:t xml:space="preserve">第五条 发现投标活动各方当事人有违规、违纪、违法行为的，及时提醒对方；情节严重的，主动向其主管部门或纪检监察等机关举报。 </w:t>
      </w:r>
    </w:p>
    <w:p w14:paraId="3B7EAC0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eastAsia="宋体"/>
          <w:color w:val="000000" w:themeColor="text1"/>
          <w:sz w:val="28"/>
          <w:szCs w:val="28"/>
          <w:highlight w:val="none"/>
          <w14:textFill>
            <w14:solidFill>
              <w14:schemeClr w14:val="tx1"/>
            </w14:solidFill>
          </w14:textFill>
        </w:rPr>
      </w:pPr>
      <w:r>
        <w:rPr>
          <w:rFonts w:eastAsia="宋体"/>
          <w:color w:val="000000" w:themeColor="text1"/>
          <w:sz w:val="28"/>
          <w:szCs w:val="28"/>
          <w:highlight w:val="none"/>
          <w14:textFill>
            <w14:solidFill>
              <w14:schemeClr w14:val="tx1"/>
            </w14:solidFill>
          </w14:textFill>
        </w:rPr>
        <w:t xml:space="preserve">第六条  本承诺书自签署之日起生效。 </w:t>
      </w:r>
    </w:p>
    <w:p w14:paraId="7EFDAEB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eastAsia="宋体"/>
          <w:color w:val="000000" w:themeColor="text1"/>
          <w:sz w:val="28"/>
          <w:szCs w:val="28"/>
          <w:highlight w:val="none"/>
          <w14:textFill>
            <w14:solidFill>
              <w14:schemeClr w14:val="tx1"/>
            </w14:solidFill>
          </w14:textFill>
        </w:rPr>
      </w:pPr>
      <w:r>
        <w:rPr>
          <w:rFonts w:eastAsia="宋体"/>
          <w:color w:val="000000" w:themeColor="text1"/>
          <w:sz w:val="28"/>
          <w:szCs w:val="28"/>
          <w:highlight w:val="none"/>
          <w14:textFill>
            <w14:solidFill>
              <w14:schemeClr w14:val="tx1"/>
            </w14:solidFill>
          </w14:textFill>
        </w:rPr>
        <w:t xml:space="preserve">                            </w:t>
      </w:r>
    </w:p>
    <w:p w14:paraId="64FBB5F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eastAsia="宋体"/>
          <w:color w:val="000000" w:themeColor="text1"/>
          <w:sz w:val="28"/>
          <w:szCs w:val="28"/>
          <w:highlight w:val="none"/>
          <w14:textFill>
            <w14:solidFill>
              <w14:schemeClr w14:val="tx1"/>
            </w14:solidFill>
          </w14:textFill>
        </w:rPr>
      </w:pPr>
      <w:r>
        <w:rPr>
          <w:rFonts w:eastAsia="宋体"/>
          <w:color w:val="000000" w:themeColor="text1"/>
          <w:sz w:val="28"/>
          <w:szCs w:val="28"/>
          <w:highlight w:val="none"/>
          <w14:textFill>
            <w14:solidFill>
              <w14:schemeClr w14:val="tx1"/>
            </w14:solidFill>
          </w14:textFill>
        </w:rPr>
        <w:t xml:space="preserve">                                 单位（盖章）： </w:t>
      </w:r>
    </w:p>
    <w:p w14:paraId="2760BE50">
      <w:pPr>
        <w:keepNext w:val="0"/>
        <w:keepLines w:val="0"/>
        <w:pageBreakBefore w:val="0"/>
        <w:kinsoku/>
        <w:wordWrap/>
        <w:overflowPunct/>
        <w:topLinePunct w:val="0"/>
        <w:autoSpaceDE/>
        <w:autoSpaceDN/>
        <w:bidi w:val="0"/>
        <w:adjustRightInd/>
        <w:snapToGrid/>
        <w:spacing w:line="560" w:lineRule="exact"/>
        <w:ind w:firstLine="5320" w:firstLineChars="1900"/>
        <w:textAlignment w:val="auto"/>
        <w:rPr>
          <w:rFonts w:eastAsia="宋体"/>
          <w:color w:val="000000" w:themeColor="text1"/>
          <w:sz w:val="28"/>
          <w:szCs w:val="28"/>
          <w:highlight w:val="none"/>
          <w14:textFill>
            <w14:solidFill>
              <w14:schemeClr w14:val="tx1"/>
            </w14:solidFill>
          </w14:textFill>
        </w:rPr>
      </w:pPr>
      <w:r>
        <w:rPr>
          <w:rFonts w:eastAsia="宋体"/>
          <w:color w:val="000000" w:themeColor="text1"/>
          <w:sz w:val="28"/>
          <w:szCs w:val="28"/>
          <w:highlight w:val="none"/>
          <w14:textFill>
            <w14:solidFill>
              <w14:schemeClr w14:val="tx1"/>
            </w14:solidFill>
          </w14:textFill>
        </w:rPr>
        <w:t xml:space="preserve">法定代表人： </w:t>
      </w:r>
    </w:p>
    <w:p w14:paraId="623866E9">
      <w:pPr>
        <w:keepNext w:val="0"/>
        <w:keepLines w:val="0"/>
        <w:pageBreakBefore w:val="0"/>
        <w:kinsoku/>
        <w:wordWrap/>
        <w:overflowPunct/>
        <w:topLinePunct w:val="0"/>
        <w:autoSpaceDE/>
        <w:autoSpaceDN/>
        <w:bidi w:val="0"/>
        <w:adjustRightInd/>
        <w:snapToGrid/>
        <w:spacing w:line="560" w:lineRule="exact"/>
        <w:ind w:firstLine="5600" w:firstLineChars="2000"/>
        <w:textAlignment w:val="auto"/>
        <w:rPr>
          <w:rFonts w:ascii="Times New Roman"/>
          <w:color w:val="000000" w:themeColor="text1"/>
          <w:kern w:val="44"/>
          <w:sz w:val="28"/>
          <w:szCs w:val="28"/>
          <w:highlight w:val="none"/>
          <w14:textFill>
            <w14:solidFill>
              <w14:schemeClr w14:val="tx1"/>
            </w14:solidFill>
          </w14:textFill>
        </w:rPr>
      </w:pPr>
      <w:r>
        <w:rPr>
          <w:rFonts w:eastAsia="宋体"/>
          <w:color w:val="000000" w:themeColor="text1"/>
          <w:sz w:val="28"/>
          <w:szCs w:val="28"/>
          <w:highlight w:val="none"/>
          <w14:textFill>
            <w14:solidFill>
              <w14:schemeClr w14:val="tx1"/>
            </w14:solidFill>
          </w14:textFill>
        </w:rPr>
        <w:t>年  月</w:t>
      </w:r>
      <w:r>
        <w:rPr>
          <w:rFonts w:hint="eastAsia" w:eastAsia="宋体"/>
          <w:color w:val="000000" w:themeColor="text1"/>
          <w:sz w:val="28"/>
          <w:szCs w:val="28"/>
          <w:highlight w:val="none"/>
          <w:lang w:val="en-US" w:eastAsia="zh-CN"/>
          <w14:textFill>
            <w14:solidFill>
              <w14:schemeClr w14:val="tx1"/>
            </w14:solidFill>
          </w14:textFill>
        </w:rPr>
        <w:t xml:space="preserve"> </w:t>
      </w:r>
      <w:r>
        <w:rPr>
          <w:rFonts w:eastAsia="宋体"/>
          <w:color w:val="000000" w:themeColor="text1"/>
          <w:sz w:val="28"/>
          <w:szCs w:val="28"/>
          <w:highlight w:val="none"/>
          <w14:textFill>
            <w14:solidFill>
              <w14:schemeClr w14:val="tx1"/>
            </w14:solidFill>
          </w14:textFill>
        </w:rPr>
        <w:t xml:space="preserve"> 日</w:t>
      </w:r>
      <w:r>
        <w:rPr>
          <w:rFonts w:eastAsia="宋体"/>
          <w:color w:val="000000" w:themeColor="text1"/>
          <w:sz w:val="28"/>
          <w:szCs w:val="28"/>
          <w:highlight w:val="none"/>
          <w14:textFill>
            <w14:solidFill>
              <w14:schemeClr w14:val="tx1"/>
            </w14:solidFill>
          </w14:textFill>
        </w:rPr>
        <w:br w:type="page"/>
      </w:r>
      <w:r>
        <w:rPr>
          <w:rFonts w:hint="eastAsia" w:cs="Times New Roman"/>
          <w:b/>
          <w:color w:val="000000" w:themeColor="text1"/>
          <w:kern w:val="0"/>
          <w:sz w:val="28"/>
          <w:szCs w:val="28"/>
          <w:highlight w:val="none"/>
          <w:u w:val="none"/>
          <w:lang w:val="en-US" w:eastAsia="zh-CN" w:bidi="ar-SA"/>
          <w14:textFill>
            <w14:solidFill>
              <w14:schemeClr w14:val="tx1"/>
            </w14:solidFill>
          </w14:textFill>
        </w:rPr>
        <w:t>九、</w:t>
      </w:r>
      <w:r>
        <w:rPr>
          <w:rFonts w:ascii="Times New Roman" w:hAnsi="Times New Roman" w:eastAsia="宋体" w:cs="Times New Roman"/>
          <w:b/>
          <w:color w:val="000000" w:themeColor="text1"/>
          <w:kern w:val="0"/>
          <w:sz w:val="28"/>
          <w:szCs w:val="28"/>
          <w:highlight w:val="none"/>
          <w:u w:val="none"/>
          <w:lang w:val="en-US" w:eastAsia="zh-CN" w:bidi="ar-SA"/>
          <w14:textFill>
            <w14:solidFill>
              <w14:schemeClr w14:val="tx1"/>
            </w14:solidFill>
          </w14:textFill>
        </w:rPr>
        <w:t xml:space="preserve"> 供应商认为需要提供的其他材料（如有）</w:t>
      </w:r>
    </w:p>
    <w:p w14:paraId="5A373EE7">
      <w:pPr>
        <w:tabs>
          <w:tab w:val="left" w:pos="540"/>
          <w:tab w:val="left" w:pos="567"/>
          <w:tab w:val="left" w:pos="6045"/>
        </w:tabs>
        <w:spacing w:line="360" w:lineRule="auto"/>
        <w:ind w:firstLine="560" w:firstLineChars="200"/>
        <w:contextualSpacing/>
        <w:rPr>
          <w:color w:val="000000" w:themeColor="text1"/>
          <w:kern w:val="44"/>
          <w:sz w:val="28"/>
          <w:szCs w:val="28"/>
          <w:highlight w:val="none"/>
          <w14:textFill>
            <w14:solidFill>
              <w14:schemeClr w14:val="tx1"/>
            </w14:solidFill>
          </w14:textFill>
        </w:rPr>
      </w:pPr>
    </w:p>
    <w:p w14:paraId="0DF52FBC">
      <w:pPr>
        <w:rPr>
          <w:color w:val="000000" w:themeColor="text1"/>
          <w:sz w:val="28"/>
          <w:szCs w:val="28"/>
          <w:highlight w:val="none"/>
          <w14:textFill>
            <w14:solidFill>
              <w14:schemeClr w14:val="tx1"/>
            </w14:solidFill>
          </w14:textFill>
        </w:rPr>
      </w:pPr>
    </w:p>
    <w:p w14:paraId="214C0EB8">
      <w:pPr>
        <w:tabs>
          <w:tab w:val="left" w:pos="540"/>
          <w:tab w:val="left" w:pos="567"/>
          <w:tab w:val="left" w:pos="6045"/>
        </w:tabs>
        <w:spacing w:line="360" w:lineRule="auto"/>
        <w:ind w:firstLine="560" w:firstLineChars="200"/>
        <w:contextualSpacing/>
        <w:rPr>
          <w:rFonts w:hAnsi="宋体"/>
          <w:color w:val="000000" w:themeColor="text1"/>
          <w:kern w:val="44"/>
          <w:sz w:val="28"/>
          <w:szCs w:val="28"/>
          <w:highlight w:val="none"/>
          <w14:textFill>
            <w14:solidFill>
              <w14:schemeClr w14:val="tx1"/>
            </w14:solidFill>
          </w14:textFill>
        </w:rPr>
      </w:pPr>
    </w:p>
    <w:p w14:paraId="06C4531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4E307B9F">
      <w:pPr>
        <w:spacing w:line="360" w:lineRule="auto"/>
        <w:jc w:val="center"/>
        <w:outlineLvl w:val="0"/>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第五章 合同模板</w:t>
      </w:r>
    </w:p>
    <w:p w14:paraId="2422DC25">
      <w:pPr>
        <w:spacing w:line="360" w:lineRule="auto"/>
        <w:jc w:val="both"/>
        <w:outlineLvl w:val="0"/>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pPr>
    </w:p>
    <w:p w14:paraId="6C87A986">
      <w:pPr>
        <w:spacing w:line="500" w:lineRule="exact"/>
        <w:ind w:firstLine="2940" w:firstLineChars="1225"/>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协议编号：【</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0E02CC6C">
      <w:pPr>
        <w:spacing w:line="500" w:lineRule="exact"/>
        <w:jc w:val="center"/>
        <w:rPr>
          <w:rFonts w:eastAsia="黑体"/>
          <w:b/>
          <w:color w:val="000000" w:themeColor="text1"/>
          <w:sz w:val="4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716B8B66">
      <w:pPr>
        <w:spacing w:line="500" w:lineRule="exact"/>
        <w:jc w:val="center"/>
        <w:rPr>
          <w:rFonts w:eastAsia="黑体"/>
          <w:color w:val="000000" w:themeColor="text1"/>
          <w:sz w:val="44"/>
          <w:highlight w:val="none"/>
          <w14:textFill>
            <w14:solidFill>
              <w14:schemeClr w14:val="tx1"/>
            </w14:solidFill>
          </w14:textFill>
        </w:rPr>
      </w:pPr>
    </w:p>
    <w:p w14:paraId="7B4E47D0">
      <w:pPr>
        <w:spacing w:line="500" w:lineRule="exact"/>
        <w:jc w:val="center"/>
        <w:rPr>
          <w:rFonts w:eastAsia="黑体"/>
          <w:color w:val="000000" w:themeColor="text1"/>
          <w:sz w:val="44"/>
          <w:highlight w:val="none"/>
          <w14:textFill>
            <w14:solidFill>
              <w14:schemeClr w14:val="tx1"/>
            </w14:solidFill>
          </w14:textFill>
        </w:rPr>
      </w:pPr>
    </w:p>
    <w:p w14:paraId="10BAE136">
      <w:pPr>
        <w:spacing w:line="500" w:lineRule="exact"/>
        <w:jc w:val="center"/>
        <w:rPr>
          <w:rFonts w:eastAsia="黑体"/>
          <w:color w:val="000000" w:themeColor="text1"/>
          <w:sz w:val="44"/>
          <w:highlight w:val="none"/>
          <w14:textFill>
            <w14:solidFill>
              <w14:schemeClr w14:val="tx1"/>
            </w14:solidFill>
          </w14:textFill>
        </w:rPr>
      </w:pPr>
    </w:p>
    <w:p w14:paraId="367CEB83">
      <w:pPr>
        <w:spacing w:line="500" w:lineRule="exact"/>
        <w:jc w:val="center"/>
        <w:rPr>
          <w:rFonts w:eastAsia="黑体"/>
          <w:color w:val="000000" w:themeColor="text1"/>
          <w:sz w:val="44"/>
          <w:highlight w:val="none"/>
          <w14:textFill>
            <w14:solidFill>
              <w14:schemeClr w14:val="tx1"/>
            </w14:solidFill>
          </w14:textFill>
        </w:rPr>
      </w:pPr>
    </w:p>
    <w:p w14:paraId="587875A3">
      <w:pPr>
        <w:spacing w:line="500" w:lineRule="exact"/>
        <w:jc w:val="center"/>
        <w:rPr>
          <w:rFonts w:eastAsia="黑体"/>
          <w:color w:val="000000" w:themeColor="text1"/>
          <w:sz w:val="44"/>
          <w:highlight w:val="none"/>
          <w14:textFill>
            <w14:solidFill>
              <w14:schemeClr w14:val="tx1"/>
            </w14:solidFill>
          </w14:textFill>
        </w:rPr>
      </w:pPr>
    </w:p>
    <w:p w14:paraId="3A2DB225">
      <w:pPr>
        <w:spacing w:line="500" w:lineRule="exact"/>
        <w:jc w:val="center"/>
        <w:rPr>
          <w:rFonts w:eastAsia="黑体"/>
          <w:color w:val="000000" w:themeColor="text1"/>
          <w:sz w:val="44"/>
          <w:highlight w:val="none"/>
          <w14:textFill>
            <w14:solidFill>
              <w14:schemeClr w14:val="tx1"/>
            </w14:solidFill>
          </w14:textFill>
        </w:rPr>
      </w:pPr>
    </w:p>
    <w:p w14:paraId="1289DF2C">
      <w:pPr>
        <w:spacing w:line="500" w:lineRule="exact"/>
        <w:jc w:val="center"/>
        <w:rPr>
          <w:rFonts w:eastAsia="黑体"/>
          <w:color w:val="000000" w:themeColor="text1"/>
          <w:sz w:val="44"/>
          <w:highlight w:val="none"/>
          <w14:textFill>
            <w14:solidFill>
              <w14:schemeClr w14:val="tx1"/>
            </w14:solidFill>
          </w14:textFill>
        </w:rPr>
      </w:pPr>
      <w:r>
        <w:rPr>
          <w:rFonts w:hint="eastAsia" w:eastAsia="黑体"/>
          <w:color w:val="000000" w:themeColor="text1"/>
          <w:sz w:val="44"/>
          <w:highlight w:val="none"/>
          <w14:textFill>
            <w14:solidFill>
              <w14:schemeClr w14:val="tx1"/>
            </w14:solidFill>
          </w14:textFill>
        </w:rPr>
        <w:t>【XXX项目】</w:t>
      </w:r>
    </w:p>
    <w:p w14:paraId="39746D54">
      <w:pPr>
        <w:spacing w:line="500" w:lineRule="exact"/>
        <w:jc w:val="center"/>
        <w:rPr>
          <w:rFonts w:eastAsia="黑体"/>
          <w:color w:val="000000" w:themeColor="text1"/>
          <w:sz w:val="44"/>
          <w:highlight w:val="none"/>
          <w14:textFill>
            <w14:solidFill>
              <w14:schemeClr w14:val="tx1"/>
            </w14:solidFill>
          </w14:textFill>
        </w:rPr>
      </w:pPr>
      <w:r>
        <w:rPr>
          <w:rFonts w:hint="eastAsia" w:eastAsia="黑体"/>
          <w:color w:val="000000" w:themeColor="text1"/>
          <w:sz w:val="44"/>
          <w:highlight w:val="none"/>
          <w14:textFill>
            <w14:solidFill>
              <w14:schemeClr w14:val="tx1"/>
            </w14:solidFill>
          </w14:textFill>
        </w:rPr>
        <w:t>信息化服务协议</w:t>
      </w:r>
    </w:p>
    <w:p w14:paraId="6A2B2913">
      <w:pPr>
        <w:widowControl/>
        <w:autoSpaceDE w:val="0"/>
        <w:autoSpaceDN w:val="0"/>
        <w:spacing w:line="500" w:lineRule="exact"/>
        <w:textAlignment w:val="bottom"/>
        <w:rPr>
          <w:rFonts w:eastAsia="楷体_GB2312"/>
          <w:color w:val="000000" w:themeColor="text1"/>
          <w:sz w:val="48"/>
          <w:highlight w:val="none"/>
          <w14:textFill>
            <w14:solidFill>
              <w14:schemeClr w14:val="tx1"/>
            </w14:solidFill>
          </w14:textFill>
        </w:rPr>
      </w:pPr>
    </w:p>
    <w:p w14:paraId="7ADAB5F5">
      <w:pPr>
        <w:widowControl/>
        <w:autoSpaceDE w:val="0"/>
        <w:autoSpaceDN w:val="0"/>
        <w:spacing w:line="500" w:lineRule="exact"/>
        <w:jc w:val="center"/>
        <w:textAlignment w:val="bottom"/>
        <w:rPr>
          <w:b/>
          <w:color w:val="000000" w:themeColor="text1"/>
          <w:sz w:val="48"/>
          <w:highlight w:val="none"/>
          <w14:textFill>
            <w14:solidFill>
              <w14:schemeClr w14:val="tx1"/>
            </w14:solidFill>
          </w14:textFill>
        </w:rPr>
      </w:pPr>
    </w:p>
    <w:p w14:paraId="0ABEAF35">
      <w:pPr>
        <w:widowControl/>
        <w:autoSpaceDE w:val="0"/>
        <w:autoSpaceDN w:val="0"/>
        <w:spacing w:line="500" w:lineRule="exact"/>
        <w:jc w:val="center"/>
        <w:textAlignment w:val="bottom"/>
        <w:rPr>
          <w:b/>
          <w:color w:val="000000" w:themeColor="text1"/>
          <w:sz w:val="48"/>
          <w:highlight w:val="none"/>
          <w14:textFill>
            <w14:solidFill>
              <w14:schemeClr w14:val="tx1"/>
            </w14:solidFill>
          </w14:textFill>
        </w:rPr>
      </w:pPr>
    </w:p>
    <w:p w14:paraId="5EBFDC6F">
      <w:pPr>
        <w:widowControl/>
        <w:autoSpaceDE w:val="0"/>
        <w:autoSpaceDN w:val="0"/>
        <w:spacing w:line="500" w:lineRule="exact"/>
        <w:jc w:val="center"/>
        <w:textAlignment w:val="bottom"/>
        <w:rPr>
          <w:b/>
          <w:color w:val="000000" w:themeColor="text1"/>
          <w:sz w:val="48"/>
          <w:highlight w:val="none"/>
          <w14:textFill>
            <w14:solidFill>
              <w14:schemeClr w14:val="tx1"/>
            </w14:solidFill>
          </w14:textFill>
        </w:rPr>
      </w:pPr>
    </w:p>
    <w:p w14:paraId="40F624B5">
      <w:pPr>
        <w:widowControl/>
        <w:autoSpaceDE w:val="0"/>
        <w:autoSpaceDN w:val="0"/>
        <w:spacing w:line="500" w:lineRule="exact"/>
        <w:textAlignment w:val="bottom"/>
        <w:rPr>
          <w:b/>
          <w:color w:val="000000" w:themeColor="text1"/>
          <w:sz w:val="48"/>
          <w:highlight w:val="none"/>
          <w14:textFill>
            <w14:solidFill>
              <w14:schemeClr w14:val="tx1"/>
            </w14:solidFill>
          </w14:textFill>
        </w:rPr>
      </w:pPr>
    </w:p>
    <w:p w14:paraId="277DE14B">
      <w:pPr>
        <w:widowControl/>
        <w:autoSpaceDE w:val="0"/>
        <w:autoSpaceDN w:val="0"/>
        <w:spacing w:line="500" w:lineRule="exact"/>
        <w:jc w:val="center"/>
        <w:textAlignment w:val="bottom"/>
        <w:rPr>
          <w:b/>
          <w:color w:val="000000" w:themeColor="text1"/>
          <w:sz w:val="36"/>
          <w:highlight w:val="none"/>
          <w14:textFill>
            <w14:solidFill>
              <w14:schemeClr w14:val="tx1"/>
            </w14:solidFill>
          </w14:textFill>
        </w:rPr>
      </w:pPr>
    </w:p>
    <w:p w14:paraId="5B3476AD">
      <w:pPr>
        <w:widowControl/>
        <w:autoSpaceDE w:val="0"/>
        <w:autoSpaceDN w:val="0"/>
        <w:spacing w:line="500" w:lineRule="exact"/>
        <w:jc w:val="center"/>
        <w:textAlignment w:val="bottom"/>
        <w:rPr>
          <w:b/>
          <w:color w:val="000000" w:themeColor="text1"/>
          <w:sz w:val="36"/>
          <w:highlight w:val="none"/>
          <w14:textFill>
            <w14:solidFill>
              <w14:schemeClr w14:val="tx1"/>
            </w14:solidFill>
          </w14:textFill>
        </w:rPr>
      </w:pPr>
    </w:p>
    <w:p w14:paraId="297B6947">
      <w:pPr>
        <w:widowControl/>
        <w:autoSpaceDE w:val="0"/>
        <w:autoSpaceDN w:val="0"/>
        <w:spacing w:line="500" w:lineRule="exact"/>
        <w:jc w:val="center"/>
        <w:textAlignment w:val="bottom"/>
        <w:rPr>
          <w:b/>
          <w:color w:val="000000" w:themeColor="text1"/>
          <w:sz w:val="36"/>
          <w:highlight w:val="none"/>
          <w14:textFill>
            <w14:solidFill>
              <w14:schemeClr w14:val="tx1"/>
            </w14:solidFill>
          </w14:textFill>
        </w:rPr>
      </w:pPr>
    </w:p>
    <w:p w14:paraId="61CCA2EB">
      <w:pPr>
        <w:widowControl/>
        <w:autoSpaceDE w:val="0"/>
        <w:autoSpaceDN w:val="0"/>
        <w:spacing w:line="500" w:lineRule="exact"/>
        <w:jc w:val="center"/>
        <w:textAlignment w:val="bottom"/>
        <w:rPr>
          <w:b/>
          <w:color w:val="000000" w:themeColor="text1"/>
          <w:sz w:val="36"/>
          <w:highlight w:val="none"/>
          <w14:textFill>
            <w14:solidFill>
              <w14:schemeClr w14:val="tx1"/>
            </w14:solidFill>
          </w14:textFill>
        </w:rPr>
      </w:pPr>
    </w:p>
    <w:p w14:paraId="2AC9E5DC">
      <w:pPr>
        <w:widowControl/>
        <w:autoSpaceDE w:val="0"/>
        <w:autoSpaceDN w:val="0"/>
        <w:spacing w:line="500" w:lineRule="exact"/>
        <w:jc w:val="center"/>
        <w:textAlignment w:val="bottom"/>
        <w:rPr>
          <w:rFonts w:hint="eastAsia"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甲方：【              】</w:t>
      </w:r>
    </w:p>
    <w:p w14:paraId="1B457731">
      <w:pPr>
        <w:widowControl/>
        <w:autoSpaceDE w:val="0"/>
        <w:autoSpaceDN w:val="0"/>
        <w:spacing w:line="500" w:lineRule="exact"/>
        <w:jc w:val="center"/>
        <w:textAlignment w:val="bottom"/>
        <w:rPr>
          <w:rFonts w:hint="eastAsia"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乙方：【              】</w:t>
      </w:r>
    </w:p>
    <w:p w14:paraId="0B6999B9">
      <w:pPr>
        <w:widowControl/>
        <w:autoSpaceDE w:val="0"/>
        <w:autoSpaceDN w:val="0"/>
        <w:spacing w:line="500" w:lineRule="exact"/>
        <w:jc w:val="center"/>
        <w:textAlignment w:val="bottom"/>
        <w:rPr>
          <w:b/>
          <w:color w:val="000000" w:themeColor="text1"/>
          <w:sz w:val="36"/>
          <w:highlight w:val="none"/>
          <w14:textFill>
            <w14:solidFill>
              <w14:schemeClr w14:val="tx1"/>
            </w14:solidFill>
          </w14:textFill>
        </w:rPr>
      </w:pPr>
    </w:p>
    <w:p w14:paraId="5629E0F1">
      <w:pPr>
        <w:widowControl/>
        <w:autoSpaceDE w:val="0"/>
        <w:autoSpaceDN w:val="0"/>
        <w:spacing w:line="500" w:lineRule="exact"/>
        <w:jc w:val="center"/>
        <w:textAlignment w:val="bottom"/>
        <w:rPr>
          <w:b/>
          <w:color w:val="000000" w:themeColor="text1"/>
          <w:sz w:val="36"/>
          <w:highlight w:val="none"/>
          <w14:textFill>
            <w14:solidFill>
              <w14:schemeClr w14:val="tx1"/>
            </w14:solidFill>
          </w14:textFill>
        </w:rPr>
      </w:pPr>
    </w:p>
    <w:p w14:paraId="475F4B11">
      <w:pPr>
        <w:widowControl/>
        <w:autoSpaceDE w:val="0"/>
        <w:autoSpaceDN w:val="0"/>
        <w:spacing w:line="500" w:lineRule="exact"/>
        <w:textAlignment w:val="bottom"/>
        <w:rPr>
          <w:b/>
          <w:color w:val="000000" w:themeColor="text1"/>
          <w:sz w:val="48"/>
          <w:highlight w:val="none"/>
          <w14:textFill>
            <w14:solidFill>
              <w14:schemeClr w14:val="tx1"/>
            </w14:solidFill>
          </w14:textFill>
        </w:rPr>
      </w:pPr>
    </w:p>
    <w:p w14:paraId="737F4125">
      <w:pPr>
        <w:widowControl/>
        <w:jc w:val="left"/>
        <w:rPr>
          <w:b/>
          <w:color w:val="000000" w:themeColor="text1"/>
          <w:sz w:val="48"/>
          <w:highlight w:val="none"/>
          <w14:textFill>
            <w14:solidFill>
              <w14:schemeClr w14:val="tx1"/>
            </w14:solidFill>
          </w14:textFill>
        </w:rPr>
      </w:pPr>
    </w:p>
    <w:p w14:paraId="00D9FA42">
      <w:pPr>
        <w:widowControl/>
        <w:autoSpaceDE w:val="0"/>
        <w:autoSpaceDN w:val="0"/>
        <w:spacing w:before="100" w:beforeAutospacing="1" w:after="100" w:afterAutospacing="1" w:line="360" w:lineRule="auto"/>
        <w:ind w:firstLine="480" w:firstLineChars="200"/>
        <w:textAlignment w:val="bottom"/>
        <w:rPr>
          <w:color w:val="000000" w:themeColor="text1"/>
          <w:sz w:val="24"/>
          <w:highlight w:val="none"/>
          <w14:textFill>
            <w14:solidFill>
              <w14:schemeClr w14:val="tx1"/>
            </w14:solidFill>
          </w14:textFill>
        </w:rPr>
      </w:pPr>
      <w:bookmarkStart w:id="0" w:name="_Toc378344457"/>
      <w:bookmarkStart w:id="1" w:name="_Toc375151325"/>
      <w:bookmarkStart w:id="2" w:name="_Toc375151464"/>
      <w:bookmarkStart w:id="3" w:name="_Toc68613768"/>
      <w:bookmarkStart w:id="4" w:name="_Toc402257845"/>
      <w:bookmarkStart w:id="5" w:name="_Toc130198995"/>
      <w:r>
        <w:rPr>
          <w:rFonts w:hint="eastAsia" w:ascii="宋体" w:hAnsi="宋体"/>
          <w:color w:val="000000" w:themeColor="text1"/>
          <w:sz w:val="24"/>
          <w:highlight w:val="none"/>
          <w14:textFill>
            <w14:solidFill>
              <w14:schemeClr w14:val="tx1"/>
            </w14:solidFill>
          </w14:textFill>
        </w:rPr>
        <w:t>根据中华人民共和国民法典等相关法律法规规定，双方本着平等互惠的原则，经友好协商，就乙方向甲方提供信息化服务达成如下一致条款：</w:t>
      </w:r>
    </w:p>
    <w:p w14:paraId="324D4434">
      <w:pPr>
        <w:pStyle w:val="2"/>
        <w:spacing w:line="50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第一条  协议双方当事人</w:t>
      </w:r>
      <w:bookmarkEnd w:id="0"/>
      <w:bookmarkEnd w:id="1"/>
      <w:bookmarkEnd w:id="2"/>
      <w:bookmarkEnd w:id="3"/>
      <w:bookmarkEnd w:id="4"/>
      <w:bookmarkEnd w:id="5"/>
    </w:p>
    <w:p w14:paraId="6C0FEA14">
      <w:pPr>
        <w:spacing w:line="360" w:lineRule="auto"/>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甲方</w:t>
      </w:r>
      <w:r>
        <w:rPr>
          <w:rFonts w:hint="eastAsia"/>
          <w:color w:val="000000" w:themeColor="text1"/>
          <w:sz w:val="24"/>
          <w:highlight w:val="none"/>
          <w14:textFill>
            <w14:solidFill>
              <w14:schemeClr w14:val="tx1"/>
            </w14:solidFill>
          </w14:textFill>
        </w:rPr>
        <w:t>：【                     】</w:t>
      </w:r>
    </w:p>
    <w:p w14:paraId="1358A117">
      <w:pPr>
        <w:spacing w:line="360" w:lineRule="auto"/>
        <w:rPr>
          <w:rFonts w:hint="eastAsia" w:ascii="宋体" w:hAnsi="宋体"/>
          <w:color w:val="000000" w:themeColor="text1"/>
          <w:kern w:val="0"/>
          <w:sz w:val="24"/>
          <w:szCs w:val="21"/>
          <w:highlight w:val="none"/>
          <w14:textFill>
            <w14:solidFill>
              <w14:schemeClr w14:val="tx1"/>
            </w14:solidFill>
          </w14:textFill>
        </w:rPr>
      </w:pPr>
      <w:r>
        <w:rPr>
          <w:rFonts w:hint="eastAsia" w:ascii="宋体" w:hAnsi="宋体"/>
          <w:color w:val="000000" w:themeColor="text1"/>
          <w:kern w:val="0"/>
          <w:sz w:val="24"/>
          <w:szCs w:val="21"/>
          <w:highlight w:val="none"/>
          <w:lang w:val="zh-CN"/>
          <w14:textFill>
            <w14:solidFill>
              <w14:schemeClr w14:val="tx1"/>
            </w14:solidFill>
          </w14:textFill>
        </w:rPr>
        <w:t>法定地址</w:t>
      </w:r>
      <w:r>
        <w:rPr>
          <w:rFonts w:hint="eastAsia" w:ascii="宋体" w:hAnsi="宋体"/>
          <w:color w:val="000000" w:themeColor="text1"/>
          <w:kern w:val="0"/>
          <w:sz w:val="24"/>
          <w:szCs w:val="21"/>
          <w:highlight w:val="none"/>
          <w14:textFill>
            <w14:solidFill>
              <w14:schemeClr w14:val="tx1"/>
            </w14:solidFill>
          </w14:textFill>
        </w:rPr>
        <w:t>：【                      】</w:t>
      </w:r>
    </w:p>
    <w:p w14:paraId="6BC9ED48">
      <w:pPr>
        <w:spacing w:line="360" w:lineRule="auto"/>
        <w:rPr>
          <w:rFonts w:hint="eastAsia" w:ascii="宋体" w:hAnsi="宋体"/>
          <w:color w:val="000000" w:themeColor="text1"/>
          <w:kern w:val="0"/>
          <w:sz w:val="24"/>
          <w:szCs w:val="21"/>
          <w:highlight w:val="none"/>
          <w14:textFill>
            <w14:solidFill>
              <w14:schemeClr w14:val="tx1"/>
            </w14:solidFill>
          </w14:textFill>
        </w:rPr>
      </w:pPr>
      <w:r>
        <w:rPr>
          <w:rFonts w:hint="eastAsia" w:ascii="宋体" w:hAnsi="宋体"/>
          <w:color w:val="000000" w:themeColor="text1"/>
          <w:kern w:val="0"/>
          <w:sz w:val="24"/>
          <w:szCs w:val="21"/>
          <w:highlight w:val="none"/>
          <w:lang w:val="zh-CN"/>
          <w14:textFill>
            <w14:solidFill>
              <w14:schemeClr w14:val="tx1"/>
            </w14:solidFill>
          </w14:textFill>
        </w:rPr>
        <w:t>法定代表人</w:t>
      </w:r>
      <w:r>
        <w:rPr>
          <w:rFonts w:hint="eastAsia" w:ascii="宋体" w:hAnsi="宋体"/>
          <w:color w:val="000000" w:themeColor="text1"/>
          <w:kern w:val="0"/>
          <w:sz w:val="24"/>
          <w:szCs w:val="21"/>
          <w:highlight w:val="none"/>
          <w14:textFill>
            <w14:solidFill>
              <w14:schemeClr w14:val="tx1"/>
            </w14:solidFill>
          </w14:textFill>
        </w:rPr>
        <w:t>：【          】</w:t>
      </w:r>
    </w:p>
    <w:p w14:paraId="49DCA323">
      <w:pPr>
        <w:spacing w:line="360" w:lineRule="auto"/>
        <w:rPr>
          <w:color w:val="000000" w:themeColor="text1"/>
          <w:sz w:val="24"/>
          <w:highlight w:val="none"/>
          <w14:textFill>
            <w14:solidFill>
              <w14:schemeClr w14:val="tx1"/>
            </w14:solidFill>
          </w14:textFill>
        </w:rPr>
      </w:pPr>
    </w:p>
    <w:p w14:paraId="71646854">
      <w:pPr>
        <w:spacing w:line="360" w:lineRule="auto"/>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乙方</w:t>
      </w:r>
      <w:r>
        <w:rPr>
          <w:rFonts w:hint="eastAsia"/>
          <w:color w:val="000000" w:themeColor="text1"/>
          <w:sz w:val="24"/>
          <w:highlight w:val="none"/>
          <w14:textFill>
            <w14:solidFill>
              <w14:schemeClr w14:val="tx1"/>
            </w14:solidFill>
          </w14:textFill>
        </w:rPr>
        <w:t>：【                     】</w:t>
      </w:r>
    </w:p>
    <w:p w14:paraId="238AD108">
      <w:pPr>
        <w:spacing w:line="360" w:lineRule="auto"/>
        <w:rPr>
          <w:rFonts w:hint="eastAsia" w:ascii="宋体" w:hAnsi="宋体"/>
          <w:color w:val="000000" w:themeColor="text1"/>
          <w:kern w:val="0"/>
          <w:sz w:val="24"/>
          <w:szCs w:val="21"/>
          <w:highlight w:val="none"/>
          <w14:textFill>
            <w14:solidFill>
              <w14:schemeClr w14:val="tx1"/>
            </w14:solidFill>
          </w14:textFill>
        </w:rPr>
      </w:pPr>
      <w:r>
        <w:rPr>
          <w:rFonts w:hint="eastAsia" w:ascii="宋体" w:hAnsi="宋体"/>
          <w:color w:val="000000" w:themeColor="text1"/>
          <w:kern w:val="0"/>
          <w:sz w:val="24"/>
          <w:szCs w:val="21"/>
          <w:highlight w:val="none"/>
          <w:lang w:val="zh-CN"/>
          <w14:textFill>
            <w14:solidFill>
              <w14:schemeClr w14:val="tx1"/>
            </w14:solidFill>
          </w14:textFill>
        </w:rPr>
        <w:t>法定地址</w:t>
      </w:r>
      <w:r>
        <w:rPr>
          <w:rFonts w:hint="eastAsia" w:ascii="宋体" w:hAnsi="宋体"/>
          <w:color w:val="000000" w:themeColor="text1"/>
          <w:kern w:val="0"/>
          <w:sz w:val="24"/>
          <w:szCs w:val="21"/>
          <w:highlight w:val="none"/>
          <w14:textFill>
            <w14:solidFill>
              <w14:schemeClr w14:val="tx1"/>
            </w14:solidFill>
          </w14:textFill>
        </w:rPr>
        <w:t>：【                      】</w:t>
      </w:r>
    </w:p>
    <w:p w14:paraId="047EE4E0">
      <w:pPr>
        <w:spacing w:line="360" w:lineRule="auto"/>
        <w:rPr>
          <w:rFonts w:hint="eastAsia" w:ascii="宋体" w:hAnsi="宋体"/>
          <w:color w:val="000000" w:themeColor="text1"/>
          <w:kern w:val="0"/>
          <w:sz w:val="24"/>
          <w:szCs w:val="21"/>
          <w:highlight w:val="none"/>
          <w14:textFill>
            <w14:solidFill>
              <w14:schemeClr w14:val="tx1"/>
            </w14:solidFill>
          </w14:textFill>
        </w:rPr>
      </w:pPr>
      <w:r>
        <w:rPr>
          <w:rFonts w:hint="eastAsia" w:ascii="宋体" w:hAnsi="宋体"/>
          <w:color w:val="000000" w:themeColor="text1"/>
          <w:kern w:val="0"/>
          <w:sz w:val="24"/>
          <w:szCs w:val="21"/>
          <w:highlight w:val="none"/>
          <w:lang w:val="zh-CN"/>
          <w14:textFill>
            <w14:solidFill>
              <w14:schemeClr w14:val="tx1"/>
            </w14:solidFill>
          </w14:textFill>
        </w:rPr>
        <w:t>法定代表人</w:t>
      </w:r>
      <w:r>
        <w:rPr>
          <w:rFonts w:hint="eastAsia" w:ascii="宋体" w:hAnsi="宋体"/>
          <w:color w:val="000000" w:themeColor="text1"/>
          <w:kern w:val="0"/>
          <w:sz w:val="24"/>
          <w:szCs w:val="21"/>
          <w:highlight w:val="none"/>
          <w14:textFill>
            <w14:solidFill>
              <w14:schemeClr w14:val="tx1"/>
            </w14:solidFill>
          </w14:textFill>
        </w:rPr>
        <w:t>：【         】</w:t>
      </w:r>
    </w:p>
    <w:p w14:paraId="4C67B24A">
      <w:pPr>
        <w:spacing w:line="360" w:lineRule="auto"/>
        <w:rPr>
          <w:color w:val="000000" w:themeColor="text1"/>
          <w:highlight w:val="none"/>
          <w14:textFill>
            <w14:solidFill>
              <w14:schemeClr w14:val="tx1"/>
            </w14:solidFill>
          </w14:textFill>
        </w:rPr>
      </w:pPr>
    </w:p>
    <w:p w14:paraId="4C609594">
      <w:pPr>
        <w:pStyle w:val="2"/>
        <w:spacing w:line="500" w:lineRule="exact"/>
        <w:rPr>
          <w:color w:val="000000" w:themeColor="text1"/>
          <w:sz w:val="24"/>
          <w:highlight w:val="none"/>
          <w14:textFill>
            <w14:solidFill>
              <w14:schemeClr w14:val="tx1"/>
            </w14:solidFill>
          </w14:textFill>
        </w:rPr>
      </w:pPr>
      <w:bookmarkStart w:id="6" w:name="_Toc375151326"/>
      <w:bookmarkStart w:id="7" w:name="_Toc402257847"/>
      <w:bookmarkStart w:id="8" w:name="_Toc375151465"/>
      <w:bookmarkStart w:id="9" w:name="_Toc130198996"/>
      <w:bookmarkStart w:id="10" w:name="_Toc378344458"/>
      <w:bookmarkStart w:id="11" w:name="_Toc68613769"/>
      <w:r>
        <w:rPr>
          <w:rFonts w:hint="eastAsia"/>
          <w:color w:val="000000" w:themeColor="text1"/>
          <w:sz w:val="24"/>
          <w:highlight w:val="none"/>
          <w14:textFill>
            <w14:solidFill>
              <w14:schemeClr w14:val="tx1"/>
            </w14:solidFill>
          </w14:textFill>
        </w:rPr>
        <w:t>第二条　协议标的</w:t>
      </w:r>
      <w:bookmarkEnd w:id="6"/>
      <w:bookmarkEnd w:id="7"/>
      <w:bookmarkEnd w:id="8"/>
      <w:bookmarkEnd w:id="9"/>
      <w:bookmarkEnd w:id="10"/>
      <w:bookmarkEnd w:id="11"/>
    </w:p>
    <w:p w14:paraId="570FDFF9">
      <w:pPr>
        <w:tabs>
          <w:tab w:val="left" w:pos="567"/>
        </w:tabs>
        <w:spacing w:line="50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2.1 项目名称： 【            】 ，项目范围及内容： </w:t>
      </w:r>
    </w:p>
    <w:p w14:paraId="7E4E1BB5">
      <w:pPr>
        <w:tabs>
          <w:tab w:val="left" w:pos="567"/>
        </w:tabs>
        <w:spacing w:line="50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2.1.1软件系统租用及技术支撑服务</w:t>
      </w:r>
    </w:p>
    <w:p w14:paraId="1B5A849D">
      <w:pPr>
        <w:tabs>
          <w:tab w:val="left" w:pos="567"/>
        </w:tabs>
        <w:spacing w:line="50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2.1.1.1软件系统租用服务</w:t>
      </w:r>
    </w:p>
    <w:p w14:paraId="788969D3">
      <w:pPr>
        <w:tabs>
          <w:tab w:val="left" w:pos="567"/>
        </w:tabs>
        <w:spacing w:line="50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乙方向甲方提供软件系统租用服务，授权甲方在合同期内使用本合同约定的软件平台，具体功能范围包括但不限于平台应用服务、国产化适配服务及多机负载均衡功能等服务，以满足甲方实际业务需求。</w:t>
      </w:r>
    </w:p>
    <w:p w14:paraId="191924CB">
      <w:pPr>
        <w:tabs>
          <w:tab w:val="left" w:pos="567"/>
        </w:tabs>
        <w:spacing w:line="50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2.1.1.2技术支撑服务</w:t>
      </w:r>
    </w:p>
    <w:p w14:paraId="4BF51A56">
      <w:pPr>
        <w:tabs>
          <w:tab w:val="left" w:pos="567"/>
        </w:tabs>
        <w:spacing w:line="50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乙方向甲方提供以下技术支撑服务：</w:t>
      </w:r>
    </w:p>
    <w:p w14:paraId="3334578E">
      <w:pPr>
        <w:tabs>
          <w:tab w:val="left" w:pos="567"/>
        </w:tabs>
        <w:spacing w:line="50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软件使用指导：为甲方操作人员提供操作培训及日常使用咨询；系统排故：针对甲方反馈的系统故障，提供远程或现场故障排查与修复服务；系统升级：根据软件版本更新计划或甲方需求，提供系统功能升级及补丁更新服务；系统巡检：按约定周期对系统运行状态进行巡检，并提交巡检报告。</w:t>
      </w:r>
    </w:p>
    <w:p w14:paraId="5C56CB45">
      <w:pPr>
        <w:tabs>
          <w:tab w:val="left" w:pos="567"/>
        </w:tabs>
        <w:spacing w:line="50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2.1.2运营商网关对接及数据库维护服务</w:t>
      </w:r>
    </w:p>
    <w:p w14:paraId="567638FB">
      <w:pPr>
        <w:tabs>
          <w:tab w:val="left" w:pos="567"/>
        </w:tabs>
        <w:spacing w:line="50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2.1.2.1运营商网关对接服务</w:t>
      </w:r>
    </w:p>
    <w:p w14:paraId="24CED1F1">
      <w:pPr>
        <w:tabs>
          <w:tab w:val="left" w:pos="567"/>
        </w:tabs>
        <w:spacing w:line="50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乙方负责甲方与运营商网关的对接服务，并定期对对接状态进行维护，确保数据传输通道稳定畅通。</w:t>
      </w:r>
    </w:p>
    <w:p w14:paraId="35180D6F">
      <w:pPr>
        <w:tabs>
          <w:tab w:val="left" w:pos="567"/>
        </w:tabs>
        <w:spacing w:line="50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2.1.2.2数据库维护服务</w:t>
      </w:r>
    </w:p>
    <w:p w14:paraId="7E38D59C">
      <w:pPr>
        <w:tabs>
          <w:tab w:val="left" w:pos="567"/>
        </w:tabs>
        <w:spacing w:line="50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乙方向甲方提供数据库维护服务，具体包括：</w:t>
      </w:r>
    </w:p>
    <w:p w14:paraId="33976E62">
      <w:pPr>
        <w:tabs>
          <w:tab w:val="left" w:pos="567"/>
        </w:tabs>
        <w:spacing w:line="50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性能优化：定期对数据库进行性能优化，提升软件运行效率；数据备份：建立并执行数据备份机制，确保系统数据安全有效，支持按甲方要求进行数据恢复；数据修正：在系统运行过程中发现数据错误时，及时进行数据修正； 应急恢复：因操作失误、死机、断电等意外情况导致数据错误时，负责恢复至最近一次有效备份状态。</w:t>
      </w:r>
    </w:p>
    <w:p w14:paraId="0EE349F0">
      <w:pPr>
        <w:tabs>
          <w:tab w:val="left" w:pos="567"/>
        </w:tabs>
        <w:spacing w:line="50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2.1.3服务要求</w:t>
      </w:r>
    </w:p>
    <w:p w14:paraId="37ACD4B7">
      <w:pPr>
        <w:tabs>
          <w:tab w:val="left" w:pos="567"/>
        </w:tabs>
        <w:spacing w:line="50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2.1.3.1现场保障服务：乙方派遣运维工程师提供现场技术支撑服务，包括软件系统的日常例行巡检和维护、系统故障诊断及排除等服务。</w:t>
      </w:r>
    </w:p>
    <w:p w14:paraId="0207E8A5">
      <w:pPr>
        <w:tabs>
          <w:tab w:val="left" w:pos="567"/>
        </w:tabs>
        <w:spacing w:line="50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2.1.3.2远程技术支撑服务：乙方提供远程技术支撑服务，为系统复杂故障提供远程技术支持，满足甲方的日常需求及突发事件应对。</w:t>
      </w:r>
    </w:p>
    <w:p w14:paraId="2A0C8E98">
      <w:pPr>
        <w:tabs>
          <w:tab w:val="left" w:pos="567"/>
        </w:tabs>
        <w:spacing w:line="50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2.2 项目实施地点：北京，项目实施时间：2026年7月1日至2027年6月30日 。</w:t>
      </w:r>
    </w:p>
    <w:p w14:paraId="4B5A03EF">
      <w:pPr>
        <w:pStyle w:val="2"/>
        <w:spacing w:line="500" w:lineRule="exact"/>
        <w:rPr>
          <w:color w:val="000000" w:themeColor="text1"/>
          <w:sz w:val="24"/>
          <w:highlight w:val="none"/>
          <w14:textFill>
            <w14:solidFill>
              <w14:schemeClr w14:val="tx1"/>
            </w14:solidFill>
          </w14:textFill>
        </w:rPr>
      </w:pPr>
      <w:bookmarkStart w:id="12" w:name="_Toc402257848"/>
      <w:bookmarkStart w:id="13" w:name="_Toc48999687"/>
      <w:bookmarkStart w:id="14" w:name="_Toc394068345"/>
      <w:bookmarkStart w:id="15" w:name="_Toc48999875"/>
      <w:r>
        <w:rPr>
          <w:rFonts w:hint="eastAsia"/>
          <w:color w:val="000000" w:themeColor="text1"/>
          <w:sz w:val="24"/>
          <w:highlight w:val="none"/>
          <w14:textFill>
            <w14:solidFill>
              <w14:schemeClr w14:val="tx1"/>
            </w14:solidFill>
          </w14:textFill>
        </w:rPr>
        <w:t xml:space="preserve">第三条  </w:t>
      </w:r>
      <w:bookmarkEnd w:id="12"/>
      <w:bookmarkEnd w:id="13"/>
      <w:bookmarkEnd w:id="14"/>
      <w:bookmarkEnd w:id="15"/>
      <w:r>
        <w:rPr>
          <w:rFonts w:hint="eastAsia"/>
          <w:color w:val="000000" w:themeColor="text1"/>
          <w:sz w:val="24"/>
          <w:highlight w:val="none"/>
          <w14:textFill>
            <w14:solidFill>
              <w14:schemeClr w14:val="tx1"/>
            </w14:solidFill>
          </w14:textFill>
        </w:rPr>
        <w:t>合同价款</w:t>
      </w:r>
    </w:p>
    <w:p w14:paraId="498D1C13">
      <w:pPr>
        <w:tabs>
          <w:tab w:val="left" w:pos="567"/>
        </w:tabs>
        <w:spacing w:line="50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3.1 本协议含税总价为：【        】元（含税）（大写：人民币【        】）。</w:t>
      </w:r>
    </w:p>
    <w:p w14:paraId="4B5BA43C">
      <w:pPr>
        <w:tabs>
          <w:tab w:val="left" w:pos="567"/>
        </w:tabs>
        <w:spacing w:line="500" w:lineRule="exact"/>
        <w:rPr>
          <w:rFonts w:hint="eastAsia"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3.2 </w:t>
      </w:r>
      <w:r>
        <w:rPr>
          <w:color w:val="000000" w:themeColor="text1"/>
          <w:sz w:val="24"/>
          <w:highlight w:val="none"/>
          <w14:textFill>
            <w14:solidFill>
              <w14:schemeClr w14:val="tx1"/>
            </w14:solidFill>
          </w14:textFill>
        </w:rPr>
        <w:t>上述</w:t>
      </w:r>
      <w:r>
        <w:rPr>
          <w:rFonts w:hint="eastAsia"/>
          <w:color w:val="000000" w:themeColor="text1"/>
          <w:sz w:val="24"/>
          <w:highlight w:val="none"/>
          <w14:textFill>
            <w14:solidFill>
              <w14:schemeClr w14:val="tx1"/>
            </w14:solidFill>
          </w14:textFill>
        </w:rPr>
        <w:t>协议</w:t>
      </w:r>
      <w:r>
        <w:rPr>
          <w:color w:val="000000" w:themeColor="text1"/>
          <w:sz w:val="24"/>
          <w:highlight w:val="none"/>
          <w14:textFill>
            <w14:solidFill>
              <w14:schemeClr w14:val="tx1"/>
            </w14:solidFill>
          </w14:textFill>
        </w:rPr>
        <w:t>总价</w:t>
      </w:r>
      <w:r>
        <w:rPr>
          <w:rFonts w:hint="eastAsia"/>
          <w:color w:val="000000" w:themeColor="text1"/>
          <w:sz w:val="24"/>
          <w:highlight w:val="none"/>
          <w14:textFill>
            <w14:solidFill>
              <w14:schemeClr w14:val="tx1"/>
            </w14:solidFill>
          </w14:textFill>
        </w:rPr>
        <w:t>为乙方向甲方提供协议服务的含税价格，</w:t>
      </w:r>
      <w:r>
        <w:rPr>
          <w:rFonts w:hint="eastAsia" w:ascii="宋体" w:hAnsi="宋体"/>
          <w:color w:val="000000" w:themeColor="text1"/>
          <w:sz w:val="24"/>
          <w:highlight w:val="none"/>
          <w14:textFill>
            <w14:solidFill>
              <w14:schemeClr w14:val="tx1"/>
            </w14:solidFill>
          </w14:textFill>
        </w:rPr>
        <w:t>本协议总价是根据协议签署时甲方确定的</w:t>
      </w:r>
      <w:r>
        <w:rPr>
          <w:rFonts w:hint="eastAsia"/>
          <w:color w:val="000000" w:themeColor="text1"/>
          <w:sz w:val="24"/>
          <w:highlight w:val="none"/>
          <w14:textFill>
            <w14:solidFill>
              <w14:schemeClr w14:val="tx1"/>
            </w14:solidFill>
          </w14:textFill>
        </w:rPr>
        <w:t>项目工作量与双方确认的</w:t>
      </w:r>
      <w:r>
        <w:rPr>
          <w:rFonts w:hint="eastAsia" w:ascii="宋体" w:hAnsi="宋体"/>
          <w:color w:val="000000" w:themeColor="text1"/>
          <w:sz w:val="24"/>
          <w:highlight w:val="none"/>
          <w14:textFill>
            <w14:solidFill>
              <w14:schemeClr w14:val="tx1"/>
            </w14:solidFill>
          </w14:textFill>
        </w:rPr>
        <w:t>服务目录单价为依据计算得出的签约总价。如本协议履行过程中，发生在签署协议时尚未确定或不可预见变更的施工及其所需服务等，或乙方应甲方要求实施相关项目变更及附加本协议约定以外的工作，因此所增加的费用由甲方依据工程量变更清单、现场签证以及其他工作证明材料向乙方支付。</w:t>
      </w:r>
      <w:bookmarkStart w:id="16" w:name="OLE_LINK1"/>
    </w:p>
    <w:p w14:paraId="35D59CE3">
      <w:pPr>
        <w:tabs>
          <w:tab w:val="left" w:pos="567"/>
        </w:tabs>
        <w:spacing w:line="500" w:lineRule="exact"/>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3.3</w:t>
      </w:r>
      <w:r>
        <w:rPr>
          <w:rFonts w:hint="eastAsia" w:ascii="宋体" w:hAnsi="宋体"/>
          <w:color w:val="000000" w:themeColor="text1"/>
          <w:sz w:val="24"/>
          <w:highlight w:val="none"/>
          <w14:textFill>
            <w14:solidFill>
              <w14:schemeClr w14:val="tx1"/>
            </w14:solidFill>
          </w14:textFill>
        </w:rPr>
        <w:t xml:space="preserve"> </w:t>
      </w:r>
      <w:r>
        <w:rPr>
          <w:rFonts w:ascii="宋体" w:hAnsi="宋体"/>
          <w:bCs/>
          <w:color w:val="000000" w:themeColor="text1"/>
          <w:sz w:val="24"/>
          <w:highlight w:val="none"/>
          <w14:textFill>
            <w14:solidFill>
              <w14:schemeClr w14:val="tx1"/>
            </w14:solidFill>
          </w14:textFill>
        </w:rPr>
        <w:t>本项目涉及的所有内容</w:t>
      </w:r>
      <w:r>
        <w:rPr>
          <w:rFonts w:hint="eastAsia" w:ascii="宋体" w:hAnsi="宋体"/>
          <w:bCs/>
          <w:color w:val="000000" w:themeColor="text1"/>
          <w:sz w:val="24"/>
          <w:highlight w:val="none"/>
          <w14:textFill>
            <w14:solidFill>
              <w14:schemeClr w14:val="tx1"/>
            </w14:solidFill>
          </w14:textFill>
        </w:rPr>
        <w:t>，是为甲方提供信息化服务能力的必要组成部分，甲方将以信息化服务费的形式支付对应款项，甲方拥有整体服务的使用权。</w:t>
      </w:r>
      <w:bookmarkEnd w:id="16"/>
    </w:p>
    <w:p w14:paraId="42969586">
      <w:pPr>
        <w:pStyle w:val="2"/>
        <w:spacing w:line="500" w:lineRule="exact"/>
        <w:rPr>
          <w:color w:val="000000" w:themeColor="text1"/>
          <w:sz w:val="24"/>
          <w:highlight w:val="none"/>
          <w14:textFill>
            <w14:solidFill>
              <w14:schemeClr w14:val="tx1"/>
            </w14:solidFill>
          </w14:textFill>
        </w:rPr>
      </w:pPr>
      <w:bookmarkStart w:id="17" w:name="_Toc130198997"/>
      <w:bookmarkStart w:id="18" w:name="_Toc402257849"/>
      <w:bookmarkStart w:id="19" w:name="_Toc378344459"/>
      <w:bookmarkStart w:id="20" w:name="_Toc375151327"/>
      <w:bookmarkStart w:id="21" w:name="_Toc375151466"/>
      <w:r>
        <w:rPr>
          <w:rFonts w:hint="eastAsia"/>
          <w:color w:val="000000" w:themeColor="text1"/>
          <w:sz w:val="24"/>
          <w:highlight w:val="none"/>
          <w14:textFill>
            <w14:solidFill>
              <w14:schemeClr w14:val="tx1"/>
            </w14:solidFill>
          </w14:textFill>
        </w:rPr>
        <w:t>第四条　付款方式</w:t>
      </w:r>
      <w:bookmarkEnd w:id="17"/>
      <w:bookmarkEnd w:id="18"/>
      <w:bookmarkEnd w:id="19"/>
      <w:bookmarkEnd w:id="20"/>
      <w:bookmarkEnd w:id="21"/>
    </w:p>
    <w:p w14:paraId="4A209EDB">
      <w:pPr>
        <w:pStyle w:val="18"/>
        <w:widowControl/>
        <w:tabs>
          <w:tab w:val="left" w:pos="567"/>
          <w:tab w:val="left" w:pos="1985"/>
        </w:tabs>
        <w:autoSpaceDE w:val="0"/>
        <w:autoSpaceDN w:val="0"/>
        <w:spacing w:line="360" w:lineRule="auto"/>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4.1 协议项下所有款额应通过甲方和乙方在本协议中所约定的银行以人民币支付。甲乙双方各自承担因执行协议所发生的银行费用及各项税费。</w:t>
      </w:r>
    </w:p>
    <w:p w14:paraId="7D857C46">
      <w:pPr>
        <w:pStyle w:val="18"/>
        <w:widowControl/>
        <w:tabs>
          <w:tab w:val="left" w:pos="567"/>
          <w:tab w:val="left" w:pos="1985"/>
        </w:tabs>
        <w:autoSpaceDE w:val="0"/>
        <w:autoSpaceDN w:val="0"/>
        <w:spacing w:line="360" w:lineRule="auto"/>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4.2 本协议项下确定的协议总价由甲方向乙方按如下方式及比例支付：</w:t>
      </w:r>
    </w:p>
    <w:p w14:paraId="40DDBC59">
      <w:pPr>
        <w:spacing w:line="360" w:lineRule="auto"/>
        <w:ind w:left="425"/>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第一笔：甲方应于本合同约定的服务开始时间前10个工作日内</w:t>
      </w:r>
      <w:r>
        <w:rPr>
          <w:rFonts w:ascii="宋体" w:hAnsi="宋体"/>
          <w:color w:val="000000" w:themeColor="text1"/>
          <w:sz w:val="24"/>
          <w:highlight w:val="none"/>
          <w14:textFill>
            <w14:solidFill>
              <w14:schemeClr w14:val="tx1"/>
            </w14:solidFill>
          </w14:textFill>
        </w:rPr>
        <w:t>，由甲方</w:t>
      </w:r>
      <w:r>
        <w:rPr>
          <w:rFonts w:hint="eastAsia" w:ascii="宋体" w:hAnsi="宋体"/>
          <w:color w:val="000000" w:themeColor="text1"/>
          <w:sz w:val="24"/>
          <w:highlight w:val="none"/>
          <w14:textFill>
            <w14:solidFill>
              <w14:schemeClr w14:val="tx1"/>
            </w14:solidFill>
          </w14:textFill>
        </w:rPr>
        <w:t>向</w:t>
      </w:r>
      <w:r>
        <w:rPr>
          <w:rFonts w:ascii="宋体" w:hAnsi="宋体"/>
          <w:color w:val="000000" w:themeColor="text1"/>
          <w:sz w:val="24"/>
          <w:highlight w:val="none"/>
          <w14:textFill>
            <w14:solidFill>
              <w14:schemeClr w14:val="tx1"/>
            </w14:solidFill>
          </w14:textFill>
        </w:rPr>
        <w:t>乙方</w:t>
      </w:r>
      <w:r>
        <w:rPr>
          <w:rFonts w:hint="eastAsia" w:ascii="宋体" w:hAnsi="宋体"/>
          <w:color w:val="000000" w:themeColor="text1"/>
          <w:sz w:val="24"/>
          <w:highlight w:val="none"/>
          <w14:textFill>
            <w14:solidFill>
              <w14:schemeClr w14:val="tx1"/>
            </w14:solidFill>
          </w14:textFill>
        </w:rPr>
        <w:t>支付合同总价</w:t>
      </w:r>
      <w:r>
        <w:rPr>
          <w:rFonts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14:textFill>
            <w14:solidFill>
              <w14:schemeClr w14:val="tx1"/>
            </w14:solidFill>
          </w14:textFill>
        </w:rPr>
        <w:t>80</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，含税金额</w:t>
      </w:r>
      <w:r>
        <w:rPr>
          <w:rFonts w:hint="eastAsia"/>
          <w:color w:val="000000" w:themeColor="text1"/>
          <w:sz w:val="24"/>
          <w:highlight w:val="none"/>
          <w14:textFill>
            <w14:solidFill>
              <w14:schemeClr w14:val="tx1"/>
            </w14:solidFill>
          </w14:textFill>
        </w:rPr>
        <w:t>【  】元（大写：人民币【  】）</w:t>
      </w:r>
    </w:p>
    <w:p w14:paraId="186B0FC2">
      <w:pPr>
        <w:spacing w:line="360" w:lineRule="auto"/>
        <w:ind w:left="425"/>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第二笔：项目服务期结束，甲方验收合格后15个工作日内</w:t>
      </w:r>
      <w:r>
        <w:rPr>
          <w:rFonts w:ascii="宋体" w:hAnsi="宋体"/>
          <w:color w:val="000000" w:themeColor="text1"/>
          <w:sz w:val="24"/>
          <w:highlight w:val="none"/>
          <w14:textFill>
            <w14:solidFill>
              <w14:schemeClr w14:val="tx1"/>
            </w14:solidFill>
          </w14:textFill>
        </w:rPr>
        <w:t>，由甲方</w:t>
      </w:r>
      <w:r>
        <w:rPr>
          <w:rFonts w:hint="eastAsia" w:ascii="宋体" w:hAnsi="宋体"/>
          <w:color w:val="000000" w:themeColor="text1"/>
          <w:sz w:val="24"/>
          <w:highlight w:val="none"/>
          <w14:textFill>
            <w14:solidFill>
              <w14:schemeClr w14:val="tx1"/>
            </w14:solidFill>
          </w14:textFill>
        </w:rPr>
        <w:t>向</w:t>
      </w:r>
      <w:r>
        <w:rPr>
          <w:rFonts w:ascii="宋体" w:hAnsi="宋体"/>
          <w:color w:val="000000" w:themeColor="text1"/>
          <w:sz w:val="24"/>
          <w:highlight w:val="none"/>
          <w14:textFill>
            <w14:solidFill>
              <w14:schemeClr w14:val="tx1"/>
            </w14:solidFill>
          </w14:textFill>
        </w:rPr>
        <w:t>乙方</w:t>
      </w:r>
      <w:r>
        <w:rPr>
          <w:rFonts w:hint="eastAsia" w:ascii="宋体" w:hAnsi="宋体"/>
          <w:color w:val="000000" w:themeColor="text1"/>
          <w:sz w:val="24"/>
          <w:highlight w:val="none"/>
          <w14:textFill>
            <w14:solidFill>
              <w14:schemeClr w14:val="tx1"/>
            </w14:solidFill>
          </w14:textFill>
        </w:rPr>
        <w:t>支付合同总价</w:t>
      </w:r>
      <w:r>
        <w:rPr>
          <w:rFonts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14:textFill>
            <w14:solidFill>
              <w14:schemeClr w14:val="tx1"/>
            </w14:solidFill>
          </w14:textFill>
        </w:rPr>
        <w:t>20</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含税金额【  】元（大写：人民币【  】）。</w:t>
      </w:r>
    </w:p>
    <w:p w14:paraId="60F42CB5">
      <w:pPr>
        <w:widowControl/>
        <w:spacing w:line="360" w:lineRule="auto"/>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4.3 乙方在甲方支付协议款项时，应向甲方开具符合甲方要求，且符合国家法律法规和标准的增值税</w:t>
      </w:r>
      <w:r>
        <w:rPr>
          <w:rFonts w:hint="eastAsia"/>
          <w:b/>
          <w:bCs/>
          <w:color w:val="000000" w:themeColor="text1"/>
          <w:sz w:val="24"/>
          <w:highlight w:val="none"/>
          <w14:textFill>
            <w14:solidFill>
              <w14:schemeClr w14:val="tx1"/>
            </w14:solidFill>
          </w14:textFill>
        </w:rPr>
        <w:t>普通</w:t>
      </w:r>
      <w:r>
        <w:rPr>
          <w:rFonts w:hint="eastAsia"/>
          <w:color w:val="000000" w:themeColor="text1"/>
          <w:sz w:val="24"/>
          <w:highlight w:val="none"/>
          <w14:textFill>
            <w14:solidFill>
              <w14:schemeClr w14:val="tx1"/>
            </w14:solidFill>
          </w14:textFill>
        </w:rPr>
        <w:t>发票，乙方承诺其开具发票的形式与内容均合法、有效、完整、准确。</w:t>
      </w:r>
    </w:p>
    <w:p w14:paraId="65FC464B">
      <w:pPr>
        <w:pStyle w:val="18"/>
        <w:widowControl/>
        <w:tabs>
          <w:tab w:val="left" w:pos="567"/>
          <w:tab w:val="left" w:pos="1985"/>
        </w:tabs>
        <w:autoSpaceDE w:val="0"/>
        <w:autoSpaceDN w:val="0"/>
        <w:spacing w:line="360" w:lineRule="auto"/>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4.4 在协议履行过程中，如遇国家税率政策变更，对于协议未履行完毕的部分，在原标的含税价不变的基础上，按照新税率重新计算标的不含税（单）价并开具发票，并且继续履行，后续不再另行签订补充协议。</w:t>
      </w:r>
    </w:p>
    <w:p w14:paraId="36D52CBC">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4.5 乙方结算相关信息如下：</w:t>
      </w:r>
    </w:p>
    <w:p w14:paraId="3021CDEF">
      <w:pPr>
        <w:widowControl/>
        <w:autoSpaceDE w:val="0"/>
        <w:autoSpaceDN w:val="0"/>
        <w:spacing w:line="500" w:lineRule="exact"/>
        <w:ind w:firstLine="600" w:firstLineChars="25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乙方名称：【  】</w:t>
      </w:r>
    </w:p>
    <w:p w14:paraId="09746F34">
      <w:pPr>
        <w:widowControl/>
        <w:autoSpaceDE w:val="0"/>
        <w:autoSpaceDN w:val="0"/>
        <w:spacing w:line="500" w:lineRule="exact"/>
        <w:ind w:firstLine="600" w:firstLineChars="250"/>
        <w:textAlignment w:val="bottom"/>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国税纳税人识别号</w:t>
      </w:r>
      <w:r>
        <w:rPr>
          <w:rFonts w:hint="eastAsia"/>
          <w:color w:val="000000" w:themeColor="text1"/>
          <w:sz w:val="24"/>
          <w:highlight w:val="none"/>
          <w14:textFill>
            <w14:solidFill>
              <w14:schemeClr w14:val="tx1"/>
            </w14:solidFill>
          </w14:textFill>
        </w:rPr>
        <w:t>：【  】</w:t>
      </w:r>
    </w:p>
    <w:p w14:paraId="4AAC2D79">
      <w:pPr>
        <w:widowControl/>
        <w:autoSpaceDE w:val="0"/>
        <w:autoSpaceDN w:val="0"/>
        <w:spacing w:line="500" w:lineRule="exact"/>
        <w:ind w:firstLine="600" w:firstLineChars="25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户名：【      】</w:t>
      </w:r>
    </w:p>
    <w:p w14:paraId="68811180">
      <w:pPr>
        <w:widowControl/>
        <w:autoSpaceDE w:val="0"/>
        <w:autoSpaceDN w:val="0"/>
        <w:spacing w:line="500" w:lineRule="exact"/>
        <w:ind w:firstLine="600" w:firstLineChars="25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开户行：【       】</w:t>
      </w:r>
    </w:p>
    <w:p w14:paraId="542B834A">
      <w:pPr>
        <w:widowControl/>
        <w:autoSpaceDE w:val="0"/>
        <w:autoSpaceDN w:val="0"/>
        <w:spacing w:line="500" w:lineRule="exact"/>
        <w:ind w:firstLine="600" w:firstLineChars="25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账号：【      】</w:t>
      </w:r>
    </w:p>
    <w:p w14:paraId="585FE88D">
      <w:pPr>
        <w:widowControl/>
        <w:autoSpaceDE w:val="0"/>
        <w:autoSpaceDN w:val="0"/>
        <w:spacing w:line="500" w:lineRule="exact"/>
        <w:ind w:firstLine="600" w:firstLineChars="25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地址：【  】</w:t>
      </w:r>
    </w:p>
    <w:p w14:paraId="7CA13C48">
      <w:pPr>
        <w:widowControl/>
        <w:autoSpaceDE w:val="0"/>
        <w:autoSpaceDN w:val="0"/>
        <w:spacing w:line="500" w:lineRule="exact"/>
        <w:ind w:firstLine="600" w:firstLineChars="25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联系电话：【   】</w:t>
      </w:r>
    </w:p>
    <w:p w14:paraId="2FCACA33">
      <w:pPr>
        <w:spacing w:line="500" w:lineRule="atLeast"/>
        <w:ind w:left="567" w:leftChars="260" w:hanging="21" w:hangingChars="9"/>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任何一方如需改变上述账户，应提前【十（10）】日书面通知另一方。如一方未按本协议规定通知而使另一方遭受损失的，应予以赔偿。</w:t>
      </w:r>
    </w:p>
    <w:p w14:paraId="26FB8B1D">
      <w:pPr>
        <w:pStyle w:val="2"/>
        <w:spacing w:line="500" w:lineRule="exact"/>
        <w:rPr>
          <w:color w:val="000000" w:themeColor="text1"/>
          <w:sz w:val="24"/>
          <w:highlight w:val="none"/>
          <w14:textFill>
            <w14:solidFill>
              <w14:schemeClr w14:val="tx1"/>
            </w14:solidFill>
          </w14:textFill>
        </w:rPr>
      </w:pPr>
      <w:bookmarkStart w:id="22" w:name="_Toc394068350"/>
      <w:bookmarkStart w:id="23" w:name="_Toc402257853"/>
      <w:bookmarkStart w:id="24" w:name="_Toc48999692"/>
      <w:bookmarkStart w:id="25" w:name="_Toc48999880"/>
      <w:bookmarkStart w:id="26" w:name="_Toc378344462"/>
      <w:r>
        <w:rPr>
          <w:rFonts w:hint="eastAsia"/>
          <w:color w:val="000000" w:themeColor="text1"/>
          <w:sz w:val="24"/>
          <w:highlight w:val="none"/>
          <w14:textFill>
            <w14:solidFill>
              <w14:schemeClr w14:val="tx1"/>
            </w14:solidFill>
          </w14:textFill>
        </w:rPr>
        <w:t xml:space="preserve">第五条 </w:t>
      </w:r>
      <w:r>
        <w:rPr>
          <w:color w:val="000000" w:themeColor="text1"/>
          <w:sz w:val="24"/>
          <w:highlight w:val="none"/>
          <w14:textFill>
            <w14:solidFill>
              <w14:schemeClr w14:val="tx1"/>
            </w14:solidFill>
          </w14:textFill>
        </w:rPr>
        <w:t xml:space="preserve"> </w:t>
      </w:r>
      <w:bookmarkEnd w:id="22"/>
      <w:bookmarkEnd w:id="23"/>
      <w:r>
        <w:rPr>
          <w:rFonts w:hint="eastAsia"/>
          <w:color w:val="000000" w:themeColor="text1"/>
          <w:sz w:val="24"/>
          <w:highlight w:val="none"/>
          <w14:textFill>
            <w14:solidFill>
              <w14:schemeClr w14:val="tx1"/>
            </w14:solidFill>
          </w14:textFill>
        </w:rPr>
        <w:t>权利义务</w:t>
      </w:r>
    </w:p>
    <w:p w14:paraId="4214054D">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lang w:eastAsia="zh-Hans"/>
          <w14:textFill>
            <w14:solidFill>
              <w14:schemeClr w14:val="tx1"/>
            </w14:solidFill>
          </w14:textFill>
        </w:rPr>
      </w:pPr>
      <w:r>
        <w:rPr>
          <w:rFonts w:hint="eastAsia"/>
          <w:color w:val="000000" w:themeColor="text1"/>
          <w:sz w:val="24"/>
          <w:highlight w:val="none"/>
          <w14:textFill>
            <w14:solidFill>
              <w14:schemeClr w14:val="tx1"/>
            </w14:solidFill>
          </w14:textFill>
        </w:rPr>
        <w:t xml:space="preserve">5.1 </w:t>
      </w:r>
      <w:r>
        <w:rPr>
          <w:rFonts w:hint="eastAsia"/>
          <w:color w:val="000000" w:themeColor="text1"/>
          <w:sz w:val="24"/>
          <w:highlight w:val="none"/>
          <w:lang w:eastAsia="zh-Hans"/>
          <w14:textFill>
            <w14:solidFill>
              <w14:schemeClr w14:val="tx1"/>
            </w14:solidFill>
          </w14:textFill>
        </w:rPr>
        <w:t>甲方对乙方提供的服务有权进行监督，当乙方服务质量、服务内容不符合约定时，甲方有权要求乙方及时进行整改，对乙方拒不改正或整改不到位的，甲方有权随时解除合同，并根据具体情况扣除部分或全部服务费用。</w:t>
      </w:r>
    </w:p>
    <w:p w14:paraId="1AA399AF">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lang w:eastAsia="zh-Hans"/>
          <w14:textFill>
            <w14:solidFill>
              <w14:schemeClr w14:val="tx1"/>
            </w14:solidFill>
          </w14:textFill>
        </w:rPr>
      </w:pPr>
      <w:r>
        <w:rPr>
          <w:rFonts w:hint="eastAsia"/>
          <w:color w:val="000000" w:themeColor="text1"/>
          <w:sz w:val="24"/>
          <w:highlight w:val="none"/>
          <w14:textFill>
            <w14:solidFill>
              <w14:schemeClr w14:val="tx1"/>
            </w14:solidFill>
          </w14:textFill>
        </w:rPr>
        <w:t>5.2 项目实施中甲方对原设计进行变更，应在变更前【 】天（重大设计变更前【】天）向乙方发出书面变更通知，乙方按通知进行变更，否则，乙方有权拒绝变更。因变更导致延误的工期相应顺延</w:t>
      </w:r>
      <w:r>
        <w:rPr>
          <w:color w:val="000000" w:themeColor="text1"/>
          <w:sz w:val="24"/>
          <w:highlight w:val="none"/>
          <w14:textFill>
            <w14:solidFill>
              <w14:schemeClr w14:val="tx1"/>
            </w14:solidFill>
          </w14:textFill>
        </w:rPr>
        <w:t>；</w:t>
      </w:r>
      <w:r>
        <w:rPr>
          <w:rFonts w:hint="eastAsia"/>
          <w:color w:val="000000" w:themeColor="text1"/>
          <w:sz w:val="24"/>
          <w:highlight w:val="none"/>
          <w:lang w:eastAsia="zh-Hans"/>
          <w14:textFill>
            <w14:solidFill>
              <w14:schemeClr w14:val="tx1"/>
            </w14:solidFill>
          </w14:textFill>
        </w:rPr>
        <w:t>因变更造成乙方损失的</w:t>
      </w:r>
      <w:r>
        <w:rPr>
          <w:color w:val="000000" w:themeColor="text1"/>
          <w:sz w:val="24"/>
          <w:highlight w:val="none"/>
          <w:lang w:eastAsia="zh-Hans"/>
          <w14:textFill>
            <w14:solidFill>
              <w14:schemeClr w14:val="tx1"/>
            </w14:solidFill>
          </w14:textFill>
        </w:rPr>
        <w:t>，</w:t>
      </w:r>
      <w:r>
        <w:rPr>
          <w:rFonts w:hint="eastAsia"/>
          <w:color w:val="000000" w:themeColor="text1"/>
          <w:sz w:val="24"/>
          <w:highlight w:val="none"/>
          <w:lang w:eastAsia="zh-Hans"/>
          <w14:textFill>
            <w14:solidFill>
              <w14:schemeClr w14:val="tx1"/>
            </w14:solidFill>
          </w14:textFill>
        </w:rPr>
        <w:t>由甲方赔偿</w:t>
      </w:r>
      <w:r>
        <w:rPr>
          <w:rFonts w:hint="eastAsia"/>
          <w:color w:val="000000" w:themeColor="text1"/>
          <w:sz w:val="24"/>
          <w:highlight w:val="none"/>
          <w14:textFill>
            <w14:solidFill>
              <w14:schemeClr w14:val="tx1"/>
            </w14:solidFill>
          </w14:textFill>
        </w:rPr>
        <w:t>。项目实施中乙方对原设计提出的变更要求，经甲方批准后方可实施。乙方未经批准不得擅自变更设计，否则，因变更影响工程质量和导致的全部损失，由乙方承担，工期不予顺延。</w:t>
      </w:r>
    </w:p>
    <w:p w14:paraId="3D534EFB">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5.3 </w:t>
      </w:r>
      <w:r>
        <w:rPr>
          <w:rFonts w:hint="eastAsia"/>
          <w:color w:val="000000" w:themeColor="text1"/>
          <w:sz w:val="24"/>
          <w:highlight w:val="none"/>
          <w:lang w:eastAsia="zh-Hans"/>
          <w14:textFill>
            <w14:solidFill>
              <w14:schemeClr w14:val="tx1"/>
            </w14:solidFill>
          </w14:textFill>
        </w:rPr>
        <w:t>甲方有</w:t>
      </w:r>
      <w:r>
        <w:rPr>
          <w:rFonts w:hint="eastAsia"/>
          <w:color w:val="000000" w:themeColor="text1"/>
          <w:sz w:val="24"/>
          <w:highlight w:val="none"/>
          <w14:textFill>
            <w14:solidFill>
              <w14:schemeClr w14:val="tx1"/>
            </w14:solidFill>
          </w14:textFill>
        </w:rPr>
        <w:t>义务</w:t>
      </w:r>
      <w:r>
        <w:rPr>
          <w:rFonts w:hint="eastAsia"/>
          <w:color w:val="000000" w:themeColor="text1"/>
          <w:sz w:val="24"/>
          <w:highlight w:val="none"/>
          <w:lang w:eastAsia="zh-Hans"/>
          <w14:textFill>
            <w14:solidFill>
              <w14:schemeClr w14:val="tx1"/>
            </w14:solidFill>
          </w14:textFill>
        </w:rPr>
        <w:t>协调</w:t>
      </w:r>
      <w:r>
        <w:rPr>
          <w:rFonts w:hint="eastAsia"/>
          <w:color w:val="000000" w:themeColor="text1"/>
          <w:sz w:val="24"/>
          <w:highlight w:val="none"/>
          <w14:textFill>
            <w14:solidFill>
              <w14:schemeClr w14:val="tx1"/>
            </w14:solidFill>
          </w14:textFill>
        </w:rPr>
        <w:t>组织本公司相关部门协助</w:t>
      </w:r>
      <w:r>
        <w:rPr>
          <w:rFonts w:hint="eastAsia"/>
          <w:color w:val="000000" w:themeColor="text1"/>
          <w:sz w:val="24"/>
          <w:highlight w:val="none"/>
          <w:lang w:eastAsia="zh-Hans"/>
          <w14:textFill>
            <w14:solidFill>
              <w14:schemeClr w14:val="tx1"/>
            </w14:solidFill>
          </w14:textFill>
        </w:rPr>
        <w:t>乙方顺利实施项目</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eastAsia="zh-Hans"/>
          <w14:textFill>
            <w14:solidFill>
              <w14:schemeClr w14:val="tx1"/>
            </w14:solidFill>
          </w14:textFill>
        </w:rPr>
        <w:t>秉承公平公正原则</w:t>
      </w:r>
      <w:r>
        <w:rPr>
          <w:rFonts w:hint="eastAsia"/>
          <w:color w:val="000000" w:themeColor="text1"/>
          <w:sz w:val="24"/>
          <w:highlight w:val="none"/>
          <w14:textFill>
            <w14:solidFill>
              <w14:schemeClr w14:val="tx1"/>
            </w14:solidFill>
          </w14:textFill>
        </w:rPr>
        <w:t>按照国家相关法律法规</w:t>
      </w:r>
      <w:r>
        <w:rPr>
          <w:rFonts w:hint="eastAsia"/>
          <w:color w:val="000000" w:themeColor="text1"/>
          <w:sz w:val="24"/>
          <w:highlight w:val="none"/>
          <w:lang w:eastAsia="zh-Hans"/>
          <w14:textFill>
            <w14:solidFill>
              <w14:schemeClr w14:val="tx1"/>
            </w14:solidFill>
          </w14:textFill>
        </w:rPr>
        <w:t>对乙方的工作成果进行验收</w:t>
      </w:r>
      <w:r>
        <w:rPr>
          <w:rFonts w:hint="eastAsia"/>
          <w:color w:val="000000" w:themeColor="text1"/>
          <w:sz w:val="24"/>
          <w:highlight w:val="none"/>
          <w14:textFill>
            <w14:solidFill>
              <w14:schemeClr w14:val="tx1"/>
            </w14:solidFill>
          </w14:textFill>
        </w:rPr>
        <w:t>，并按照合同约定的付款节点按时付款。乙方应严格按照合同要求履约，确保平台质量，如期完工和交付。</w:t>
      </w:r>
    </w:p>
    <w:p w14:paraId="41C9BE26">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5.4 乙方有权根据合同和项目需要，向甲方了解情况，查阅有关资料，对项目中定制化工具和平台功能部分进行全面的研究和设计，以保证平台需求和功能的完整性实现。</w:t>
      </w:r>
    </w:p>
    <w:p w14:paraId="1AA48000">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5.5 乙方须遵守国家和北京市相关法律法规，做好在建、在用信息系统的网络和数据安全防护工作。按照甲方要求开展信息系统整改、漏洞修复和安全加固工作。</w:t>
      </w:r>
    </w:p>
    <w:p w14:paraId="55C38650">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p>
    <w:bookmarkEnd w:id="24"/>
    <w:bookmarkEnd w:id="25"/>
    <w:p w14:paraId="0E06C847">
      <w:pPr>
        <w:pStyle w:val="2"/>
        <w:spacing w:line="500" w:lineRule="exact"/>
        <w:rPr>
          <w:color w:val="000000" w:themeColor="text1"/>
          <w:sz w:val="24"/>
          <w:highlight w:val="none"/>
          <w14:textFill>
            <w14:solidFill>
              <w14:schemeClr w14:val="tx1"/>
            </w14:solidFill>
          </w14:textFill>
        </w:rPr>
      </w:pPr>
      <w:bookmarkStart w:id="27" w:name="_Toc89503634"/>
      <w:r>
        <w:rPr>
          <w:rFonts w:hint="eastAsia"/>
          <w:color w:val="000000" w:themeColor="text1"/>
          <w:sz w:val="24"/>
          <w:highlight w:val="none"/>
          <w14:textFill>
            <w14:solidFill>
              <w14:schemeClr w14:val="tx1"/>
            </w14:solidFill>
          </w14:textFill>
        </w:rPr>
        <w:t xml:space="preserve">第六条  </w:t>
      </w:r>
      <w:bookmarkEnd w:id="27"/>
      <w:r>
        <w:rPr>
          <w:rFonts w:hint="eastAsia"/>
          <w:color w:val="000000" w:themeColor="text1"/>
          <w:sz w:val="24"/>
          <w:highlight w:val="none"/>
          <w14:textFill>
            <w14:solidFill>
              <w14:schemeClr w14:val="tx1"/>
            </w14:solidFill>
          </w14:textFill>
        </w:rPr>
        <w:t>项目验收</w:t>
      </w:r>
    </w:p>
    <w:p w14:paraId="3E450B2F">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6.1 验收标准及时限</w:t>
      </w:r>
    </w:p>
    <w:p w14:paraId="2E849EA1">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6.1.1.符合国家法律法规和规范性文件对服务质量的要求；</w:t>
      </w:r>
    </w:p>
    <w:p w14:paraId="613FFB43">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6.1.2.符合甲方磋商文件对服务的质量要求； </w:t>
      </w:r>
    </w:p>
    <w:p w14:paraId="55456EF6">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6.1.3.符合乙方在响应文件中或磋商、谈判过程中对服务质量作出的书面承诺、声明或保证。上述质量要求作为甲方对乙方服务质量的验收依据。</w:t>
      </w:r>
    </w:p>
    <w:p w14:paraId="4737878B">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6.1.4.验收以资料审查为主，必要时开展用户满意度调查。</w:t>
      </w:r>
    </w:p>
    <w:p w14:paraId="52E79583">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6.1.5.验收标准依据甲方需求进行，主要包括以下内容；</w:t>
      </w:r>
    </w:p>
    <w:p w14:paraId="189D7B0F">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（1）各项服务数量、质量符合合同约定；</w:t>
      </w:r>
    </w:p>
    <w:p w14:paraId="0CDAB47C">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（2）系统稳定运行，无重大安全事故；</w:t>
      </w:r>
    </w:p>
    <w:p w14:paraId="32611B19">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（3）服务文档齐全、规范；</w:t>
      </w:r>
    </w:p>
    <w:p w14:paraId="38FB0693">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（4）系统可用性≥99%（以合同周期计算，排除不可抗力及甲方原因）；</w:t>
      </w:r>
    </w:p>
    <w:p w14:paraId="7AD4ADAB">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w:t>
      </w:r>
      <w:r>
        <w:rPr>
          <w:rFonts w:hint="eastAsia"/>
          <w:color w:val="000000" w:themeColor="text1"/>
          <w:sz w:val="24"/>
          <w:highlight w:val="none"/>
          <w:lang w:eastAsia="zh-CN"/>
          <w14:textFill>
            <w14:solidFill>
              <w14:schemeClr w14:val="tx1"/>
            </w14:solidFill>
          </w14:textFill>
        </w:rPr>
        <w:t>沟通渠道畅通，系统故障响应及时</w:t>
      </w:r>
      <w:r>
        <w:rPr>
          <w:color w:val="000000" w:themeColor="text1"/>
          <w:sz w:val="24"/>
          <w:highlight w:val="none"/>
          <w14:textFill>
            <w14:solidFill>
              <w14:schemeClr w14:val="tx1"/>
            </w14:solidFill>
          </w14:textFill>
        </w:rPr>
        <w:t>（20分钟内）；</w:t>
      </w:r>
    </w:p>
    <w:p w14:paraId="2A783ED5">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（6）形成项目总结报告≥1份。</w:t>
      </w:r>
    </w:p>
    <w:p w14:paraId="2315E411">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6.2 验收需要提供资料</w:t>
      </w:r>
    </w:p>
    <w:p w14:paraId="5A523DF8">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乙方应在服务期届满前向甲方提交以下验收资料（包括但不限于）：</w:t>
      </w:r>
    </w:p>
    <w:p w14:paraId="67E0EF67">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6.2.1 软件系统租用相关：</w:t>
      </w:r>
    </w:p>
    <w:p w14:paraId="65EAC8A5">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平台功能清单及操作说明；国产化适配说明材料（操作系统、数据库、中间件兼容性情况）；系统部署架构说明及高可用性配置记录。</w:t>
      </w:r>
    </w:p>
    <w:p w14:paraId="11A256D9">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6.2.2 技术支撑服务相关：</w:t>
      </w:r>
    </w:p>
    <w:p w14:paraId="0BE5EB36">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用户使用指导记录及培训材料；故障处理记录台账（含响应时间、处置过程、处理结果）；系统升级记录及回滚方案文档；月度系统巡检报告（服务期内各月）。</w:t>
      </w:r>
    </w:p>
    <w:p w14:paraId="1A6E33C1">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6.2.3 运营商对接相关：</w:t>
      </w:r>
    </w:p>
    <w:p w14:paraId="222B582B">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三大运营商网关对接情况说明；新增接口对接完成确认材料（如有）。</w:t>
      </w:r>
    </w:p>
    <w:p w14:paraId="35534B01">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6.2.4 数据库维护相关：</w:t>
      </w:r>
    </w:p>
    <w:p w14:paraId="455384DD">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数据库优化方案及执行记录；数据备份策略说明及备份记录；数据恢复演练记录；数据错误修正记录及数据完整性校验情况说明。</w:t>
      </w:r>
    </w:p>
    <w:p w14:paraId="56B9BCD7">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6.2.5 其他资料：甲方根据验收需要合理要求补充的其他材料。</w:t>
      </w:r>
    </w:p>
    <w:p w14:paraId="21483A3D">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6.3 验收时限自本合同服务期结束后，由乙方提交符合甲方所需的验收的材料后15个工作日内，甲方开始验收工作。</w:t>
      </w:r>
    </w:p>
    <w:bookmarkEnd w:id="26"/>
    <w:p w14:paraId="4A25BB0C">
      <w:pPr>
        <w:pStyle w:val="2"/>
        <w:keepNext w:val="0"/>
        <w:keepLines w:val="0"/>
        <w:widowControl/>
        <w:spacing w:line="500" w:lineRule="exact"/>
        <w:rPr>
          <w:color w:val="000000" w:themeColor="text1"/>
          <w:sz w:val="24"/>
          <w:highlight w:val="none"/>
          <w14:textFill>
            <w14:solidFill>
              <w14:schemeClr w14:val="tx1"/>
            </w14:solidFill>
          </w14:textFill>
        </w:rPr>
      </w:pPr>
      <w:bookmarkStart w:id="28" w:name="_Toc402257854"/>
      <w:r>
        <w:rPr>
          <w:rFonts w:hint="eastAsia"/>
          <w:color w:val="000000" w:themeColor="text1"/>
          <w:sz w:val="24"/>
          <w:highlight w:val="none"/>
          <w14:textFill>
            <w14:solidFill>
              <w14:schemeClr w14:val="tx1"/>
            </w14:solidFill>
          </w14:textFill>
        </w:rPr>
        <w:t>第七条　项目质保期与维修</w:t>
      </w:r>
      <w:bookmarkEnd w:id="28"/>
    </w:p>
    <w:p w14:paraId="7F25A0D1">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7.1 乙方对于协议系统向甲方提供的质保期为【    】个月，自签署初验合格证书第2日起算。质保期内，乙方对协议系统运行过程中出现的故障指派专业技术人员在甲方要求的</w:t>
      </w:r>
      <w:r>
        <w:rPr>
          <w:rFonts w:hint="eastAsia"/>
          <w:color w:val="000000" w:themeColor="text1"/>
          <w:sz w:val="24"/>
          <w:highlight w:val="none"/>
          <w:lang w:eastAsia="zh-Hans"/>
          <w14:textFill>
            <w14:solidFill>
              <w14:schemeClr w14:val="tx1"/>
            </w14:solidFill>
          </w14:textFill>
        </w:rPr>
        <w:t>合理</w:t>
      </w:r>
      <w:r>
        <w:rPr>
          <w:rFonts w:hint="eastAsia"/>
          <w:color w:val="000000" w:themeColor="text1"/>
          <w:sz w:val="24"/>
          <w:highlight w:val="none"/>
          <w14:textFill>
            <w14:solidFill>
              <w14:schemeClr w14:val="tx1"/>
            </w14:solidFill>
          </w14:textFill>
        </w:rPr>
        <w:t>时限内进行排除，质保期满后，乙方承诺对甲方发生故障的协议系统提供支持服务，以保证协议系统正常运行，相关费用由双方协商解决。</w:t>
      </w:r>
    </w:p>
    <w:p w14:paraId="260C40BE">
      <w:pPr>
        <w:pStyle w:val="2"/>
        <w:keepNext w:val="0"/>
        <w:keepLines w:val="0"/>
        <w:widowControl/>
        <w:spacing w:line="500" w:lineRule="exact"/>
        <w:rPr>
          <w:color w:val="000000" w:themeColor="text1"/>
          <w:sz w:val="24"/>
          <w:highlight w:val="none"/>
          <w14:textFill>
            <w14:solidFill>
              <w14:schemeClr w14:val="tx1"/>
            </w14:solidFill>
          </w14:textFill>
        </w:rPr>
      </w:pPr>
      <w:bookmarkStart w:id="29" w:name="_Toc394068352"/>
      <w:bookmarkStart w:id="30" w:name="_Toc402257855"/>
      <w:bookmarkStart w:id="31" w:name="_Toc48999882"/>
      <w:bookmarkStart w:id="32" w:name="_Toc48999694"/>
      <w:r>
        <w:rPr>
          <w:rFonts w:hint="eastAsia"/>
          <w:color w:val="000000" w:themeColor="text1"/>
          <w:sz w:val="24"/>
          <w:highlight w:val="none"/>
          <w14:textFill>
            <w14:solidFill>
              <w14:schemeClr w14:val="tx1"/>
            </w14:solidFill>
          </w14:textFill>
        </w:rPr>
        <w:t>第八条 知识产权</w:t>
      </w:r>
      <w:bookmarkEnd w:id="29"/>
      <w:bookmarkEnd w:id="30"/>
      <w:bookmarkEnd w:id="31"/>
      <w:bookmarkEnd w:id="32"/>
    </w:p>
    <w:p w14:paraId="25765FE8">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8.1 乙方应保证其提供的服务及服务成果的全部及部分，均不存在侵犯第三方知识产权的情形，其服务成果的所有权由甲方享有。否则，乙方应向甲方承担违约责任及赔偿由此给甲方造成的名誉及经济损失。</w:t>
      </w:r>
    </w:p>
    <w:p w14:paraId="65A875C0">
      <w:pPr>
        <w:pStyle w:val="18"/>
        <w:widowControl/>
        <w:tabs>
          <w:tab w:val="left" w:pos="567"/>
          <w:tab w:val="left" w:pos="1985"/>
        </w:tabs>
        <w:autoSpaceDE w:val="0"/>
        <w:autoSpaceDN w:val="0"/>
        <w:spacing w:line="500" w:lineRule="exact"/>
        <w:ind w:firstLine="0" w:firstLineChars="0"/>
        <w:textAlignment w:val="bottom"/>
        <w:rPr>
          <w:color w:val="000000" w:themeColor="text1"/>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8.2 对在本合同项下由乙方按甲方提供的业务规范、标准和要求开发的定制化软件，其相关全部知识产权归甲方所有。</w:t>
      </w:r>
    </w:p>
    <w:p w14:paraId="1AD39D89">
      <w:pPr>
        <w:pStyle w:val="2"/>
        <w:keepNext w:val="0"/>
        <w:keepLines w:val="0"/>
        <w:widowControl/>
        <w:spacing w:line="500" w:lineRule="exact"/>
        <w:ind w:left="540" w:hanging="540" w:hangingChars="224"/>
        <w:rPr>
          <w:color w:val="000000" w:themeColor="text1"/>
          <w:sz w:val="24"/>
          <w:highlight w:val="none"/>
          <w14:textFill>
            <w14:solidFill>
              <w14:schemeClr w14:val="tx1"/>
            </w14:solidFill>
          </w14:textFill>
        </w:rPr>
      </w:pPr>
      <w:bookmarkStart w:id="33" w:name="_Toc402257857"/>
      <w:bookmarkStart w:id="34" w:name="_Toc375151470"/>
      <w:bookmarkStart w:id="35" w:name="_Toc375151331"/>
      <w:bookmarkStart w:id="36" w:name="_Toc378344464"/>
      <w:r>
        <w:rPr>
          <w:rFonts w:hint="eastAsia"/>
          <w:color w:val="000000" w:themeColor="text1"/>
          <w:sz w:val="24"/>
          <w:highlight w:val="none"/>
          <w14:textFill>
            <w14:solidFill>
              <w14:schemeClr w14:val="tx1"/>
            </w14:solidFill>
          </w14:textFill>
        </w:rPr>
        <w:t>第九条 承诺与保证</w:t>
      </w:r>
      <w:bookmarkEnd w:id="33"/>
      <w:bookmarkEnd w:id="34"/>
      <w:bookmarkEnd w:id="35"/>
      <w:bookmarkEnd w:id="36"/>
    </w:p>
    <w:p w14:paraId="0CD8B131">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9.1 协议一方向另一方保证：作为一家依法成立并合法注册及有效存续的独立法人，具有签署本协议的合法主体资格，且在签署本协议时无任何法律障碍和重大事件影响其继续正常存续和履行本协议的能力。指定的授权代表具有完全民事行为能力且已获得签署本协议所必须的书面授权，对授权代表签署本协议的任何行为将予以认可。</w:t>
      </w:r>
    </w:p>
    <w:p w14:paraId="14A6604D">
      <w:pPr>
        <w:pStyle w:val="2"/>
        <w:keepNext w:val="0"/>
        <w:keepLines w:val="0"/>
        <w:widowControl/>
        <w:spacing w:line="500" w:lineRule="atLeast"/>
        <w:ind w:left="540" w:hanging="540" w:hangingChars="224"/>
        <w:rPr>
          <w:color w:val="000000" w:themeColor="text1"/>
          <w:kern w:val="2"/>
          <w:sz w:val="24"/>
          <w:szCs w:val="24"/>
          <w:highlight w:val="none"/>
          <w14:textFill>
            <w14:solidFill>
              <w14:schemeClr w14:val="tx1"/>
            </w14:solidFill>
          </w14:textFill>
        </w:rPr>
      </w:pPr>
      <w:bookmarkStart w:id="37" w:name="_Toc375151333"/>
      <w:bookmarkStart w:id="38" w:name="_Toc402257858"/>
      <w:bookmarkStart w:id="39" w:name="_Toc130199003"/>
      <w:bookmarkStart w:id="40" w:name="_Toc68613777"/>
      <w:bookmarkStart w:id="41" w:name="_Toc375151472"/>
      <w:bookmarkStart w:id="42" w:name="_Toc378344466"/>
      <w:r>
        <w:rPr>
          <w:rFonts w:hint="eastAsia"/>
          <w:color w:val="000000" w:themeColor="text1"/>
          <w:kern w:val="2"/>
          <w:sz w:val="24"/>
          <w:szCs w:val="24"/>
          <w:highlight w:val="none"/>
          <w14:textFill>
            <w14:solidFill>
              <w14:schemeClr w14:val="tx1"/>
            </w14:solidFill>
          </w14:textFill>
        </w:rPr>
        <w:t>第十条 违约责任</w:t>
      </w:r>
      <w:bookmarkEnd w:id="37"/>
      <w:bookmarkEnd w:id="38"/>
      <w:bookmarkEnd w:id="39"/>
      <w:bookmarkEnd w:id="40"/>
      <w:bookmarkEnd w:id="41"/>
      <w:bookmarkEnd w:id="42"/>
    </w:p>
    <w:p w14:paraId="08A0C57C">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10.1 任何一方不履行本协议约定的义务或履行义务不符合本协议约定的，均构成违约，应承担违约责任。违约金不足以赔偿乙方损失的，乙方有权要求甲方赔偿由此造成的经济损失。</w:t>
      </w:r>
    </w:p>
    <w:p w14:paraId="6B4213CE">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10.2 甲方无正当理由未按本协议约定支付相应款项的，每逾期【 】日，应按逾期应付金额的【  】%向乙方支付违约金。</w:t>
      </w:r>
    </w:p>
    <w:p w14:paraId="114DA6CE">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10.3 甲方代表不能及时给出必要的指令、确认、批准，不按合同约定履行自己的各项义务、支付款项及发生其它使合同无法履行的行为，则本协议履行相应顺延，双方应按顺延后的日期履行本协议。</w:t>
      </w:r>
    </w:p>
    <w:p w14:paraId="040106EA">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10.4乙方未落实国家和北京市相关法律法规，做好网络和数据安全防护工作，以及未落实甲方要求，在规定时限内，完成信息系统整改、漏洞修复和安全加固工作的，乙方应当向甲方支付合同总额10%的违约金，违约金不足以弥补甲方损失的，乙方应承担赔偿责任。</w:t>
      </w:r>
    </w:p>
    <w:p w14:paraId="002EE7E1">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10.5 一方违反保密约定，除应立即采取措施停止泄密行为，减小泄密造成的损失外，还应向另一方支付协议总价【  】%的违约金。</w:t>
      </w:r>
    </w:p>
    <w:p w14:paraId="2856B0F8">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10.6 协议任何一方因承诺不实或保证无法实现，造成本协议无效、被撤销或给对方/第三方/社会公共利益造成损失的，该方应就此向对方承担责任，赔偿因此造成的损失。</w:t>
      </w:r>
    </w:p>
    <w:p w14:paraId="236C46E7">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10.7 本合同中所称的损失为直接损失，任何一方因其对本协议的履行或不履行而引起的各种损失、违约金、损害或索赔的赔偿总额在任何情况下不超过本合同总价。</w:t>
      </w:r>
    </w:p>
    <w:p w14:paraId="07C737D7">
      <w:pPr>
        <w:pStyle w:val="2"/>
        <w:keepNext w:val="0"/>
        <w:keepLines w:val="0"/>
        <w:widowControl/>
        <w:spacing w:line="500" w:lineRule="exact"/>
        <w:ind w:left="540" w:hanging="540" w:hangingChars="224"/>
        <w:rPr>
          <w:b w:val="0"/>
          <w:bCs w:val="0"/>
          <w:color w:val="000000" w:themeColor="text1"/>
          <w:kern w:val="2"/>
          <w:sz w:val="24"/>
          <w:szCs w:val="24"/>
          <w:highlight w:val="none"/>
          <w14:textFill>
            <w14:solidFill>
              <w14:schemeClr w14:val="tx1"/>
            </w14:solidFill>
          </w14:textFill>
        </w:rPr>
      </w:pPr>
      <w:bookmarkStart w:id="43" w:name="_Toc375151334"/>
      <w:bookmarkStart w:id="44" w:name="_Toc375151473"/>
      <w:bookmarkStart w:id="45" w:name="_Toc68613778"/>
      <w:bookmarkStart w:id="46" w:name="_Toc130199004"/>
      <w:bookmarkStart w:id="47" w:name="_Toc402257859"/>
      <w:bookmarkStart w:id="48" w:name="_Toc378344467"/>
      <w:r>
        <w:rPr>
          <w:rFonts w:hint="eastAsia"/>
          <w:color w:val="000000" w:themeColor="text1"/>
          <w:sz w:val="24"/>
          <w:highlight w:val="none"/>
          <w14:textFill>
            <w14:solidFill>
              <w14:schemeClr w14:val="tx1"/>
            </w14:solidFill>
          </w14:textFill>
        </w:rPr>
        <w:t>第十一</w:t>
      </w:r>
      <w:r>
        <w:rPr>
          <w:rFonts w:hint="eastAsia"/>
          <w:color w:val="000000" w:themeColor="text1"/>
          <w:kern w:val="2"/>
          <w:sz w:val="24"/>
          <w:szCs w:val="24"/>
          <w:highlight w:val="none"/>
          <w14:textFill>
            <w14:solidFill>
              <w14:schemeClr w14:val="tx1"/>
            </w14:solidFill>
          </w14:textFill>
        </w:rPr>
        <w:t>条 不可抗力</w:t>
      </w:r>
      <w:bookmarkEnd w:id="43"/>
      <w:bookmarkEnd w:id="44"/>
      <w:bookmarkEnd w:id="45"/>
      <w:bookmarkEnd w:id="46"/>
      <w:bookmarkEnd w:id="47"/>
      <w:bookmarkEnd w:id="48"/>
    </w:p>
    <w:p w14:paraId="4B1B7F41">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11.1 本协议所指不可抗力，是指甲乙双方在缔结合同时所不能预见的，且它的发生及其后果是无法避免和无法克服的事件，如战争、骚乱、瘟疫、严重火灾、洪水、台风、地震、政府重大政策调整等。</w:t>
      </w:r>
    </w:p>
    <w:p w14:paraId="24D4C8C2">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11.2 由于不可抗力事件，致使一方不能按约定的条款全部或部分履行其义务的，不视为违反本合同。不可抗力事件终止或被排除后，应继续履行本合同。发生不可抗力事件时，履行合同的期限应予以延长，延长的期限应相当于事件所影响的时间。</w:t>
      </w:r>
    </w:p>
    <w:p w14:paraId="7B7A67A9">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11.3 因不可抗力致使一方不能及时或完全履行合同的，应及时通知另一方，双方互不承担责任，并在【15】 天内提供有关不可抗力的相关证明。合同未履行部分是否继续履行、如何履行等问题，由双方协商解决。</w:t>
      </w:r>
    </w:p>
    <w:p w14:paraId="3D80D16E">
      <w:pPr>
        <w:pStyle w:val="2"/>
        <w:spacing w:line="500" w:lineRule="exact"/>
        <w:rPr>
          <w:color w:val="000000" w:themeColor="text1"/>
          <w:sz w:val="24"/>
          <w:highlight w:val="none"/>
          <w14:textFill>
            <w14:solidFill>
              <w14:schemeClr w14:val="tx1"/>
            </w14:solidFill>
          </w14:textFill>
        </w:rPr>
      </w:pPr>
      <w:bookmarkStart w:id="49" w:name="_Toc49001500"/>
      <w:bookmarkStart w:id="50" w:name="_Toc375151335"/>
      <w:bookmarkStart w:id="51" w:name="_Toc49080816"/>
      <w:bookmarkStart w:id="52" w:name="_Toc130199005"/>
      <w:bookmarkStart w:id="53" w:name="_Toc375151474"/>
      <w:bookmarkStart w:id="54" w:name="_Toc378344468"/>
      <w:bookmarkStart w:id="55" w:name="_Toc402257860"/>
      <w:bookmarkStart w:id="56" w:name="_Toc68613779"/>
      <w:r>
        <w:rPr>
          <w:rFonts w:hint="eastAsia"/>
          <w:color w:val="000000" w:themeColor="text1"/>
          <w:sz w:val="24"/>
          <w:highlight w:val="none"/>
          <w14:textFill>
            <w14:solidFill>
              <w14:schemeClr w14:val="tx1"/>
            </w14:solidFill>
          </w14:textFill>
        </w:rPr>
        <w:t>第十二条</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通知与送达</w:t>
      </w:r>
      <w:bookmarkEnd w:id="49"/>
      <w:bookmarkEnd w:id="50"/>
      <w:bookmarkEnd w:id="51"/>
      <w:bookmarkEnd w:id="52"/>
      <w:bookmarkEnd w:id="53"/>
      <w:bookmarkEnd w:id="54"/>
      <w:bookmarkEnd w:id="55"/>
      <w:bookmarkEnd w:id="56"/>
    </w:p>
    <w:p w14:paraId="226A9FAF">
      <w:pPr>
        <w:pStyle w:val="18"/>
        <w:tabs>
          <w:tab w:val="left" w:pos="1276"/>
        </w:tabs>
        <w:spacing w:line="500" w:lineRule="exact"/>
        <w:ind w:left="420" w:right="8" w:firstLine="0" w:firstLineChars="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12.1  与协议有关的通知、批准、证明、证书、指示、指令、要求、请求、同意、意见、确定和决定等，均应采用书面形式送达接收人。以特快专递形式发出的，发往本市内的，发出后第3个工作日视为送达。发往国内其他地区的，发出后第7个工作日视为送达，有证据证明实际送达日期或不可抗力影响除外。以电子邮件、微信等形式发出的，以发出时间为送达时间。双方地址与联系方式如下：</w:t>
      </w:r>
    </w:p>
    <w:p w14:paraId="7EED26E3">
      <w:pPr>
        <w:spacing w:line="500" w:lineRule="exact"/>
        <w:ind w:firstLine="720" w:firstLineChars="3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如致甲方：</w:t>
      </w:r>
    </w:p>
    <w:p w14:paraId="3A8E9A0C">
      <w:pPr>
        <w:spacing w:line="500" w:lineRule="exact"/>
        <w:ind w:firstLine="720" w:firstLineChars="3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】公司</w:t>
      </w:r>
    </w:p>
    <w:p w14:paraId="5C2B41F4">
      <w:pPr>
        <w:spacing w:line="500" w:lineRule="exact"/>
        <w:ind w:firstLine="720" w:firstLineChars="3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联系人：【     】</w:t>
      </w:r>
    </w:p>
    <w:p w14:paraId="2324C5C7">
      <w:pPr>
        <w:spacing w:line="500" w:lineRule="exact"/>
        <w:ind w:firstLine="720" w:firstLineChars="300"/>
        <w:rPr>
          <w:color w:val="000000" w:themeColor="text1"/>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电话：【     】</w:t>
      </w:r>
    </w:p>
    <w:p w14:paraId="375448C8">
      <w:pPr>
        <w:snapToGrid w:val="0"/>
        <w:spacing w:line="500" w:lineRule="exact"/>
        <w:ind w:firstLine="720" w:firstLineChars="300"/>
        <w:rPr>
          <w:color w:val="000000" w:themeColor="text1"/>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电子邮箱：【     】</w:t>
      </w:r>
    </w:p>
    <w:p w14:paraId="77E45E33">
      <w:pPr>
        <w:spacing w:line="500" w:lineRule="exact"/>
        <w:ind w:firstLine="720" w:firstLineChars="3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如致乙方：</w:t>
      </w:r>
    </w:p>
    <w:p w14:paraId="042E987F">
      <w:pPr>
        <w:spacing w:line="500" w:lineRule="exact"/>
        <w:ind w:firstLine="720" w:firstLineChars="3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】公司</w:t>
      </w:r>
    </w:p>
    <w:p w14:paraId="42632F4F">
      <w:pPr>
        <w:spacing w:line="500" w:lineRule="exact"/>
        <w:ind w:firstLine="720" w:firstLineChars="300"/>
        <w:rPr>
          <w:color w:val="000000" w:themeColor="text1"/>
          <w:sz w:val="24"/>
          <w:highlight w:val="none"/>
          <w:u w:val="single"/>
          <w14:textFill>
            <w14:solidFill>
              <w14:schemeClr w14:val="tx1"/>
            </w14:solidFill>
          </w14:textFill>
        </w:rPr>
      </w:pPr>
      <w:bookmarkStart w:id="57" w:name="_Toc375151475"/>
      <w:bookmarkStart w:id="58" w:name="_Toc375151336"/>
      <w:bookmarkStart w:id="59" w:name="_Toc402257861"/>
      <w:bookmarkStart w:id="60" w:name="_Toc49080817"/>
      <w:bookmarkStart w:id="61" w:name="_Toc68613780"/>
      <w:bookmarkStart w:id="62" w:name="_Toc49001501"/>
      <w:bookmarkStart w:id="63" w:name="_Toc130199006"/>
      <w:bookmarkStart w:id="64" w:name="_Toc378344469"/>
      <w:r>
        <w:rPr>
          <w:rFonts w:hint="eastAsia"/>
          <w:color w:val="000000" w:themeColor="text1"/>
          <w:sz w:val="24"/>
          <w:highlight w:val="none"/>
          <w14:textFill>
            <w14:solidFill>
              <w14:schemeClr w14:val="tx1"/>
            </w14:solidFill>
          </w14:textFill>
        </w:rPr>
        <w:t>联系人：【     】</w:t>
      </w:r>
    </w:p>
    <w:p w14:paraId="6248B1FB">
      <w:pPr>
        <w:spacing w:line="500" w:lineRule="exact"/>
        <w:ind w:firstLine="720" w:firstLineChars="3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电话：【     】</w:t>
      </w:r>
    </w:p>
    <w:p w14:paraId="401F72B0">
      <w:pPr>
        <w:snapToGrid w:val="0"/>
        <w:spacing w:line="500" w:lineRule="exact"/>
        <w:ind w:firstLine="720" w:firstLineChars="3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电子邮箱：【     】</w:t>
      </w:r>
    </w:p>
    <w:p w14:paraId="446537E1">
      <w:pPr>
        <w:pStyle w:val="3"/>
        <w:ind w:firstLine="480" w:firstLineChars="200"/>
        <w:rPr>
          <w:rFonts w:hint="eastAsia" w:ascii="Times New Roman" w:hAnsi="Times New Roman" w:eastAsia="仿宋_GB2312"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24"/>
          <w:szCs w:val="24"/>
          <w:highlight w:val="none"/>
          <w:lang w:val="en-US" w:eastAsia="zh-CN" w:bidi="ar-SA"/>
          <w14:textFill>
            <w14:solidFill>
              <w14:schemeClr w14:val="tx1"/>
            </w14:solidFill>
          </w14:textFill>
        </w:rPr>
        <w:t>如双方中任何一方的地址有变更时，须在变更前10日以书面形式通知对方。因迟延通知而造成的损失，由过错方承担责任。</w:t>
      </w:r>
    </w:p>
    <w:p w14:paraId="4D5B7550">
      <w:pPr>
        <w:pStyle w:val="2"/>
        <w:spacing w:line="500" w:lineRule="exact"/>
        <w:ind w:left="723" w:hanging="723" w:hangingChars="3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第十三条 保密条款</w:t>
      </w:r>
    </w:p>
    <w:p w14:paraId="3A633BAF">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13.1 乙方获取甲方业务及工作秘密的仅可将该秘密用于履行其在本合同项下的义务，且只能由相关的技术人员使用。获取对方业务及工作秘密的一方应当采取适当有效的方式保护所获取的业务及工作秘密，不得未经授权使用、传播或公开业务及工作秘密。除非有对方的书面许可或已在社会上公开。</w:t>
      </w:r>
    </w:p>
    <w:p w14:paraId="17D9DDCC">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13.2未经甲方书面允许，乙方不得复制、向他人透露或者使用涉及本合同的资料或数据。</w:t>
      </w:r>
    </w:p>
    <w:p w14:paraId="06459B33">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13.3 乙方有义务遵守和配合执行甲方的保密管理规定与保密措施，并在项目实施完成后，归还甲方提供的非公开的业务资料。</w:t>
      </w:r>
    </w:p>
    <w:p w14:paraId="3191AAE0">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13.4乙方保证不将甲方资料转让给任何第三方，除非第三方介入项目的设计、安装和运行，并将有关资料仅用于这些目的。</w:t>
      </w:r>
    </w:p>
    <w:p w14:paraId="06445642">
      <w:pPr>
        <w:widowControl/>
        <w:adjustRightInd w:val="0"/>
        <w:snapToGrid w:val="0"/>
        <w:spacing w:line="360" w:lineRule="auto"/>
        <w:ind w:firstLine="480" w:firstLineChars="200"/>
        <w:jc w:val="left"/>
        <w:rPr>
          <w:color w:val="000000" w:themeColor="text1"/>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13.5任何一方违反保密义务，受损失一方有权要求对方赔偿受损部分违约金。</w:t>
      </w:r>
    </w:p>
    <w:p w14:paraId="42454F37">
      <w:pPr>
        <w:pStyle w:val="2"/>
        <w:spacing w:line="500" w:lineRule="exact"/>
        <w:ind w:left="723" w:hanging="723" w:hangingChars="3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第十四条 法律适用和争议解决</w:t>
      </w:r>
      <w:bookmarkEnd w:id="57"/>
      <w:bookmarkEnd w:id="58"/>
      <w:bookmarkEnd w:id="59"/>
      <w:bookmarkEnd w:id="60"/>
      <w:bookmarkEnd w:id="61"/>
      <w:bookmarkEnd w:id="62"/>
      <w:bookmarkEnd w:id="63"/>
      <w:bookmarkEnd w:id="64"/>
    </w:p>
    <w:p w14:paraId="577C905E">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bookmarkStart w:id="65" w:name="_Toc68613781"/>
      <w:bookmarkStart w:id="66" w:name="_Toc49001502"/>
      <w:bookmarkStart w:id="67" w:name="_Toc130199007"/>
      <w:bookmarkStart w:id="68" w:name="_Toc49080818"/>
      <w:r>
        <w:rPr>
          <w:rFonts w:hint="eastAsia"/>
          <w:color w:val="000000" w:themeColor="text1"/>
          <w:sz w:val="24"/>
          <w:highlight w:val="none"/>
          <w14:textFill>
            <w14:solidFill>
              <w14:schemeClr w14:val="tx1"/>
            </w14:solidFill>
          </w14:textFill>
        </w:rPr>
        <w:t>14.1 如果任何争议或权利要求起因于本协议或与本协议有关或与本协议的解释、违约、终止或效力有关，都应由双方通过友好协商解决。协商应在一方向另一方送达关于协商的书面要求后立即开始。</w:t>
      </w:r>
    </w:p>
    <w:p w14:paraId="7F7D5DB5">
      <w:pPr>
        <w:pStyle w:val="18"/>
        <w:widowControl/>
        <w:tabs>
          <w:tab w:val="left" w:pos="567"/>
          <w:tab w:val="left" w:pos="1985"/>
        </w:tabs>
        <w:autoSpaceDE w:val="0"/>
        <w:autoSpaceDN w:val="0"/>
        <w:spacing w:line="500" w:lineRule="exact"/>
        <w:ind w:firstLine="0" w:firstLineChars="0"/>
        <w:textAlignment w:val="bottom"/>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14.2 如果在一方提出协商要求后的【十】日内，双方通过协商不能解决争议，则双方同意按以下第【  】种方式解决：</w:t>
      </w:r>
    </w:p>
    <w:p w14:paraId="12274D71">
      <w:pPr>
        <w:spacing w:line="500" w:lineRule="exact"/>
        <w:ind w:left="1081" w:leftChars="286" w:hanging="480" w:hanging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（1）将该争议提交至【  】仲裁委员会。该会依据其现行有效的仲裁规则</w:t>
      </w:r>
      <w:r>
        <w:rPr>
          <w:rFonts w:hint="eastAsia"/>
          <w:snapToGrid w:val="0"/>
          <w:color w:val="000000" w:themeColor="text1"/>
          <w:sz w:val="24"/>
          <w:highlight w:val="none"/>
          <w14:textFill>
            <w14:solidFill>
              <w14:schemeClr w14:val="tx1"/>
            </w14:solidFill>
          </w14:textFill>
        </w:rPr>
        <w:t>在【  】进</w:t>
      </w:r>
      <w:r>
        <w:rPr>
          <w:rFonts w:hint="eastAsia"/>
          <w:color w:val="000000" w:themeColor="text1"/>
          <w:sz w:val="24"/>
          <w:highlight w:val="none"/>
          <w14:textFill>
            <w14:solidFill>
              <w14:schemeClr w14:val="tx1"/>
            </w14:solidFill>
          </w14:textFill>
        </w:rPr>
        <w:t>行仲裁。本协议项下的任何仲裁裁决是终局的，并对双方具有约束力，并可在任何有管辖权的法院或其他有权机构强制执行。除非仲裁裁决有不同规定，败诉方应支付双方因仲裁所发生的一切法律费用，包括但不限于律师费。</w:t>
      </w:r>
    </w:p>
    <w:p w14:paraId="4E6C2009">
      <w:pPr>
        <w:spacing w:line="500" w:lineRule="exact"/>
        <w:ind w:left="420" w:firstLine="240" w:firstLineChars="1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（2）向【  】人民法院提起诉讼。</w:t>
      </w:r>
    </w:p>
    <w:p w14:paraId="7023C290">
      <w:pPr>
        <w:pStyle w:val="18"/>
        <w:widowControl/>
        <w:tabs>
          <w:tab w:val="left" w:pos="567"/>
          <w:tab w:val="left" w:pos="1985"/>
        </w:tabs>
        <w:autoSpaceDE w:val="0"/>
        <w:autoSpaceDN w:val="0"/>
        <w:spacing w:line="500" w:lineRule="exact"/>
        <w:ind w:firstLine="0" w:firstLineChars="0"/>
        <w:textAlignment w:val="bottom"/>
        <w:rPr>
          <w:snapToGrid w:val="0"/>
          <w:color w:val="000000" w:themeColor="text1"/>
          <w:sz w:val="24"/>
          <w:highlight w:val="none"/>
          <w14:textFill>
            <w14:solidFill>
              <w14:schemeClr w14:val="tx1"/>
            </w14:solidFill>
          </w14:textFill>
        </w:rPr>
      </w:pPr>
      <w:r>
        <w:rPr>
          <w:rFonts w:hint="eastAsia"/>
          <w:snapToGrid w:val="0"/>
          <w:color w:val="000000" w:themeColor="text1"/>
          <w:sz w:val="24"/>
          <w:highlight w:val="none"/>
          <w14:textFill>
            <w14:solidFill>
              <w14:schemeClr w14:val="tx1"/>
            </w14:solidFill>
          </w14:textFill>
        </w:rPr>
        <w:t>14.3 争议解决过程中，除双方有争议的部分外，本协议其他部分仍然有效，双方应继续履行。本协议全部或部分无效的，本条依然有效。</w:t>
      </w:r>
    </w:p>
    <w:p w14:paraId="09A3DAA4">
      <w:pPr>
        <w:pStyle w:val="2"/>
        <w:spacing w:line="500" w:lineRule="exact"/>
        <w:ind w:left="723" w:hanging="723" w:hangingChars="300"/>
        <w:rPr>
          <w:color w:val="000000" w:themeColor="text1"/>
          <w:sz w:val="24"/>
          <w:highlight w:val="none"/>
          <w14:textFill>
            <w14:solidFill>
              <w14:schemeClr w14:val="tx1"/>
            </w14:solidFill>
          </w14:textFill>
        </w:rPr>
      </w:pPr>
      <w:bookmarkStart w:id="69" w:name="_Toc375151476"/>
      <w:bookmarkStart w:id="70" w:name="_Toc402257862"/>
      <w:bookmarkStart w:id="71" w:name="_Toc378344470"/>
      <w:bookmarkStart w:id="72" w:name="_Toc375151337"/>
      <w:r>
        <w:rPr>
          <w:rFonts w:hint="eastAsia"/>
          <w:color w:val="000000" w:themeColor="text1"/>
          <w:sz w:val="24"/>
          <w:highlight w:val="none"/>
          <w14:textFill>
            <w14:solidFill>
              <w14:schemeClr w14:val="tx1"/>
            </w14:solidFill>
          </w14:textFill>
        </w:rPr>
        <w:t>第十五条 协议生效、终止及其他</w:t>
      </w:r>
      <w:bookmarkEnd w:id="65"/>
      <w:bookmarkEnd w:id="66"/>
      <w:bookmarkEnd w:id="67"/>
      <w:bookmarkEnd w:id="68"/>
      <w:bookmarkEnd w:id="69"/>
      <w:bookmarkEnd w:id="70"/>
      <w:bookmarkEnd w:id="71"/>
      <w:bookmarkEnd w:id="72"/>
    </w:p>
    <w:p w14:paraId="5C92387F">
      <w:pPr>
        <w:spacing w:line="360" w:lineRule="auto"/>
        <w:ind w:firstLine="480" w:firstLineChars="200"/>
        <w:jc w:val="left"/>
        <w:rPr>
          <w:snapToGrid w:val="0"/>
          <w:color w:val="000000" w:themeColor="text1"/>
          <w:sz w:val="24"/>
          <w:highlight w:val="none"/>
          <w14:textFill>
            <w14:solidFill>
              <w14:schemeClr w14:val="tx1"/>
            </w14:solidFill>
          </w14:textFill>
        </w:rPr>
      </w:pPr>
      <w:r>
        <w:rPr>
          <w:rFonts w:hint="eastAsia"/>
          <w:snapToGrid w:val="0"/>
          <w:color w:val="000000" w:themeColor="text1"/>
          <w:sz w:val="24"/>
          <w:highlight w:val="none"/>
          <w14:textFill>
            <w14:solidFill>
              <w14:schemeClr w14:val="tx1"/>
            </w14:solidFill>
          </w14:textFill>
        </w:rPr>
        <w:t>15.1 本协议由甲、乙双方法定代表人或授权代理人签章并加盖双方公章或合同专用章后，即行生效，如双方签署日期不一致，自较迟的签署日起生效。合同有效期：【   】</w:t>
      </w:r>
    </w:p>
    <w:p w14:paraId="791CCBC6">
      <w:pPr>
        <w:spacing w:line="360" w:lineRule="auto"/>
        <w:ind w:firstLine="480" w:firstLineChars="200"/>
        <w:jc w:val="left"/>
        <w:rPr>
          <w:snapToGrid w:val="0"/>
          <w:color w:val="000000" w:themeColor="text1"/>
          <w:sz w:val="24"/>
          <w:highlight w:val="none"/>
          <w14:textFill>
            <w14:solidFill>
              <w14:schemeClr w14:val="tx1"/>
            </w14:solidFill>
          </w14:textFill>
        </w:rPr>
      </w:pPr>
      <w:r>
        <w:rPr>
          <w:rFonts w:hint="eastAsia"/>
          <w:snapToGrid w:val="0"/>
          <w:color w:val="000000" w:themeColor="text1"/>
          <w:sz w:val="24"/>
          <w:highlight w:val="none"/>
          <w14:textFill>
            <w14:solidFill>
              <w14:schemeClr w14:val="tx1"/>
            </w14:solidFill>
          </w14:textFill>
        </w:rPr>
        <w:t>15.2 本协议以中文签署，一式【伍】份，甲方持【叁】份，乙方持【贰】份，具有相同法律效力。</w:t>
      </w:r>
    </w:p>
    <w:p w14:paraId="2F5BA4CC">
      <w:pPr>
        <w:pStyle w:val="18"/>
        <w:widowControl/>
        <w:tabs>
          <w:tab w:val="left" w:pos="567"/>
          <w:tab w:val="left" w:pos="1985"/>
        </w:tabs>
        <w:autoSpaceDE w:val="0"/>
        <w:autoSpaceDN w:val="0"/>
        <w:spacing w:line="500" w:lineRule="exact"/>
        <w:ind w:firstLine="480"/>
        <w:textAlignment w:val="bottom"/>
        <w:rPr>
          <w:snapToGrid w:val="0"/>
          <w:color w:val="000000" w:themeColor="text1"/>
          <w:sz w:val="24"/>
          <w:highlight w:val="none"/>
          <w14:textFill>
            <w14:solidFill>
              <w14:schemeClr w14:val="tx1"/>
            </w14:solidFill>
          </w14:textFill>
        </w:rPr>
      </w:pPr>
      <w:r>
        <w:rPr>
          <w:rFonts w:hint="eastAsia"/>
          <w:snapToGrid w:val="0"/>
          <w:color w:val="000000" w:themeColor="text1"/>
          <w:sz w:val="24"/>
          <w:highlight w:val="none"/>
          <w14:textFill>
            <w14:solidFill>
              <w14:schemeClr w14:val="tx1"/>
            </w14:solidFill>
          </w14:textFill>
        </w:rPr>
        <w:t>15.3 本协议未尽事宜，应由双方友好协商解决。如需对本协议及其附件作任何修改或补充，须由双方以书面做出并经双方签署后方为有效。修改或补充文件与本协议有不一致的，以修改或补充文件为准。</w:t>
      </w:r>
    </w:p>
    <w:p w14:paraId="1701E334">
      <w:pPr>
        <w:pStyle w:val="18"/>
        <w:widowControl/>
        <w:tabs>
          <w:tab w:val="left" w:pos="567"/>
          <w:tab w:val="left" w:pos="1985"/>
        </w:tabs>
        <w:autoSpaceDE w:val="0"/>
        <w:autoSpaceDN w:val="0"/>
        <w:spacing w:line="500" w:lineRule="exact"/>
        <w:ind w:firstLine="480"/>
        <w:textAlignment w:val="bottom"/>
        <w:rPr>
          <w:snapToGrid w:val="0"/>
          <w:color w:val="000000" w:themeColor="text1"/>
          <w:sz w:val="24"/>
          <w:highlight w:val="none"/>
          <w14:textFill>
            <w14:solidFill>
              <w14:schemeClr w14:val="tx1"/>
            </w14:solidFill>
          </w14:textFill>
        </w:rPr>
      </w:pPr>
      <w:r>
        <w:rPr>
          <w:rFonts w:hint="eastAsia"/>
          <w:snapToGrid w:val="0"/>
          <w:color w:val="000000" w:themeColor="text1"/>
          <w:sz w:val="24"/>
          <w:highlight w:val="none"/>
          <w14:textFill>
            <w14:solidFill>
              <w14:schemeClr w14:val="tx1"/>
            </w14:solidFill>
          </w14:textFill>
        </w:rPr>
        <w:t>15.4 协议附件。协议附件为本协议的组成部分，与本协议正文具有同等法律效力。若协议附件与协议正文有任何冲突，以协议正文为准。</w:t>
      </w:r>
    </w:p>
    <w:p w14:paraId="540DD1C5">
      <w:pPr>
        <w:pStyle w:val="18"/>
        <w:spacing w:line="500" w:lineRule="exact"/>
        <w:ind w:left="567" w:firstLine="0" w:firstLineChars="0"/>
        <w:rPr>
          <w:color w:val="000000" w:themeColor="text1"/>
          <w:sz w:val="24"/>
          <w:highlight w:val="none"/>
          <w14:textFill>
            <w14:solidFill>
              <w14:schemeClr w14:val="tx1"/>
            </w14:solidFill>
          </w14:textFill>
        </w:rPr>
      </w:pPr>
    </w:p>
    <w:p w14:paraId="702E4C4F">
      <w:pPr>
        <w:pStyle w:val="2"/>
        <w:spacing w:line="500" w:lineRule="exact"/>
        <w:ind w:left="723" w:hanging="723" w:hangingChars="300"/>
        <w:rPr>
          <w:color w:val="000000" w:themeColor="text1"/>
          <w:sz w:val="24"/>
          <w:highlight w:val="none"/>
          <w14:textFill>
            <w14:solidFill>
              <w14:schemeClr w14:val="tx1"/>
            </w14:solidFill>
          </w14:textFill>
        </w:rPr>
      </w:pPr>
      <w:bookmarkStart w:id="73" w:name="_Toc402257863"/>
      <w:bookmarkStart w:id="74" w:name="_Toc378344471"/>
      <w:r>
        <w:rPr>
          <w:rFonts w:hint="eastAsia"/>
          <w:color w:val="000000" w:themeColor="text1"/>
          <w:sz w:val="24"/>
          <w:highlight w:val="none"/>
          <w14:textFill>
            <w14:solidFill>
              <w14:schemeClr w14:val="tx1"/>
            </w14:solidFill>
          </w14:textFill>
        </w:rPr>
        <w:t>第十六条 协议附件</w:t>
      </w:r>
      <w:bookmarkEnd w:id="73"/>
      <w:bookmarkEnd w:id="74"/>
    </w:p>
    <w:p w14:paraId="1BD06C3C">
      <w:pPr>
        <w:spacing w:line="500" w:lineRule="atLeast"/>
        <w:rPr>
          <w:color w:val="000000" w:themeColor="text1"/>
          <w:sz w:val="24"/>
          <w:highlight w:val="none"/>
          <w:lang w:eastAsia="zh"/>
          <w14:textFill>
            <w14:solidFill>
              <w14:schemeClr w14:val="tx1"/>
            </w14:solidFill>
          </w14:textFill>
        </w:rPr>
      </w:pPr>
      <w:r>
        <w:rPr>
          <w:rFonts w:hint="eastAsia"/>
          <w:color w:val="000000" w:themeColor="text1"/>
          <w:sz w:val="24"/>
          <w:highlight w:val="none"/>
          <w14:textFill>
            <w14:solidFill>
              <w14:schemeClr w14:val="tx1"/>
            </w14:solidFill>
          </w14:textFill>
        </w:rPr>
        <w:t>附件一：【安全保密协议】</w:t>
      </w:r>
    </w:p>
    <w:p w14:paraId="0410D27C">
      <w:pPr>
        <w:spacing w:line="500" w:lineRule="atLeas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附件二：【网络安全服务人员保密协议】</w:t>
      </w:r>
    </w:p>
    <w:p w14:paraId="7E25B1E3">
      <w:pPr>
        <w:spacing w:line="500" w:lineRule="atLeas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附件</w:t>
      </w:r>
      <w:r>
        <w:rPr>
          <w:rFonts w:hint="eastAsia"/>
          <w:color w:val="000000" w:themeColor="text1"/>
          <w:sz w:val="24"/>
          <w:highlight w:val="none"/>
          <w:lang w:eastAsia="zh"/>
          <w14:textFill>
            <w14:solidFill>
              <w14:schemeClr w14:val="tx1"/>
            </w14:solidFill>
          </w14:textFill>
        </w:rPr>
        <w:t>三</w:t>
      </w:r>
      <w:r>
        <w:rPr>
          <w:rFonts w:hint="eastAsia"/>
          <w:color w:val="000000" w:themeColor="text1"/>
          <w:sz w:val="24"/>
          <w:highlight w:val="none"/>
          <w14:textFill>
            <w14:solidFill>
              <w14:schemeClr w14:val="tx1"/>
            </w14:solidFill>
          </w14:textFill>
        </w:rPr>
        <w:t>：【北京市应管理局供应商口令安全承诺书】</w:t>
      </w:r>
    </w:p>
    <w:p w14:paraId="0ACE10E8">
      <w:pPr>
        <w:spacing w:line="500" w:lineRule="atLeas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附件四：【XXXXX】</w:t>
      </w:r>
    </w:p>
    <w:p w14:paraId="663B0DDC">
      <w:pPr>
        <w:autoSpaceDE w:val="0"/>
        <w:autoSpaceDN w:val="0"/>
        <w:adjustRightInd w:val="0"/>
        <w:spacing w:line="480" w:lineRule="exact"/>
        <w:jc w:val="left"/>
        <w:rPr>
          <w:b/>
          <w:bCs/>
          <w:color w:val="000000" w:themeColor="text1"/>
          <w:kern w:val="0"/>
          <w:sz w:val="24"/>
          <w:szCs w:val="21"/>
          <w:highlight w:val="none"/>
          <w:lang w:val="zh-CN"/>
          <w14:textFill>
            <w14:solidFill>
              <w14:schemeClr w14:val="tx1"/>
            </w14:solidFill>
          </w14:textFill>
        </w:rPr>
      </w:pPr>
      <w:r>
        <w:rPr>
          <w:rFonts w:hint="eastAsia"/>
          <w:b/>
          <w:bCs/>
          <w:color w:val="000000" w:themeColor="text1"/>
          <w:kern w:val="0"/>
          <w:sz w:val="24"/>
          <w:szCs w:val="21"/>
          <w:highlight w:val="none"/>
          <w14:textFill>
            <w14:solidFill>
              <w14:schemeClr w14:val="tx1"/>
            </w14:solidFill>
          </w14:textFill>
        </w:rPr>
        <w:t xml:space="preserve">    </w:t>
      </w:r>
      <w:r>
        <w:rPr>
          <w:rFonts w:hint="eastAsia"/>
          <w:b/>
          <w:bCs/>
          <w:color w:val="000000" w:themeColor="text1"/>
          <w:kern w:val="0"/>
          <w:sz w:val="24"/>
          <w:szCs w:val="21"/>
          <w:highlight w:val="none"/>
          <w:lang w:val="zh-CN"/>
          <w14:textFill>
            <w14:solidFill>
              <w14:schemeClr w14:val="tx1"/>
            </w14:solidFill>
          </w14:textFill>
        </w:rPr>
        <w:t>(以下无正文)</w:t>
      </w:r>
    </w:p>
    <w:p w14:paraId="7DAE4E61">
      <w:pPr>
        <w:autoSpaceDE w:val="0"/>
        <w:autoSpaceDN w:val="0"/>
        <w:adjustRightInd w:val="0"/>
        <w:spacing w:after="156" w:afterLines="50" w:line="480" w:lineRule="exact"/>
        <w:jc w:val="left"/>
        <w:rPr>
          <w:rFonts w:hint="eastAsia" w:ascii="宋体" w:hAnsi="宋体"/>
          <w:bCs/>
          <w:color w:val="000000" w:themeColor="text1"/>
          <w:kern w:val="0"/>
          <w:sz w:val="24"/>
          <w:szCs w:val="21"/>
          <w:highlight w:val="none"/>
          <w:lang w:val="zh-CN"/>
          <w14:textFill>
            <w14:solidFill>
              <w14:schemeClr w14:val="tx1"/>
            </w14:solidFill>
          </w14:textFill>
        </w:rPr>
      </w:pPr>
      <w:r>
        <w:rPr>
          <w:b/>
          <w:bCs/>
          <w:color w:val="000000" w:themeColor="text1"/>
          <w:kern w:val="0"/>
          <w:sz w:val="24"/>
          <w:szCs w:val="21"/>
          <w:highlight w:val="none"/>
          <w:lang w:val="zh-CN"/>
          <w14:textFill>
            <w14:solidFill>
              <w14:schemeClr w14:val="tx1"/>
            </w14:solidFill>
          </w14:textFill>
        </w:rPr>
        <w:br w:type="page"/>
      </w:r>
      <w:r>
        <w:rPr>
          <w:rFonts w:hint="eastAsia" w:ascii="宋体" w:hAnsi="宋体"/>
          <w:bCs/>
          <w:color w:val="000000" w:themeColor="text1"/>
          <w:kern w:val="0"/>
          <w:sz w:val="24"/>
          <w:szCs w:val="21"/>
          <w:highlight w:val="none"/>
          <w:lang w:val="zh-CN"/>
          <w14:textFill>
            <w14:solidFill>
              <w14:schemeClr w14:val="tx1"/>
            </w14:solidFill>
          </w14:textFill>
        </w:rPr>
        <w:t>【签字页】</w:t>
      </w:r>
    </w:p>
    <w:p w14:paraId="3544118D">
      <w:pPr>
        <w:spacing w:line="500" w:lineRule="exact"/>
        <w:rPr>
          <w:bCs/>
          <w:color w:val="000000" w:themeColor="text1"/>
          <w:kern w:val="0"/>
          <w:sz w:val="24"/>
          <w:szCs w:val="21"/>
          <w:highlight w:val="none"/>
          <w:lang w:val="zh-CN"/>
          <w14:textFill>
            <w14:solidFill>
              <w14:schemeClr w14:val="tx1"/>
            </w14:solidFill>
          </w14:textFill>
        </w:rPr>
      </w:pPr>
      <w:r>
        <w:rPr>
          <w:rFonts w:hint="eastAsia"/>
          <w:bCs/>
          <w:color w:val="000000" w:themeColor="text1"/>
          <w:kern w:val="0"/>
          <w:sz w:val="24"/>
          <w:szCs w:val="21"/>
          <w:highlight w:val="none"/>
          <w:lang w:val="zh-CN"/>
          <w14:textFill>
            <w14:solidFill>
              <w14:schemeClr w14:val="tx1"/>
            </w14:solidFill>
          </w14:textFill>
        </w:rPr>
        <w:t>【协议名称：【XXXX】</w:t>
      </w:r>
      <w:r>
        <w:rPr>
          <w:rFonts w:hint="eastAsia"/>
          <w:bCs/>
          <w:color w:val="000000" w:themeColor="text1"/>
          <w:kern w:val="0"/>
          <w:sz w:val="24"/>
          <w:szCs w:val="21"/>
          <w:highlight w:val="none"/>
          <w14:textFill>
            <w14:solidFill>
              <w14:schemeClr w14:val="tx1"/>
            </w14:solidFill>
          </w14:textFill>
        </w:rPr>
        <w:t>信息化</w:t>
      </w:r>
      <w:r>
        <w:rPr>
          <w:rFonts w:hint="eastAsia"/>
          <w:bCs/>
          <w:color w:val="000000" w:themeColor="text1"/>
          <w:kern w:val="0"/>
          <w:sz w:val="24"/>
          <w:szCs w:val="21"/>
          <w:highlight w:val="none"/>
          <w:lang w:val="zh-CN"/>
          <w14:textFill>
            <w14:solidFill>
              <w14:schemeClr w14:val="tx1"/>
            </w14:solidFill>
          </w14:textFill>
        </w:rPr>
        <w:t>服务协议】</w:t>
      </w:r>
    </w:p>
    <w:p w14:paraId="3FDF4108">
      <w:pPr>
        <w:autoSpaceDE w:val="0"/>
        <w:autoSpaceDN w:val="0"/>
        <w:adjustRightInd w:val="0"/>
        <w:spacing w:line="480" w:lineRule="exact"/>
        <w:jc w:val="left"/>
        <w:rPr>
          <w:b/>
          <w:bCs/>
          <w:color w:val="000000" w:themeColor="text1"/>
          <w:kern w:val="0"/>
          <w:sz w:val="24"/>
          <w:szCs w:val="21"/>
          <w:highlight w:val="none"/>
          <w:lang w:val="zh-CN"/>
          <w14:textFill>
            <w14:solidFill>
              <w14:schemeClr w14:val="tx1"/>
            </w14:solidFill>
          </w14:textFill>
        </w:rPr>
      </w:pPr>
    </w:p>
    <w:p w14:paraId="2A2742A9">
      <w:pPr>
        <w:autoSpaceDE w:val="0"/>
        <w:autoSpaceDN w:val="0"/>
        <w:adjustRightInd w:val="0"/>
        <w:spacing w:line="480" w:lineRule="exact"/>
        <w:jc w:val="left"/>
        <w:rPr>
          <w:b/>
          <w:bCs/>
          <w:color w:val="000000" w:themeColor="text1"/>
          <w:kern w:val="0"/>
          <w:sz w:val="24"/>
          <w:szCs w:val="21"/>
          <w:highlight w:val="none"/>
          <w:lang w:val="zh-CN"/>
          <w14:textFill>
            <w14:solidFill>
              <w14:schemeClr w14:val="tx1"/>
            </w14:solidFill>
          </w14:textFill>
        </w:rPr>
      </w:pPr>
    </w:p>
    <w:p w14:paraId="797D83FD">
      <w:pPr>
        <w:autoSpaceDE w:val="0"/>
        <w:autoSpaceDN w:val="0"/>
        <w:adjustRightInd w:val="0"/>
        <w:spacing w:line="480" w:lineRule="exact"/>
        <w:jc w:val="left"/>
        <w:rPr>
          <w:b/>
          <w:bCs/>
          <w:color w:val="000000" w:themeColor="text1"/>
          <w:kern w:val="0"/>
          <w:sz w:val="24"/>
          <w:szCs w:val="21"/>
          <w:highlight w:val="none"/>
          <w:lang w:val="zh-CN"/>
          <w14:textFill>
            <w14:solidFill>
              <w14:schemeClr w14:val="tx1"/>
            </w14:solidFill>
          </w14:textFill>
        </w:rPr>
      </w:pPr>
    </w:p>
    <w:p w14:paraId="608F04E6">
      <w:pPr>
        <w:autoSpaceDE w:val="0"/>
        <w:autoSpaceDN w:val="0"/>
        <w:adjustRightInd w:val="0"/>
        <w:spacing w:line="480" w:lineRule="exact"/>
        <w:jc w:val="left"/>
        <w:rPr>
          <w:snapToGrid w:val="0"/>
          <w:color w:val="000000" w:themeColor="text1"/>
          <w:spacing w:val="24"/>
          <w:kern w:val="0"/>
          <w:sz w:val="24"/>
          <w:highlight w:val="none"/>
          <w14:textFill>
            <w14:solidFill>
              <w14:schemeClr w14:val="tx1"/>
            </w14:solidFill>
          </w14:textFill>
        </w:rPr>
      </w:pPr>
      <w:r>
        <w:rPr>
          <w:rFonts w:hint="eastAsia"/>
          <w:b/>
          <w:bCs/>
          <w:color w:val="000000" w:themeColor="text1"/>
          <w:kern w:val="0"/>
          <w:sz w:val="24"/>
          <w:szCs w:val="21"/>
          <w:highlight w:val="none"/>
          <w:lang w:val="zh-CN"/>
          <w14:textFill>
            <w14:solidFill>
              <w14:schemeClr w14:val="tx1"/>
            </w14:solidFill>
          </w14:textFill>
        </w:rPr>
        <w:t>甲方：</w:t>
      </w:r>
      <w:r>
        <w:rPr>
          <w:rFonts w:hint="eastAsia"/>
          <w:snapToGrid w:val="0"/>
          <w:color w:val="000000" w:themeColor="text1"/>
          <w:spacing w:val="24"/>
          <w:kern w:val="0"/>
          <w:sz w:val="24"/>
          <w:highlight w:val="none"/>
          <w14:textFill>
            <w14:solidFill>
              <w14:schemeClr w14:val="tx1"/>
            </w14:solidFill>
          </w14:textFill>
        </w:rPr>
        <w:t>【                】</w:t>
      </w:r>
    </w:p>
    <w:p w14:paraId="783622D3">
      <w:pPr>
        <w:autoSpaceDE w:val="0"/>
        <w:autoSpaceDN w:val="0"/>
        <w:adjustRightInd w:val="0"/>
        <w:spacing w:line="480" w:lineRule="exact"/>
        <w:ind w:firstLine="1584" w:firstLineChars="550"/>
        <w:jc w:val="left"/>
        <w:rPr>
          <w:snapToGrid w:val="0"/>
          <w:color w:val="000000" w:themeColor="text1"/>
          <w:spacing w:val="24"/>
          <w:kern w:val="0"/>
          <w:sz w:val="24"/>
          <w:highlight w:val="none"/>
          <w14:textFill>
            <w14:solidFill>
              <w14:schemeClr w14:val="tx1"/>
            </w14:solidFill>
          </w14:textFill>
        </w:rPr>
      </w:pPr>
      <w:r>
        <w:rPr>
          <w:rFonts w:hint="eastAsia"/>
          <w:snapToGrid w:val="0"/>
          <w:color w:val="000000" w:themeColor="text1"/>
          <w:spacing w:val="24"/>
          <w:kern w:val="0"/>
          <w:sz w:val="24"/>
          <w:highlight w:val="none"/>
          <w14:textFill>
            <w14:solidFill>
              <w14:schemeClr w14:val="tx1"/>
            </w14:solidFill>
          </w14:textFill>
        </w:rPr>
        <w:t>（盖章）</w:t>
      </w:r>
    </w:p>
    <w:p w14:paraId="2D886016">
      <w:pPr>
        <w:autoSpaceDE w:val="0"/>
        <w:autoSpaceDN w:val="0"/>
        <w:adjustRightInd w:val="0"/>
        <w:spacing w:line="480" w:lineRule="exact"/>
        <w:jc w:val="left"/>
        <w:rPr>
          <w:snapToGrid w:val="0"/>
          <w:color w:val="000000" w:themeColor="text1"/>
          <w:spacing w:val="24"/>
          <w:kern w:val="0"/>
          <w:sz w:val="24"/>
          <w:highlight w:val="none"/>
          <w14:textFill>
            <w14:solidFill>
              <w14:schemeClr w14:val="tx1"/>
            </w14:solidFill>
          </w14:textFill>
        </w:rPr>
      </w:pPr>
    </w:p>
    <w:p w14:paraId="6C389F96">
      <w:pPr>
        <w:autoSpaceDE w:val="0"/>
        <w:autoSpaceDN w:val="0"/>
        <w:adjustRightInd w:val="0"/>
        <w:spacing w:line="480" w:lineRule="exact"/>
        <w:jc w:val="left"/>
        <w:rPr>
          <w:snapToGrid w:val="0"/>
          <w:color w:val="000000" w:themeColor="text1"/>
          <w:spacing w:val="24"/>
          <w:kern w:val="0"/>
          <w:sz w:val="24"/>
          <w:highlight w:val="none"/>
          <w:u w:val="single"/>
          <w14:textFill>
            <w14:solidFill>
              <w14:schemeClr w14:val="tx1"/>
            </w14:solidFill>
          </w14:textFill>
        </w:rPr>
      </w:pPr>
      <w:r>
        <w:rPr>
          <w:rFonts w:hint="eastAsia"/>
          <w:snapToGrid w:val="0"/>
          <w:color w:val="000000" w:themeColor="text1"/>
          <w:spacing w:val="24"/>
          <w:kern w:val="0"/>
          <w:sz w:val="24"/>
          <w:highlight w:val="none"/>
          <w14:textFill>
            <w14:solidFill>
              <w14:schemeClr w14:val="tx1"/>
            </w14:solidFill>
          </w14:textFill>
        </w:rPr>
        <w:t>法定代表人/授权代表（签字）：</w:t>
      </w:r>
      <w:r>
        <w:rPr>
          <w:rFonts w:hint="eastAsia"/>
          <w:snapToGrid w:val="0"/>
          <w:color w:val="000000" w:themeColor="text1"/>
          <w:spacing w:val="24"/>
          <w:kern w:val="0"/>
          <w:sz w:val="24"/>
          <w:highlight w:val="none"/>
          <w:u w:val="single"/>
          <w14:textFill>
            <w14:solidFill>
              <w14:schemeClr w14:val="tx1"/>
            </w14:solidFill>
          </w14:textFill>
        </w:rPr>
        <w:t xml:space="preserve">               </w:t>
      </w:r>
      <w:r>
        <w:rPr>
          <w:snapToGrid w:val="0"/>
          <w:color w:val="000000" w:themeColor="text1"/>
          <w:spacing w:val="24"/>
          <w:kern w:val="0"/>
          <w:sz w:val="24"/>
          <w:highlight w:val="none"/>
          <w:u w:val="single"/>
          <w14:textFill>
            <w14:solidFill>
              <w14:schemeClr w14:val="tx1"/>
            </w14:solidFill>
          </w14:textFill>
        </w:rPr>
        <w:t xml:space="preserve"> </w:t>
      </w:r>
    </w:p>
    <w:p w14:paraId="4D615EF0">
      <w:pPr>
        <w:autoSpaceDE w:val="0"/>
        <w:autoSpaceDN w:val="0"/>
        <w:adjustRightInd w:val="0"/>
        <w:spacing w:line="480" w:lineRule="exact"/>
        <w:jc w:val="left"/>
        <w:rPr>
          <w:snapToGrid w:val="0"/>
          <w:color w:val="000000" w:themeColor="text1"/>
          <w:spacing w:val="24"/>
          <w:kern w:val="0"/>
          <w:sz w:val="24"/>
          <w:highlight w:val="none"/>
          <w14:textFill>
            <w14:solidFill>
              <w14:schemeClr w14:val="tx1"/>
            </w14:solidFill>
          </w14:textFill>
        </w:rPr>
      </w:pPr>
      <w:r>
        <w:rPr>
          <w:rFonts w:hint="eastAsia"/>
          <w:snapToGrid w:val="0"/>
          <w:color w:val="000000" w:themeColor="text1"/>
          <w:spacing w:val="24"/>
          <w:kern w:val="0"/>
          <w:sz w:val="24"/>
          <w:highlight w:val="none"/>
          <w14:textFill>
            <w14:solidFill>
              <w14:schemeClr w14:val="tx1"/>
            </w14:solidFill>
          </w14:textFill>
        </w:rPr>
        <w:t>日期：【   】年【  】月【  】日</w:t>
      </w:r>
    </w:p>
    <w:p w14:paraId="422C64A1">
      <w:pPr>
        <w:autoSpaceDE w:val="0"/>
        <w:autoSpaceDN w:val="0"/>
        <w:adjustRightInd w:val="0"/>
        <w:spacing w:line="480" w:lineRule="exact"/>
        <w:jc w:val="left"/>
        <w:rPr>
          <w:snapToGrid w:val="0"/>
          <w:color w:val="000000" w:themeColor="text1"/>
          <w:spacing w:val="24"/>
          <w:kern w:val="0"/>
          <w:sz w:val="24"/>
          <w:highlight w:val="none"/>
          <w14:textFill>
            <w14:solidFill>
              <w14:schemeClr w14:val="tx1"/>
            </w14:solidFill>
          </w14:textFill>
        </w:rPr>
      </w:pPr>
    </w:p>
    <w:p w14:paraId="5D594547">
      <w:pPr>
        <w:autoSpaceDE w:val="0"/>
        <w:autoSpaceDN w:val="0"/>
        <w:adjustRightInd w:val="0"/>
        <w:spacing w:line="480" w:lineRule="exact"/>
        <w:jc w:val="left"/>
        <w:rPr>
          <w:snapToGrid w:val="0"/>
          <w:color w:val="000000" w:themeColor="text1"/>
          <w:spacing w:val="24"/>
          <w:kern w:val="0"/>
          <w:sz w:val="24"/>
          <w:highlight w:val="none"/>
          <w14:textFill>
            <w14:solidFill>
              <w14:schemeClr w14:val="tx1"/>
            </w14:solidFill>
          </w14:textFill>
        </w:rPr>
      </w:pPr>
    </w:p>
    <w:p w14:paraId="4680FDF0">
      <w:pPr>
        <w:autoSpaceDE w:val="0"/>
        <w:autoSpaceDN w:val="0"/>
        <w:adjustRightInd w:val="0"/>
        <w:spacing w:line="480" w:lineRule="exact"/>
        <w:jc w:val="left"/>
        <w:rPr>
          <w:snapToGrid w:val="0"/>
          <w:color w:val="000000" w:themeColor="text1"/>
          <w:spacing w:val="24"/>
          <w:kern w:val="0"/>
          <w:sz w:val="24"/>
          <w:highlight w:val="none"/>
          <w14:textFill>
            <w14:solidFill>
              <w14:schemeClr w14:val="tx1"/>
            </w14:solidFill>
          </w14:textFill>
        </w:rPr>
      </w:pPr>
    </w:p>
    <w:p w14:paraId="161F6CDB">
      <w:pPr>
        <w:autoSpaceDE w:val="0"/>
        <w:autoSpaceDN w:val="0"/>
        <w:adjustRightInd w:val="0"/>
        <w:spacing w:line="480" w:lineRule="exact"/>
        <w:jc w:val="left"/>
        <w:rPr>
          <w:snapToGrid w:val="0"/>
          <w:color w:val="000000" w:themeColor="text1"/>
          <w:spacing w:val="24"/>
          <w:kern w:val="0"/>
          <w:sz w:val="24"/>
          <w:highlight w:val="none"/>
          <w14:textFill>
            <w14:solidFill>
              <w14:schemeClr w14:val="tx1"/>
            </w14:solidFill>
          </w14:textFill>
        </w:rPr>
      </w:pPr>
    </w:p>
    <w:p w14:paraId="3D014F05">
      <w:pPr>
        <w:autoSpaceDE w:val="0"/>
        <w:autoSpaceDN w:val="0"/>
        <w:adjustRightInd w:val="0"/>
        <w:spacing w:line="480" w:lineRule="exact"/>
        <w:jc w:val="left"/>
        <w:rPr>
          <w:snapToGrid w:val="0"/>
          <w:color w:val="000000" w:themeColor="text1"/>
          <w:spacing w:val="24"/>
          <w:kern w:val="0"/>
          <w:sz w:val="24"/>
          <w:highlight w:val="none"/>
          <w14:textFill>
            <w14:solidFill>
              <w14:schemeClr w14:val="tx1"/>
            </w14:solidFill>
          </w14:textFill>
        </w:rPr>
      </w:pPr>
      <w:r>
        <w:rPr>
          <w:rFonts w:hint="eastAsia"/>
          <w:b/>
          <w:bCs/>
          <w:color w:val="000000" w:themeColor="text1"/>
          <w:kern w:val="0"/>
          <w:sz w:val="24"/>
          <w:szCs w:val="21"/>
          <w:highlight w:val="none"/>
          <w:lang w:val="zh-CN"/>
          <w14:textFill>
            <w14:solidFill>
              <w14:schemeClr w14:val="tx1"/>
            </w14:solidFill>
          </w14:textFill>
        </w:rPr>
        <w:t>乙方：</w:t>
      </w:r>
      <w:r>
        <w:rPr>
          <w:rFonts w:hint="eastAsia"/>
          <w:snapToGrid w:val="0"/>
          <w:color w:val="000000" w:themeColor="text1"/>
          <w:spacing w:val="24"/>
          <w:kern w:val="0"/>
          <w:sz w:val="24"/>
          <w:highlight w:val="none"/>
          <w14:textFill>
            <w14:solidFill>
              <w14:schemeClr w14:val="tx1"/>
            </w14:solidFill>
          </w14:textFill>
        </w:rPr>
        <w:t>【                】</w:t>
      </w:r>
    </w:p>
    <w:p w14:paraId="52886A7E">
      <w:pPr>
        <w:autoSpaceDE w:val="0"/>
        <w:autoSpaceDN w:val="0"/>
        <w:adjustRightInd w:val="0"/>
        <w:spacing w:line="480" w:lineRule="exact"/>
        <w:ind w:firstLine="1584" w:firstLineChars="550"/>
        <w:jc w:val="left"/>
        <w:rPr>
          <w:snapToGrid w:val="0"/>
          <w:color w:val="000000" w:themeColor="text1"/>
          <w:spacing w:val="24"/>
          <w:kern w:val="0"/>
          <w:sz w:val="24"/>
          <w:highlight w:val="none"/>
          <w14:textFill>
            <w14:solidFill>
              <w14:schemeClr w14:val="tx1"/>
            </w14:solidFill>
          </w14:textFill>
        </w:rPr>
      </w:pPr>
      <w:r>
        <w:rPr>
          <w:rFonts w:hint="eastAsia"/>
          <w:snapToGrid w:val="0"/>
          <w:color w:val="000000" w:themeColor="text1"/>
          <w:spacing w:val="24"/>
          <w:kern w:val="0"/>
          <w:sz w:val="24"/>
          <w:highlight w:val="none"/>
          <w14:textFill>
            <w14:solidFill>
              <w14:schemeClr w14:val="tx1"/>
            </w14:solidFill>
          </w14:textFill>
        </w:rPr>
        <w:t>(盖章）</w:t>
      </w:r>
    </w:p>
    <w:p w14:paraId="32940A45">
      <w:pPr>
        <w:autoSpaceDE w:val="0"/>
        <w:autoSpaceDN w:val="0"/>
        <w:adjustRightInd w:val="0"/>
        <w:spacing w:line="480" w:lineRule="exact"/>
        <w:jc w:val="left"/>
        <w:rPr>
          <w:snapToGrid w:val="0"/>
          <w:color w:val="000000" w:themeColor="text1"/>
          <w:spacing w:val="24"/>
          <w:kern w:val="0"/>
          <w:sz w:val="24"/>
          <w:highlight w:val="none"/>
          <w14:textFill>
            <w14:solidFill>
              <w14:schemeClr w14:val="tx1"/>
            </w14:solidFill>
          </w14:textFill>
        </w:rPr>
      </w:pPr>
      <w:r>
        <w:rPr>
          <w:rFonts w:hint="eastAsia"/>
          <w:snapToGrid w:val="0"/>
          <w:color w:val="000000" w:themeColor="text1"/>
          <w:spacing w:val="24"/>
          <w:kern w:val="0"/>
          <w:sz w:val="24"/>
          <w:highlight w:val="none"/>
          <w14:textFill>
            <w14:solidFill>
              <w14:schemeClr w14:val="tx1"/>
            </w14:solidFill>
          </w14:textFill>
        </w:rPr>
        <w:t xml:space="preserve">   </w:t>
      </w:r>
    </w:p>
    <w:p w14:paraId="526B4F4F">
      <w:pPr>
        <w:autoSpaceDE w:val="0"/>
        <w:autoSpaceDN w:val="0"/>
        <w:adjustRightInd w:val="0"/>
        <w:spacing w:line="480" w:lineRule="exact"/>
        <w:jc w:val="left"/>
        <w:rPr>
          <w:snapToGrid w:val="0"/>
          <w:color w:val="000000" w:themeColor="text1"/>
          <w:spacing w:val="24"/>
          <w:kern w:val="0"/>
          <w:sz w:val="24"/>
          <w:highlight w:val="none"/>
          <w14:textFill>
            <w14:solidFill>
              <w14:schemeClr w14:val="tx1"/>
            </w14:solidFill>
          </w14:textFill>
        </w:rPr>
      </w:pPr>
      <w:r>
        <w:rPr>
          <w:rFonts w:hint="eastAsia"/>
          <w:snapToGrid w:val="0"/>
          <w:color w:val="000000" w:themeColor="text1"/>
          <w:spacing w:val="24"/>
          <w:kern w:val="0"/>
          <w:sz w:val="24"/>
          <w:highlight w:val="none"/>
          <w14:textFill>
            <w14:solidFill>
              <w14:schemeClr w14:val="tx1"/>
            </w14:solidFill>
          </w14:textFill>
        </w:rPr>
        <w:t>法定代表人/授权代表（签字）：</w:t>
      </w:r>
      <w:r>
        <w:rPr>
          <w:rFonts w:hint="eastAsia"/>
          <w:snapToGrid w:val="0"/>
          <w:color w:val="000000" w:themeColor="text1"/>
          <w:spacing w:val="24"/>
          <w:kern w:val="0"/>
          <w:sz w:val="24"/>
          <w:highlight w:val="none"/>
          <w:u w:val="single"/>
          <w14:textFill>
            <w14:solidFill>
              <w14:schemeClr w14:val="tx1"/>
            </w14:solidFill>
          </w14:textFill>
        </w:rPr>
        <w:t xml:space="preserve">               </w:t>
      </w:r>
      <w:r>
        <w:rPr>
          <w:rFonts w:hint="eastAsia"/>
          <w:snapToGrid w:val="0"/>
          <w:color w:val="000000" w:themeColor="text1"/>
          <w:spacing w:val="24"/>
          <w:kern w:val="0"/>
          <w:sz w:val="24"/>
          <w:highlight w:val="none"/>
          <w14:textFill>
            <w14:solidFill>
              <w14:schemeClr w14:val="tx1"/>
            </w14:solidFill>
          </w14:textFill>
        </w:rPr>
        <w:t xml:space="preserve"> </w:t>
      </w:r>
    </w:p>
    <w:p w14:paraId="205B08F0">
      <w:pPr>
        <w:autoSpaceDE w:val="0"/>
        <w:autoSpaceDN w:val="0"/>
        <w:adjustRightInd w:val="0"/>
        <w:spacing w:line="480" w:lineRule="exact"/>
        <w:jc w:val="left"/>
        <w:rPr>
          <w:snapToGrid w:val="0"/>
          <w:color w:val="000000" w:themeColor="text1"/>
          <w:spacing w:val="24"/>
          <w:kern w:val="0"/>
          <w:sz w:val="24"/>
          <w:highlight w:val="none"/>
          <w14:textFill>
            <w14:solidFill>
              <w14:schemeClr w14:val="tx1"/>
            </w14:solidFill>
          </w14:textFill>
        </w:rPr>
      </w:pPr>
      <w:r>
        <w:rPr>
          <w:rFonts w:hint="eastAsia"/>
          <w:snapToGrid w:val="0"/>
          <w:color w:val="000000" w:themeColor="text1"/>
          <w:spacing w:val="24"/>
          <w:kern w:val="0"/>
          <w:sz w:val="24"/>
          <w:highlight w:val="none"/>
          <w14:textFill>
            <w14:solidFill>
              <w14:schemeClr w14:val="tx1"/>
            </w14:solidFill>
          </w14:textFill>
        </w:rPr>
        <w:t>日期：【   】年【  】月【  】日</w:t>
      </w:r>
    </w:p>
    <w:p w14:paraId="4D55C3FF">
      <w:pPr>
        <w:autoSpaceDE w:val="0"/>
        <w:autoSpaceDN w:val="0"/>
        <w:adjustRightInd w:val="0"/>
        <w:spacing w:line="480" w:lineRule="exact"/>
        <w:jc w:val="left"/>
        <w:rPr>
          <w:snapToGrid w:val="0"/>
          <w:color w:val="000000" w:themeColor="text1"/>
          <w:spacing w:val="24"/>
          <w:kern w:val="0"/>
          <w:sz w:val="24"/>
          <w:highlight w:val="none"/>
          <w14:textFill>
            <w14:solidFill>
              <w14:schemeClr w14:val="tx1"/>
            </w14:solidFill>
          </w14:textFill>
        </w:rPr>
      </w:pPr>
    </w:p>
    <w:p w14:paraId="5F8703D6">
      <w:pPr>
        <w:rPr>
          <w:color w:val="000000" w:themeColor="text1"/>
          <w:highlight w:val="none"/>
          <w14:textFill>
            <w14:solidFill>
              <w14:schemeClr w14:val="tx1"/>
            </w14:solidFill>
          </w14:textFill>
        </w:rPr>
      </w:pPr>
    </w:p>
    <w:p w14:paraId="386F590E">
      <w:pPr>
        <w:rPr>
          <w:color w:val="000000" w:themeColor="text1"/>
          <w:highlight w:val="none"/>
          <w14:textFill>
            <w14:solidFill>
              <w14:schemeClr w14:val="tx1"/>
            </w14:solidFill>
          </w14:textFill>
        </w:rPr>
      </w:pPr>
    </w:p>
    <w:p w14:paraId="016FD1A7">
      <w:pPr>
        <w:rPr>
          <w:color w:val="000000" w:themeColor="text1"/>
          <w:highlight w:val="none"/>
          <w14:textFill>
            <w14:solidFill>
              <w14:schemeClr w14:val="tx1"/>
            </w14:solidFill>
          </w14:textFill>
        </w:rPr>
      </w:pPr>
    </w:p>
    <w:p w14:paraId="2473D4CC">
      <w:pPr>
        <w:rPr>
          <w:color w:val="000000" w:themeColor="text1"/>
          <w:highlight w:val="none"/>
          <w14:textFill>
            <w14:solidFill>
              <w14:schemeClr w14:val="tx1"/>
            </w14:solidFill>
          </w14:textFill>
        </w:rPr>
      </w:pPr>
    </w:p>
    <w:p w14:paraId="5280376D">
      <w:pPr>
        <w:rPr>
          <w:color w:val="000000" w:themeColor="text1"/>
          <w:highlight w:val="none"/>
          <w14:textFill>
            <w14:solidFill>
              <w14:schemeClr w14:val="tx1"/>
            </w14:solidFill>
          </w14:textFill>
        </w:rPr>
      </w:pPr>
    </w:p>
    <w:p w14:paraId="29E93F4C">
      <w:pPr>
        <w:rPr>
          <w:color w:val="000000" w:themeColor="text1"/>
          <w:highlight w:val="none"/>
          <w14:textFill>
            <w14:solidFill>
              <w14:schemeClr w14:val="tx1"/>
            </w14:solidFill>
          </w14:textFill>
        </w:rPr>
      </w:pPr>
    </w:p>
    <w:p w14:paraId="7573A62D">
      <w:pPr>
        <w:rPr>
          <w:color w:val="000000" w:themeColor="text1"/>
          <w:highlight w:val="none"/>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3C7DD02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bCs/>
          <w:kern w:val="2"/>
          <w:sz w:val="28"/>
          <w:szCs w:val="28"/>
        </w:rPr>
      </w:pPr>
      <w:r>
        <w:rPr>
          <w:rFonts w:hint="eastAsia" w:ascii="宋体" w:hAnsi="宋体" w:eastAsia="宋体" w:cs="宋体"/>
          <w:b/>
          <w:bCs/>
          <w:kern w:val="2"/>
          <w:sz w:val="28"/>
          <w:szCs w:val="28"/>
          <w:lang w:val="en-US" w:eastAsia="zh-CN" w:bidi="ar"/>
        </w:rPr>
        <w:t>附件</w:t>
      </w:r>
      <w:r>
        <w:rPr>
          <w:rFonts w:hint="eastAsia" w:ascii="宋体" w:hAnsi="宋体" w:eastAsia="宋体" w:cs="Times New Roman"/>
          <w:b/>
          <w:bCs/>
          <w:kern w:val="2"/>
          <w:sz w:val="28"/>
          <w:szCs w:val="28"/>
          <w:lang w:val="en-US" w:eastAsia="zh-CN" w:bidi="ar"/>
        </w:rPr>
        <w:t xml:space="preserve">                 </w:t>
      </w:r>
    </w:p>
    <w:p w14:paraId="0D6B5C6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kern w:val="2"/>
          <w:sz w:val="28"/>
          <w:szCs w:val="28"/>
        </w:rPr>
      </w:pPr>
      <w:r>
        <w:rPr>
          <w:rFonts w:hint="eastAsia" w:ascii="宋体" w:hAnsi="宋体" w:eastAsia="宋体" w:cs="宋体"/>
          <w:b/>
          <w:bCs/>
          <w:kern w:val="2"/>
          <w:sz w:val="28"/>
          <w:szCs w:val="28"/>
          <w:lang w:val="en-US" w:eastAsia="zh-CN" w:bidi="ar"/>
        </w:rPr>
        <w:t>安全保密协议</w:t>
      </w:r>
    </w:p>
    <w:p w14:paraId="68AA368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Times New Roman"/>
          <w:b/>
          <w:bCs/>
          <w:kern w:val="2"/>
          <w:sz w:val="28"/>
          <w:szCs w:val="28"/>
        </w:rPr>
      </w:pPr>
      <w:r>
        <w:rPr>
          <w:rFonts w:hint="eastAsia" w:ascii="宋体" w:hAnsi="宋体" w:eastAsia="宋体" w:cs="Times New Roman"/>
          <w:b/>
          <w:bCs/>
          <w:kern w:val="2"/>
          <w:sz w:val="28"/>
          <w:szCs w:val="28"/>
          <w:lang w:val="en-US" w:eastAsia="zh-CN" w:bidi="ar"/>
        </w:rPr>
        <w:t xml:space="preserve"> </w:t>
      </w:r>
    </w:p>
    <w:p w14:paraId="4ADAB5E5">
      <w:pPr>
        <w:keepNext w:val="0"/>
        <w:keepLines w:val="0"/>
        <w:widowControl w:val="0"/>
        <w:suppressLineNumbers w:val="0"/>
        <w:autoSpaceDE w:val="0"/>
        <w:autoSpaceDN w:val="0"/>
        <w:spacing w:before="0" w:beforeAutospacing="0" w:after="0" w:afterAutospacing="0" w:line="360" w:lineRule="auto"/>
        <w:ind w:left="0" w:right="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甲</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方：</w:t>
      </w:r>
    </w:p>
    <w:p w14:paraId="425A101D">
      <w:pPr>
        <w:keepNext w:val="0"/>
        <w:keepLines w:val="0"/>
        <w:widowControl w:val="0"/>
        <w:suppressLineNumbers w:val="0"/>
        <w:spacing w:before="0" w:beforeAutospacing="0" w:after="0" w:afterAutospacing="0" w:line="360" w:lineRule="auto"/>
        <w:ind w:left="0" w:right="0"/>
        <w:jc w:val="both"/>
        <w:rPr>
          <w:rFonts w:hint="default" w:ascii="Times New Roman" w:hAnsi="宋体" w:eastAsia="宋体" w:cs="Times New Roman"/>
          <w:color w:val="000000"/>
          <w:kern w:val="2"/>
          <w:sz w:val="24"/>
          <w:szCs w:val="24"/>
        </w:rPr>
      </w:pPr>
      <w:r>
        <w:rPr>
          <w:rFonts w:hint="eastAsia" w:ascii="宋体" w:hAnsi="宋体" w:eastAsia="宋体" w:cs="宋体"/>
          <w:kern w:val="2"/>
          <w:sz w:val="24"/>
          <w:szCs w:val="24"/>
          <w:lang w:val="en-US" w:eastAsia="zh-CN" w:bidi="ar"/>
        </w:rPr>
        <w:t>乙</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方：</w:t>
      </w:r>
      <w:r>
        <w:rPr>
          <w:rFonts w:hint="eastAsia" w:ascii="宋体" w:hAnsi="宋体" w:eastAsia="宋体" w:cs="宋体"/>
          <w:color w:val="000000"/>
          <w:kern w:val="2"/>
          <w:sz w:val="24"/>
          <w:szCs w:val="24"/>
          <w:lang w:val="en-US" w:eastAsia="zh-CN" w:bidi="ar"/>
        </w:rPr>
        <w:t xml:space="preserve"> </w:t>
      </w:r>
    </w:p>
    <w:p w14:paraId="22AB8809">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4FCD3A10">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根据《网络安全法》《数据安全法》《个人信息保护法》《网络数据安全管理条例》《互联网政务应用安全管理规定》等相关法律，甲、乙双方于</w:t>
      </w:r>
      <w:r>
        <w:rPr>
          <w:rFonts w:hint="eastAsia" w:ascii="宋体" w:hAnsi="宋体" w:eastAsia="宋体" w:cs="Times New Roman"/>
          <w:kern w:val="2"/>
          <w:sz w:val="24"/>
          <w:szCs w:val="24"/>
          <w:lang w:val="en-US" w:eastAsia="zh-CN" w:bidi="ar"/>
        </w:rPr>
        <w:t>202</w:t>
      </w:r>
      <w:r>
        <w:rPr>
          <w:rFonts w:hint="eastAsia" w:ascii="宋体" w:hAnsi="宋体" w:eastAsia="宋体" w:cs="宋体"/>
          <w:kern w:val="2"/>
          <w:sz w:val="24"/>
          <w:szCs w:val="24"/>
          <w:highlight w:val="yellow"/>
          <w:lang w:val="en-US" w:eastAsia="zh-CN" w:bidi="ar"/>
        </w:rPr>
        <w:t>X</w:t>
      </w:r>
      <w:r>
        <w:rPr>
          <w:rFonts w:hint="eastAsia" w:ascii="宋体" w:hAnsi="宋体" w:eastAsia="宋体" w:cs="宋体"/>
          <w:kern w:val="2"/>
          <w:sz w:val="24"/>
          <w:szCs w:val="24"/>
          <w:lang w:val="en-US" w:eastAsia="zh-CN" w:bidi="ar"/>
        </w:rPr>
        <w:t>年</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日就技术服务过程中已经或将要知悉对方的相关保密信息，为了保护上述合作中涉及的保密信息，明确双方的权利义务，甲、乙双方在平等自愿、协调一致的基础上达成一下协议：</w:t>
      </w:r>
    </w:p>
    <w:p w14:paraId="4A7E53FC">
      <w:pPr>
        <w:pStyle w:val="12"/>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第一条  安全要求</w:t>
      </w:r>
    </w:p>
    <w:p w14:paraId="648ADD66">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一、乙方必须遵守甲方的各项规章制度，严格按照工作规范组织进行信息安全服务工作，制定切实可行的措施保障人员安全，设备安全，生产安全。</w:t>
      </w:r>
    </w:p>
    <w:p w14:paraId="013047F8">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二、乙方必须制定合理的措施，对运维人员进行管理和思想教育，加强保密意识、安全生产意识。</w:t>
      </w:r>
    </w:p>
    <w:p w14:paraId="6E1EB0A0">
      <w:pPr>
        <w:pStyle w:val="12"/>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第二条  保密信息范围</w:t>
      </w:r>
    </w:p>
    <w:p w14:paraId="744AA0A7">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本协议称的“保密信息”是指，双方在订立和履行合同过程中获得的下列信息，但不包括一方通过公众渠道可以获得的信息或经对方书面同意允许向第三方透露的信息：</w:t>
      </w:r>
    </w:p>
    <w:p w14:paraId="2AE3AECE">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一、工作秘密：一切与政府工作相关的信息资料或其他性质的资料，包括但不限于：政府业务数据、人员机构信息、财务资料等。</w:t>
      </w:r>
    </w:p>
    <w:p w14:paraId="5EE9F4F8">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二、技术秘密：指甲方的计算机信息系统、网络架构、信息安全体系结构、软件、数据库系统、文档及技术指标等。</w:t>
      </w:r>
    </w:p>
    <w:p w14:paraId="37792480">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三、其他保密信息：包括但不限于技术服务中获取的有关数据、流程、分析成果；甲方的内部管理资料、财务资料；甲方其他项目的信息及有关政府行政机关规划、调整等尚未公开的资料。</w:t>
      </w:r>
    </w:p>
    <w:p w14:paraId="7A08E71F">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上述保密信息的表现形式不限，无论是书面的、口头的、图形的或其他任何形式的信息。</w:t>
      </w:r>
    </w:p>
    <w:p w14:paraId="22497621">
      <w:pPr>
        <w:pStyle w:val="12"/>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第三条  协议的生效</w:t>
      </w:r>
    </w:p>
    <w:p w14:paraId="0C1BA572">
      <w:pPr>
        <w:keepNext w:val="0"/>
        <w:keepLines w:val="0"/>
        <w:widowControl w:val="0"/>
        <w:suppressLineNumbers w:val="0"/>
        <w:autoSpaceDE w:val="0"/>
        <w:autoSpaceDN w:val="0"/>
        <w:spacing w:before="0" w:beforeAutospacing="0" w:after="0" w:afterAutospacing="0" w:line="440" w:lineRule="exact"/>
        <w:ind w:left="0" w:right="0" w:firstLine="240" w:firstLineChars="1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本协议自双方法定代表人或授权代表签字并加盖单位合同章或者公章之日起生效。</w:t>
      </w:r>
    </w:p>
    <w:p w14:paraId="594D5EB2">
      <w:pPr>
        <w:pStyle w:val="12"/>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第四条  安全保密期限</w:t>
      </w:r>
    </w:p>
    <w:p w14:paraId="546C8936">
      <w:pPr>
        <w:keepNext w:val="0"/>
        <w:keepLines w:val="0"/>
        <w:widowControl w:val="0"/>
        <w:suppressLineNumbers w:val="0"/>
        <w:autoSpaceDE w:val="0"/>
        <w:autoSpaceDN w:val="0"/>
        <w:spacing w:before="0" w:beforeAutospacing="0" w:after="0" w:afterAutospacing="0" w:line="440" w:lineRule="exact"/>
        <w:ind w:left="0" w:right="0" w:firstLine="240" w:firstLineChars="1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本协议约定的保密责任期为</w:t>
      </w:r>
      <w:r>
        <w:rPr>
          <w:rFonts w:hint="eastAsia" w:ascii="宋体" w:hAnsi="宋体" w:eastAsia="宋体" w:cs="宋体"/>
          <w:kern w:val="2"/>
          <w:sz w:val="24"/>
          <w:szCs w:val="24"/>
          <w:u w:val="single"/>
          <w:lang w:val="en-US" w:eastAsia="zh-CN" w:bidi="ar"/>
        </w:rPr>
        <w:t>伍</w:t>
      </w:r>
      <w:r>
        <w:rPr>
          <w:rFonts w:hint="eastAsia" w:ascii="宋体" w:hAnsi="宋体" w:eastAsia="宋体" w:cs="宋体"/>
          <w:kern w:val="2"/>
          <w:sz w:val="24"/>
          <w:szCs w:val="24"/>
          <w:lang w:val="en-US" w:eastAsia="zh-CN" w:bidi="ar"/>
        </w:rPr>
        <w:t>年。</w:t>
      </w:r>
    </w:p>
    <w:p w14:paraId="69DB140D">
      <w:pPr>
        <w:pStyle w:val="12"/>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第五条  保密义务人</w:t>
      </w:r>
    </w:p>
    <w:p w14:paraId="222C7996">
      <w:pPr>
        <w:keepNext w:val="0"/>
        <w:keepLines w:val="0"/>
        <w:widowControl w:val="0"/>
        <w:suppressLineNumbers w:val="0"/>
        <w:autoSpaceDE w:val="0"/>
        <w:autoSpaceDN w:val="0"/>
        <w:spacing w:before="0" w:beforeAutospacing="0" w:after="0" w:afterAutospacing="0" w:line="440" w:lineRule="exact"/>
        <w:ind w:left="0" w:right="0" w:firstLine="240" w:firstLineChars="1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本协议项下保密义务人为乙方单位及乙方负责本项目的技术保障服务的员工。</w:t>
      </w:r>
    </w:p>
    <w:p w14:paraId="37E9E915">
      <w:pPr>
        <w:pStyle w:val="12"/>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第六条  保密义务</w:t>
      </w:r>
    </w:p>
    <w:p w14:paraId="4C50946D">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一、甲、乙双方保证对所获悉的对方保密信息按照下列规定进行保密，并在缺少相关保密条款约定时，应至少采取适用于对自己的保密信息同样的保护措施和审慎程度进行保密：</w:t>
      </w:r>
    </w:p>
    <w:p w14:paraId="0CDA258E">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1．仅将本协议项下保密信息使用于与运维工作有关的用途。</w:t>
      </w:r>
    </w:p>
    <w:p w14:paraId="76CEAC30">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2．除直接参与运维工作的人员之外，不得将保密信息透露给其他无关人员和任何第三方。</w:t>
      </w:r>
    </w:p>
    <w:p w14:paraId="3E432B5A">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3.不能将对方保密信息的全部或部分进行发布、传播、复制或仿造。</w:t>
      </w:r>
    </w:p>
    <w:p w14:paraId="59C7342F">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4．双方均应告知并以适当的方式要求其直接参与运维工作的人员，按照本协议规定保守保密信息。如一方工作人员违反本协议规定，泄露对方保密信息的，该方应承担违约责任。</w:t>
      </w:r>
    </w:p>
    <w:p w14:paraId="68A346A3">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5.任何一方不能利用获悉信息为自己或其他方开发信息、技术和产品、或与对方的产品进行竞争。</w:t>
      </w:r>
    </w:p>
    <w:p w14:paraId="5A805E9A">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二、乙方保密义务</w:t>
      </w:r>
    </w:p>
    <w:p w14:paraId="4FAEBE32">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1.未经对方书面许可并采取加密措施，不得擅自将载有保密信息的任何文档、图纸、资料、</w:t>
      </w:r>
      <w:r>
        <w:rPr>
          <w:rFonts w:hint="eastAsia" w:ascii="宋体" w:hAnsi="宋体" w:eastAsia="宋体" w:cs="宋体"/>
          <w:kern w:val="2"/>
          <w:sz w:val="24"/>
          <w:szCs w:val="24"/>
          <w:lang w:val="en-US" w:eastAsia="zh-CN" w:bidi="ar"/>
        </w:rPr>
        <w:t>U盘、胶片等介质，带离对方工作场所。</w:t>
      </w:r>
    </w:p>
    <w:p w14:paraId="0D7DF06A">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2.对于用户数据和服务结果数据的保管、访问，乙方无关人员不能访问；必须访问的人员，乙方要进行严格的访问控制；管理用户数据的人员应由乙方严格筛选。</w:t>
      </w:r>
    </w:p>
    <w:p w14:paraId="589BF5FC">
      <w:pPr>
        <w:keepNext w:val="0"/>
        <w:keepLines w:val="0"/>
        <w:widowControl w:val="0"/>
        <w:suppressLineNumbers w:val="0"/>
        <w:autoSpaceDE w:val="0"/>
        <w:autoSpaceDN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3.对于甲方提供给乙方使用的任何资源，如网络、NOTES等，乙方都只能将其用于工作，而不能用于其他目的，特别是从事侵害甲方利益的活动。</w:t>
      </w:r>
    </w:p>
    <w:p w14:paraId="3E57465E">
      <w:pPr>
        <w:pStyle w:val="12"/>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第七条  保密信息的交回</w:t>
      </w:r>
    </w:p>
    <w:p w14:paraId="19990B62">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一、</w:t>
      </w:r>
      <w:r>
        <w:rPr>
          <w:rFonts w:hint="eastAsia" w:ascii="宋体" w:hAnsi="宋体" w:eastAsia="宋体" w:cs="Times New Roman"/>
          <w:kern w:val="2"/>
          <w:sz w:val="24"/>
          <w:szCs w:val="24"/>
          <w:lang w:val="en-US" w:eastAsia="zh-CN" w:bidi="ar"/>
        </w:rPr>
        <w:t xml:space="preserve"> </w:t>
      </w:r>
      <w:r>
        <w:rPr>
          <w:rFonts w:hint="eastAsia" w:ascii="宋体" w:hAnsi="宋体" w:eastAsia="宋体" w:cs="Times New Roman"/>
          <w:kern w:val="2"/>
          <w:sz w:val="24"/>
          <w:szCs w:val="24"/>
          <w:highlight w:val="yellow"/>
          <w:lang w:val="en-US" w:eastAsia="zh-CN" w:bidi="ar"/>
        </w:rPr>
        <w:t xml:space="preserve">       </w:t>
      </w:r>
      <w:r>
        <w:rPr>
          <w:rFonts w:hint="eastAsia" w:ascii="宋体" w:hAnsi="宋体" w:eastAsia="宋体" w:cs="宋体"/>
          <w:kern w:val="2"/>
          <w:sz w:val="24"/>
          <w:szCs w:val="24"/>
          <w:highlight w:val="yellow"/>
          <w:lang w:val="en-US" w:eastAsia="zh-CN" w:bidi="ar"/>
        </w:rPr>
        <w:t>项目</w:t>
      </w:r>
      <w:r>
        <w:rPr>
          <w:rFonts w:hint="eastAsia" w:ascii="宋体" w:hAnsi="宋体" w:eastAsia="宋体" w:cs="宋体"/>
          <w:kern w:val="2"/>
          <w:sz w:val="24"/>
          <w:szCs w:val="24"/>
          <w:lang w:val="en-US" w:eastAsia="zh-CN" w:bidi="ar"/>
        </w:rPr>
        <w:t>技术保障服务工作终止后，乙方应按照甲方的要求对相关保密信息做相应处理，比如销毁或其他处理方式。</w:t>
      </w:r>
    </w:p>
    <w:p w14:paraId="1367558D">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二、当甲方以书面形式要求交回保密信息时，乙方接到通知后应当立即交回所有的书面或其他有形的保密信息以及所有的描述和概括保密信息的文件。</w:t>
      </w:r>
    </w:p>
    <w:p w14:paraId="3E8A7C0C">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三、未经甲方书面许可，乙方不得丢弃和自行处理保密信息。</w:t>
      </w:r>
    </w:p>
    <w:p w14:paraId="3C2B519C">
      <w:pPr>
        <w:pStyle w:val="12"/>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第八条  违约责任</w:t>
      </w:r>
    </w:p>
    <w:p w14:paraId="30209E72">
      <w:pPr>
        <w:keepNext w:val="0"/>
        <w:keepLines w:val="0"/>
        <w:widowControl w:val="0"/>
        <w:suppressLineNumbers w:val="0"/>
        <w:autoSpaceDE w:val="0"/>
        <w:autoSpaceDN w:val="0"/>
        <w:spacing w:before="0" w:beforeAutospacing="0" w:after="0" w:afterAutospacing="0" w:line="360" w:lineRule="auto"/>
        <w:ind w:left="0" w:right="0" w:firstLine="645"/>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任何一方未履行本协议项下的任一条款均视为违约，违约方应按照守约方要求采取的有效的补偿措施，以防止泄密范围继续扩大，同时还应向守约方支付合同总金额</w:t>
      </w:r>
      <w:r>
        <w:rPr>
          <w:rFonts w:hint="eastAsia" w:ascii="宋体" w:hAnsi="宋体" w:eastAsia="宋体" w:cs="宋体"/>
          <w:kern w:val="2"/>
          <w:sz w:val="24"/>
          <w:szCs w:val="24"/>
          <w:u w:val="single"/>
          <w:lang w:val="en-US" w:eastAsia="zh-CN" w:bidi="ar"/>
        </w:rPr>
        <w:t>10%</w:t>
      </w:r>
      <w:r>
        <w:rPr>
          <w:rFonts w:hint="eastAsia" w:ascii="宋体" w:hAnsi="宋体" w:eastAsia="宋体" w:cs="宋体"/>
          <w:kern w:val="2"/>
          <w:sz w:val="24"/>
          <w:szCs w:val="24"/>
          <w:lang w:val="en-US" w:eastAsia="zh-CN" w:bidi="ar"/>
        </w:rPr>
        <w:t>的违约金。</w:t>
      </w:r>
    </w:p>
    <w:p w14:paraId="4F38A393">
      <w:pPr>
        <w:pStyle w:val="12"/>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第九条  争议的解决</w:t>
      </w:r>
    </w:p>
    <w:p w14:paraId="35032B81">
      <w:pPr>
        <w:keepNext w:val="0"/>
        <w:keepLines w:val="0"/>
        <w:widowControl w:val="0"/>
        <w:suppressLineNumbers w:val="0"/>
        <w:autoSpaceDE w:val="0"/>
        <w:autoSpaceDN w:val="0"/>
        <w:spacing w:before="0" w:beforeAutospacing="0" w:after="0" w:afterAutospacing="0" w:line="440" w:lineRule="exact"/>
        <w:ind w:left="0" w:right="0" w:firstLine="600" w:firstLineChars="25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因履行本协议而发生的或与本协议有关的一切争议，双方应协商解决，协商不成的，向甲方住所地有管辖权的人民法院提起诉讼。</w:t>
      </w:r>
    </w:p>
    <w:p w14:paraId="12D63705">
      <w:pPr>
        <w:pStyle w:val="12"/>
        <w:keepNext w:val="0"/>
        <w:keepLines w:val="0"/>
        <w:widowControl w:val="0"/>
        <w:suppressLineNumbers w:val="0"/>
        <w:spacing w:before="0" w:beforeAutospacing="1" w:after="60" w:afterAutospacing="0" w:line="440" w:lineRule="exact"/>
        <w:ind w:left="0" w:right="0" w:firstLine="482" w:firstLineChars="20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第十条  其他</w:t>
      </w:r>
    </w:p>
    <w:p w14:paraId="626D805A">
      <w:pPr>
        <w:keepNext w:val="0"/>
        <w:keepLines w:val="0"/>
        <w:widowControl w:val="0"/>
        <w:suppressLineNumbers w:val="0"/>
        <w:spacing w:before="120" w:beforeAutospacing="0" w:after="0" w:afterAutospacing="0" w:line="440" w:lineRule="exact"/>
        <w:ind w:left="0" w:right="0" w:firstLine="480"/>
        <w:jc w:val="both"/>
        <w:rPr>
          <w:rFonts w:hint="eastAsia" w:ascii="宋体" w:hAnsi="宋体" w:eastAsia="宋体" w:cs="Times New Roman"/>
          <w:kern w:val="2"/>
          <w:sz w:val="24"/>
          <w:szCs w:val="24"/>
          <w:u w:val="single"/>
        </w:rPr>
      </w:pPr>
      <w:r>
        <w:rPr>
          <w:rFonts w:hint="eastAsia" w:ascii="宋体" w:hAnsi="宋体" w:eastAsia="宋体" w:cs="宋体"/>
          <w:kern w:val="2"/>
          <w:sz w:val="24"/>
          <w:szCs w:val="24"/>
          <w:lang w:val="en-US" w:eastAsia="zh-CN" w:bidi="ar"/>
        </w:rPr>
        <w:t>本协议未尽事宜，甲、乙双方协商一致后另行签订补充协议。</w:t>
      </w:r>
    </w:p>
    <w:p w14:paraId="33065D8D">
      <w:pPr>
        <w:keepNext w:val="0"/>
        <w:keepLines w:val="0"/>
        <w:widowControl w:val="0"/>
        <w:suppressLineNumbers w:val="0"/>
        <w:spacing w:before="62" w:beforeLines="20" w:beforeAutospacing="0" w:after="0" w:afterAutospacing="0"/>
        <w:ind w:left="0" w:right="0"/>
        <w:jc w:val="both"/>
        <w:rPr>
          <w:rFonts w:hint="eastAsia" w:ascii="楷体_GB2312" w:hAnsi="Times New Roman" w:eastAsia="宋体" w:cs="Times New Roman"/>
          <w:kern w:val="2"/>
          <w:sz w:val="28"/>
          <w:szCs w:val="28"/>
        </w:rPr>
      </w:pPr>
      <w:r>
        <w:rPr>
          <w:rFonts w:hint="eastAsia" w:ascii="楷体_GB2312" w:hAnsi="Times New Roman" w:eastAsia="宋体" w:cs="Times New Roman"/>
          <w:kern w:val="2"/>
          <w:sz w:val="28"/>
          <w:szCs w:val="28"/>
          <w:lang w:val="en-US" w:eastAsia="zh-CN" w:bidi="ar"/>
        </w:rPr>
        <w:t xml:space="preserve"> </w:t>
      </w:r>
    </w:p>
    <w:p w14:paraId="31E5BDF3">
      <w:pPr>
        <w:keepNext w:val="0"/>
        <w:keepLines w:val="0"/>
        <w:widowControl w:val="0"/>
        <w:suppressLineNumbers w:val="0"/>
        <w:spacing w:before="0" w:beforeAutospacing="0" w:after="0" w:afterAutospacing="0" w:line="360" w:lineRule="auto"/>
        <w:ind w:left="0" w:right="0"/>
        <w:jc w:val="both"/>
        <w:rPr>
          <w:rFonts w:hint="default" w:ascii="Times New Roman"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甲方：</w:t>
      </w:r>
      <w:r>
        <w:rPr>
          <w:rFonts w:hint="eastAsia" w:ascii="宋体" w:hAnsi="宋体" w:eastAsia="宋体" w:cs="Times New Roman"/>
          <w:color w:val="000000"/>
          <w:kern w:val="2"/>
          <w:sz w:val="24"/>
          <w:szCs w:val="24"/>
          <w:lang w:val="en-US" w:eastAsia="zh-CN" w:bidi="ar"/>
        </w:rPr>
        <w:t xml:space="preserve">                     </w:t>
      </w:r>
      <w:r>
        <w:rPr>
          <w:rFonts w:hint="eastAsia" w:ascii="宋体" w:hAnsi="宋体" w:eastAsia="宋体" w:cs="Times New Roman"/>
          <w:kern w:val="2"/>
          <w:sz w:val="24"/>
          <w:szCs w:val="24"/>
          <w:lang w:val="en-US" w:eastAsia="zh-CN" w:bidi="ar"/>
        </w:rPr>
        <w:t xml:space="preserve"> </w:t>
      </w:r>
      <w:r>
        <w:rPr>
          <w:rFonts w:hint="default" w:ascii="Times New Roman" w:hAnsi="宋体" w:eastAsia="宋体" w:cs="Times New Roman"/>
          <w:color w:val="000000"/>
          <w:kern w:val="2"/>
          <w:sz w:val="24"/>
          <w:szCs w:val="24"/>
          <w:lang w:val="en-US" w:eastAsia="zh-CN" w:bidi="ar"/>
        </w:rPr>
        <w:t xml:space="preserve">        </w:t>
      </w:r>
      <w:r>
        <w:rPr>
          <w:rFonts w:hint="eastAsia" w:ascii="Times New Roman"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乙方：</w:t>
      </w:r>
      <w:r>
        <w:rPr>
          <w:rFonts w:hint="eastAsia" w:ascii="Times New Roman"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 xml:space="preserve">  </w:t>
      </w:r>
    </w:p>
    <w:p w14:paraId="6F24D907">
      <w:pPr>
        <w:keepNext w:val="0"/>
        <w:keepLines w:val="0"/>
        <w:widowControl w:val="0"/>
        <w:suppressLineNumbers w:val="0"/>
        <w:spacing w:before="62" w:beforeLines="20" w:beforeAutospacing="0" w:after="0" w:afterAutospacing="0" w:line="360" w:lineRule="auto"/>
        <w:ind w:left="0" w:right="0"/>
        <w:jc w:val="both"/>
        <w:rPr>
          <w:rFonts w:hint="default" w:ascii="Times New Roman" w:hAnsi="宋体" w:eastAsia="宋体" w:cs="Times New Roman"/>
          <w:color w:val="000000"/>
          <w:kern w:val="2"/>
          <w:sz w:val="24"/>
          <w:szCs w:val="24"/>
        </w:rPr>
      </w:pPr>
      <w:r>
        <w:rPr>
          <w:rFonts w:hint="eastAsia" w:ascii="Times New Roman" w:hAnsi="宋体" w:eastAsia="宋体" w:cs="Times New Roman"/>
          <w:color w:val="000000"/>
          <w:kern w:val="2"/>
          <w:sz w:val="24"/>
          <w:szCs w:val="24"/>
          <w:lang w:val="en-US" w:eastAsia="zh-CN" w:bidi="ar"/>
        </w:rPr>
        <w:t xml:space="preserve">                 </w:t>
      </w:r>
    </w:p>
    <w:p w14:paraId="6283D2FA">
      <w:pPr>
        <w:keepNext w:val="0"/>
        <w:keepLines w:val="0"/>
        <w:widowControl w:val="0"/>
        <w:suppressLineNumbers w:val="0"/>
        <w:spacing w:before="62" w:beforeLines="20" w:beforeAutospacing="0" w:after="0" w:afterAutospacing="0" w:line="360" w:lineRule="auto"/>
        <w:ind w:left="0" w:right="0"/>
        <w:jc w:val="both"/>
        <w:rPr>
          <w:rFonts w:hint="default" w:ascii="Times New Roman"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法定代表人或授权代表：</w:t>
      </w:r>
      <w:r>
        <w:rPr>
          <w:rFonts w:hint="eastAsia" w:ascii="Times New Roman" w:hAnsi="宋体" w:eastAsia="宋体" w:cs="Times New Roman"/>
          <w:color w:val="000000"/>
          <w:kern w:val="2"/>
          <w:sz w:val="24"/>
          <w:szCs w:val="24"/>
          <w:lang w:val="en-US" w:eastAsia="zh-CN" w:bidi="ar"/>
        </w:rPr>
        <w:t xml:space="preserve">      </w:t>
      </w:r>
      <w:r>
        <w:rPr>
          <w:rFonts w:hint="default" w:ascii="Times New Roman" w:hAnsi="宋体" w:eastAsia="宋体" w:cs="Times New Roman"/>
          <w:color w:val="000000"/>
          <w:kern w:val="2"/>
          <w:sz w:val="24"/>
          <w:szCs w:val="24"/>
          <w:lang w:val="en-US" w:eastAsia="zh-CN" w:bidi="ar"/>
        </w:rPr>
        <w:t xml:space="preserve">       </w:t>
      </w:r>
      <w:r>
        <w:rPr>
          <w:rFonts w:hint="eastAsia" w:ascii="Times New Roman" w:hAnsi="宋体" w:eastAsia="宋体" w:cs="Times New Roman"/>
          <w:color w:val="000000"/>
          <w:kern w:val="2"/>
          <w:sz w:val="24"/>
          <w:szCs w:val="24"/>
          <w:lang w:val="en-US" w:eastAsia="zh-CN" w:bidi="ar"/>
        </w:rPr>
        <w:t xml:space="preserve">  </w:t>
      </w:r>
      <w:r>
        <w:rPr>
          <w:rFonts w:hint="default" w:ascii="Times New Roman"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法定代表人或授权代表：</w:t>
      </w:r>
    </w:p>
    <w:p w14:paraId="1B8A493A">
      <w:pPr>
        <w:keepNext w:val="0"/>
        <w:keepLines w:val="0"/>
        <w:widowControl w:val="0"/>
        <w:suppressLineNumbers w:val="0"/>
        <w:spacing w:before="62" w:beforeLines="20" w:beforeAutospacing="0" w:after="0" w:afterAutospacing="0" w:line="360" w:lineRule="auto"/>
        <w:ind w:left="0" w:right="0"/>
        <w:jc w:val="both"/>
        <w:rPr>
          <w:rFonts w:hint="default" w:ascii="Times New Roman" w:hAnsi="Times New Roman" w:eastAsia="宋体" w:cs="Times New Roman"/>
          <w:kern w:val="2"/>
          <w:sz w:val="28"/>
          <w:szCs w:val="28"/>
        </w:rPr>
      </w:pPr>
      <w:r>
        <w:rPr>
          <w:rFonts w:hint="eastAsia" w:ascii="Times New Roman" w:hAnsi="宋体" w:eastAsia="宋体" w:cs="Times New Roman"/>
          <w:color w:val="000000"/>
          <w:kern w:val="2"/>
          <w:sz w:val="24"/>
          <w:szCs w:val="24"/>
          <w:lang w:val="en-US" w:eastAsia="zh-CN" w:bidi="ar"/>
        </w:rPr>
        <w:t xml:space="preserve"> </w:t>
      </w:r>
      <w:r>
        <w:rPr>
          <w:rFonts w:hint="default" w:ascii="Times New Roman" w:hAnsi="宋体" w:eastAsia="宋体" w:cs="Times New Roman"/>
          <w:color w:val="000000"/>
          <w:kern w:val="2"/>
          <w:sz w:val="24"/>
          <w:szCs w:val="24"/>
          <w:lang w:val="en-US" w:eastAsia="zh-CN" w:bidi="ar"/>
        </w:rPr>
        <w:t xml:space="preserve"> </w:t>
      </w:r>
      <w:r>
        <w:rPr>
          <w:rFonts w:hint="eastAsia" w:ascii="Times New Roman" w:hAnsi="Times New Roman" w:eastAsia="宋体" w:cs="Times New Roman"/>
          <w:kern w:val="2"/>
          <w:sz w:val="28"/>
          <w:szCs w:val="28"/>
          <w:lang w:val="en-US" w:eastAsia="zh-CN" w:bidi="ar"/>
        </w:rPr>
        <w:t xml:space="preserve">             </w:t>
      </w:r>
    </w:p>
    <w:p w14:paraId="712459C9">
      <w:pPr>
        <w:keepNext w:val="0"/>
        <w:keepLines w:val="0"/>
        <w:widowControl w:val="0"/>
        <w:suppressLineNumbers w:val="0"/>
        <w:spacing w:before="62" w:beforeLines="20" w:beforeAutospacing="0" w:after="0" w:afterAutospacing="0" w:line="360" w:lineRule="auto"/>
        <w:ind w:left="0" w:right="0"/>
        <w:jc w:val="both"/>
      </w:pPr>
      <w:r>
        <w:rPr>
          <w:rFonts w:hint="eastAsia" w:ascii="宋体" w:hAnsi="宋体" w:eastAsia="宋体" w:cs="宋体"/>
          <w:kern w:val="2"/>
          <w:sz w:val="24"/>
          <w:szCs w:val="24"/>
          <w:lang w:val="en-US" w:eastAsia="zh-CN" w:bidi="ar"/>
        </w:rPr>
        <w:t>日期：202</w:t>
      </w:r>
      <w:r>
        <w:rPr>
          <w:rFonts w:hint="eastAsia" w:ascii="宋体" w:hAnsi="宋体" w:eastAsia="宋体" w:cs="宋体"/>
          <w:bCs/>
          <w:kern w:val="2"/>
          <w:sz w:val="24"/>
          <w:szCs w:val="24"/>
          <w:highlight w:val="yellow"/>
          <w:lang w:val="en-US" w:eastAsia="zh-CN" w:bidi="ar"/>
        </w:rPr>
        <w:t>X</w:t>
      </w:r>
      <w:r>
        <w:rPr>
          <w:rFonts w:hint="eastAsia" w:ascii="宋体" w:hAnsi="宋体" w:eastAsia="宋体" w:cs="宋体"/>
          <w:kern w:val="2"/>
          <w:sz w:val="24"/>
          <w:szCs w:val="24"/>
          <w:lang w:val="en-US" w:eastAsia="zh-CN" w:bidi="ar"/>
        </w:rPr>
        <w:t>年  月  日                  日期：202</w:t>
      </w:r>
      <w:r>
        <w:rPr>
          <w:rFonts w:hint="eastAsia" w:ascii="宋体" w:hAnsi="宋体" w:eastAsia="宋体" w:cs="宋体"/>
          <w:bCs/>
          <w:kern w:val="2"/>
          <w:sz w:val="24"/>
          <w:szCs w:val="24"/>
          <w:highlight w:val="yellow"/>
          <w:lang w:val="en-US" w:eastAsia="zh-CN" w:bidi="ar"/>
        </w:rPr>
        <w:t>X</w:t>
      </w:r>
      <w:r>
        <w:rPr>
          <w:rFonts w:hint="eastAsia" w:ascii="宋体" w:hAnsi="宋体" w:eastAsia="宋体" w:cs="宋体"/>
          <w:kern w:val="2"/>
          <w:sz w:val="24"/>
          <w:szCs w:val="24"/>
          <w:lang w:val="en-US" w:eastAsia="zh-CN" w:bidi="ar"/>
        </w:rPr>
        <w:t>年  月  日</w:t>
      </w:r>
    </w:p>
    <w:p w14:paraId="5DCAF235">
      <w:pPr>
        <w:spacing w:line="360" w:lineRule="auto"/>
        <w:rPr>
          <w:rFonts w:hint="eastAsia" w:ascii="宋体" w:hAnsi="宋体" w:eastAsia="宋体" w:cs="宋体"/>
          <w:kern w:val="2"/>
          <w:sz w:val="24"/>
          <w:szCs w:val="24"/>
        </w:rPr>
        <w:sectPr>
          <w:footerReference r:id="rId10" w:type="default"/>
          <w:pgSz w:w="11906" w:h="16838"/>
          <w:pgMar w:top="1440" w:right="1558" w:bottom="1440" w:left="1797" w:header="851" w:footer="992" w:gutter="0"/>
          <w:pgNumType w:fmt="decimal"/>
          <w:cols w:space="720" w:num="1"/>
          <w:docGrid w:type="lines" w:linePitch="312" w:charSpace="0"/>
        </w:sectPr>
      </w:pPr>
    </w:p>
    <w:p w14:paraId="21EA079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2"/>
          <w:sz w:val="28"/>
          <w:szCs w:val="28"/>
          <w:lang w:val="en-US" w:eastAsia="zh-CN" w:bidi="ar"/>
        </w:rPr>
      </w:pPr>
      <w:r>
        <w:rPr>
          <w:rFonts w:hint="eastAsia" w:ascii="宋体" w:hAnsi="宋体" w:eastAsia="宋体" w:cs="宋体"/>
          <w:b/>
          <w:bCs/>
          <w:kern w:val="2"/>
          <w:sz w:val="28"/>
          <w:szCs w:val="28"/>
          <w:lang w:val="en-US" w:eastAsia="zh-CN" w:bidi="ar"/>
        </w:rPr>
        <w:t>附件</w:t>
      </w:r>
    </w:p>
    <w:p w14:paraId="48101BD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kern w:val="2"/>
          <w:sz w:val="28"/>
          <w:szCs w:val="28"/>
        </w:rPr>
      </w:pPr>
      <w:r>
        <w:rPr>
          <w:rFonts w:hint="eastAsia" w:ascii="宋体" w:hAnsi="宋体" w:eastAsia="宋体" w:cs="宋体"/>
          <w:b/>
          <w:bCs/>
          <w:kern w:val="2"/>
          <w:sz w:val="28"/>
          <w:szCs w:val="28"/>
          <w:lang w:val="en-US" w:eastAsia="zh-CN" w:bidi="ar"/>
        </w:rPr>
        <w:t>网络安全服务人员保密协议</w:t>
      </w:r>
    </w:p>
    <w:p w14:paraId="6AF2DC7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我单位承担了</w:t>
      </w:r>
      <w:r>
        <w:rPr>
          <w:rFonts w:hint="eastAsia" w:ascii="宋体" w:hAnsi="宋体" w:eastAsia="宋体" w:cs="宋体"/>
          <w:bCs/>
          <w:kern w:val="2"/>
          <w:sz w:val="24"/>
          <w:szCs w:val="24"/>
          <w:highlight w:val="yellow"/>
          <w:lang w:val="en-US" w:eastAsia="zh-CN" w:bidi="ar"/>
        </w:rPr>
        <w:t>XX（处室名称）</w:t>
      </w:r>
      <w:r>
        <w:rPr>
          <w:rFonts w:hint="eastAsia" w:ascii="宋体" w:hAnsi="宋体" w:eastAsia="宋体" w:cs="宋体"/>
          <w:bCs/>
          <w:kern w:val="2"/>
          <w:sz w:val="24"/>
          <w:szCs w:val="24"/>
          <w:u w:val="single"/>
          <w:lang w:val="en-US" w:eastAsia="zh-CN" w:bidi="ar"/>
        </w:rPr>
        <w:t xml:space="preserve">              项目</w:t>
      </w:r>
      <w:r>
        <w:rPr>
          <w:rFonts w:hint="eastAsia" w:ascii="宋体" w:hAnsi="宋体" w:eastAsia="宋体" w:cs="宋体"/>
          <w:bCs/>
          <w:kern w:val="2"/>
          <w:sz w:val="24"/>
          <w:szCs w:val="24"/>
          <w:lang w:val="en-US" w:eastAsia="zh-CN" w:bidi="ar"/>
        </w:rPr>
        <w:t>，本人在驻场服务、系统开发和维护等活动中，履行以下安全保密义务：</w:t>
      </w:r>
    </w:p>
    <w:p w14:paraId="03CFDF00">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一、严格执行《中华人民共和国网络安全法》</w:t>
      </w:r>
      <w:r>
        <w:rPr>
          <w:rFonts w:hint="eastAsia" w:ascii="宋体" w:hAnsi="宋体" w:eastAsia="宋体" w:cs="宋体"/>
          <w:kern w:val="2"/>
          <w:sz w:val="24"/>
          <w:szCs w:val="24"/>
          <w:lang w:val="en-US" w:eastAsia="zh-CN" w:bidi="ar"/>
        </w:rPr>
        <w:t>《数据安全法》《个人信息保护法》《网络数据安全管理条例》《互联网政务应用安全管理规定》</w:t>
      </w:r>
      <w:r>
        <w:rPr>
          <w:rFonts w:hint="eastAsia" w:ascii="宋体" w:hAnsi="宋体" w:eastAsia="宋体" w:cs="宋体"/>
          <w:bCs/>
          <w:kern w:val="2"/>
          <w:sz w:val="24"/>
          <w:szCs w:val="24"/>
          <w:lang w:val="en-US" w:eastAsia="zh-CN" w:bidi="ar"/>
        </w:rPr>
        <w:t>等相关法律法规，保守信息系统相关秘密，维护信息系统安全。杜绝篡改信息系统源代码、程序以及考生个人信息、成绩等操作和行为。</w:t>
      </w:r>
    </w:p>
    <w:p w14:paraId="0F1FC904">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二、严格遵守《北京市应急管理局信息安全管理手册》、《北京市应急管理局第三方人员安全管理规定》、《北京市应急管理局介质安全管理制度》和《北京市应急管理局机房管理规范》等安全管理制度，在驻场服务、技术支持、系统维护等活动中，诚实守信，严于律己。</w:t>
      </w:r>
    </w:p>
    <w:p w14:paraId="12972E8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三、进出市应急管理局办公场所和机房，履行登记审批程序，严格按规范流程开展各项实施工作，禁止一切非正常用电和施工行为，杜绝引发触电、短路、火灾、伤害等安全事故。</w:t>
      </w:r>
    </w:p>
    <w:p w14:paraId="15BFAEF0">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四、授权接入市电子政务外网的终端设备禁止开启无线网络共享功能，禁止将无线路由器（含便携式无线设备）接入市电子政务外网。</w:t>
      </w:r>
    </w:p>
    <w:p w14:paraId="5D1D09B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五、服务过程中不随意探听市应急管理局内部信息或翻阅办公场所的文件资料。</w:t>
      </w:r>
    </w:p>
    <w:p w14:paraId="4CA9754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六、采取内部措施，不得以任何方式直接或间接地向任何个人、企业、机关、或其他社会团体使用或泄露与市应急管理局有关的保密或专有信息。</w:t>
      </w:r>
    </w:p>
    <w:p w14:paraId="0953F2DA">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我承诺履行上述义务和责任。如因我原因发生问题，将承担所引起的经济、法律等全部责任。</w:t>
      </w:r>
    </w:p>
    <w:p w14:paraId="2B02CD63">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 xml:space="preserve"> </w:t>
      </w:r>
    </w:p>
    <w:p w14:paraId="1F543CEC">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 xml:space="preserve">     单位负责人签字：                      承 诺 人 签 字：    </w:t>
      </w:r>
    </w:p>
    <w:p w14:paraId="5AC1365A">
      <w:pPr>
        <w:keepNext w:val="0"/>
        <w:keepLines w:val="0"/>
        <w:widowControl w:val="0"/>
        <w:suppressLineNumbers w:val="0"/>
        <w:spacing w:before="0" w:beforeAutospacing="0" w:after="0" w:afterAutospacing="0" w:line="480" w:lineRule="auto"/>
        <w:ind w:left="0" w:right="0" w:firstLine="960" w:firstLineChars="40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 xml:space="preserve">（单位公章）                          </w:t>
      </w:r>
    </w:p>
    <w:p w14:paraId="7980508B">
      <w:pPr>
        <w:keepNext w:val="0"/>
        <w:keepLines w:val="0"/>
        <w:widowControl w:val="0"/>
        <w:suppressLineNumbers w:val="0"/>
        <w:spacing w:before="0" w:beforeAutospacing="0" w:after="0" w:afterAutospacing="0" w:line="480" w:lineRule="auto"/>
        <w:ind w:left="0" w:right="0" w:firstLine="720" w:firstLineChars="300"/>
        <w:jc w:val="both"/>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t>年   月   日                         年   月   日</w:t>
      </w:r>
    </w:p>
    <w:p w14:paraId="00EC1EB5">
      <w:pPr>
        <w:rPr>
          <w:rFonts w:hint="eastAsia" w:ascii="宋体" w:hAnsi="宋体" w:eastAsia="宋体" w:cs="宋体"/>
          <w:bCs/>
          <w:kern w:val="2"/>
          <w:sz w:val="24"/>
          <w:szCs w:val="24"/>
          <w:lang w:val="en-US" w:eastAsia="zh-CN" w:bidi="ar"/>
        </w:rPr>
      </w:pPr>
      <w:r>
        <w:rPr>
          <w:rFonts w:hint="eastAsia" w:ascii="宋体" w:hAnsi="宋体" w:eastAsia="宋体" w:cs="宋体"/>
          <w:bCs/>
          <w:kern w:val="2"/>
          <w:sz w:val="24"/>
          <w:szCs w:val="24"/>
          <w:lang w:val="en-US" w:eastAsia="zh-CN" w:bidi="ar"/>
        </w:rPr>
        <w:br w:type="page"/>
      </w:r>
    </w:p>
    <w:p w14:paraId="65EA2F0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bCs/>
          <w:kern w:val="2"/>
          <w:sz w:val="28"/>
          <w:szCs w:val="28"/>
        </w:rPr>
      </w:pPr>
      <w:r>
        <w:rPr>
          <w:rFonts w:hint="eastAsia" w:ascii="宋体" w:hAnsi="宋体" w:eastAsia="宋体" w:cs="宋体"/>
          <w:b/>
          <w:bCs/>
          <w:kern w:val="2"/>
          <w:sz w:val="28"/>
          <w:szCs w:val="28"/>
          <w:lang w:val="en-US" w:eastAsia="zh-CN" w:bidi="ar"/>
        </w:rPr>
        <w:t>附件</w:t>
      </w:r>
    </w:p>
    <w:p w14:paraId="4FEFD52F">
      <w:pPr>
        <w:keepNext w:val="0"/>
        <w:keepLines w:val="0"/>
        <w:widowControl/>
        <w:suppressLineNumbers w:val="0"/>
        <w:autoSpaceDE w:val="0"/>
        <w:autoSpaceDN/>
        <w:spacing w:before="0" w:beforeAutospacing="0" w:after="0" w:afterAutospacing="0" w:line="360" w:lineRule="auto"/>
        <w:ind w:left="0" w:right="0"/>
        <w:jc w:val="center"/>
        <w:rPr>
          <w:rFonts w:hint="eastAsia" w:ascii="宋体" w:hAnsi="宋体" w:eastAsia="宋体" w:cs="Times New Roman"/>
          <w:b/>
          <w:bCs/>
          <w:kern w:val="2"/>
          <w:sz w:val="28"/>
          <w:szCs w:val="28"/>
        </w:rPr>
      </w:pPr>
      <w:r>
        <w:rPr>
          <w:rFonts w:hint="eastAsia" w:ascii="宋体" w:hAnsi="宋体" w:eastAsia="宋体" w:cs="宋体"/>
          <w:b/>
          <w:bCs/>
          <w:kern w:val="2"/>
          <w:sz w:val="28"/>
          <w:szCs w:val="28"/>
          <w:lang w:val="en-US" w:eastAsia="zh-CN" w:bidi="ar"/>
        </w:rPr>
        <w:t>供应商口令安全承诺书</w:t>
      </w:r>
    </w:p>
    <w:p w14:paraId="1E06178C">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为加强北京市应管理局网络和数据安全管理，确保信息系统、数据安全稳定运行，本司（公司名称：</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，代表人姓名：</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）在此郑重承诺，严格遵守以下口令（密码）安全规定：</w:t>
      </w:r>
    </w:p>
    <w:p w14:paraId="2EC5522D">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一、复杂性。本司承诺，对运维使用的各类账户口令（包括但不限于系统登录、数据库、中间件和软硬件设备、VPN运维账号、电子邮箱等）和系统中存在的用户设置密码复杂性强制要求，即包含大小写字母、数字及特殊字符，且长度不少于18位。本司将定期（至少每30天）更换口令，避免使用容易被猜测或破解的简单口令，如生日、电话号码、连续数字或字母等。</w:t>
      </w:r>
    </w:p>
    <w:p w14:paraId="5FF19DC5">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二、保密性。本司承诺，对系统相关的所有口令信息严格保密，不向任何未经授权的人员透露。同时，本司将采取必要措施防止口令信息被窃取或泄露，包括但不限于：将口令记录在不易被他人访问的地方，不使用公共设备或不安全网络环境进行运维操作。</w:t>
      </w:r>
    </w:p>
    <w:p w14:paraId="5B009F72">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三、单一用途。本司承诺，明确专人负责账号和密码管理，及时删除人员变动或者调整的账号。不在多个账户或系统上重复使用同一口令，以降低某个账户被攻破后，其他账户也面临风险的可能性。</w:t>
      </w:r>
    </w:p>
    <w:p w14:paraId="2C144C04">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四、合规性。本司承诺，遵守国家法律法规及公司关于网络安全、数据保护的所有规章制度，对于因违反本承诺书规定而造成的任何信息安全事故或损失，本司愿意承担相应的法律责任及公司内部责任。</w:t>
      </w:r>
    </w:p>
    <w:p w14:paraId="1707FF93">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五、应急响应。本司承诺，在发现账户口令可能泄露或被盗用的情况下，立即按照北京市应急管理局规定的应急响应流程进行报告和处理，竭尽全力将网络安全事件带来的影响降到最低。</w:t>
      </w:r>
    </w:p>
    <w:p w14:paraId="3EFE22DB">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本承诺书自盖章签字之日起生效，本司将始终遵守上述承诺。如因弱口令引发网络和数据安全问题，本公司将承担全部责任。</w:t>
      </w:r>
    </w:p>
    <w:p w14:paraId="2352D42D">
      <w:pPr>
        <w:keepNext w:val="0"/>
        <w:keepLines w:val="0"/>
        <w:widowControl w:val="0"/>
        <w:suppressLineNumbers w:val="0"/>
        <w:autoSpaceDE w:val="0"/>
        <w:autoSpaceDN w:val="0"/>
        <w:spacing w:before="0" w:beforeAutospacing="0" w:after="0" w:afterAutospacing="0" w:line="44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415A650C">
      <w:pPr>
        <w:keepNext w:val="0"/>
        <w:keepLines w:val="0"/>
        <w:widowControl w:val="0"/>
        <w:suppressLineNumbers w:val="0"/>
        <w:autoSpaceDE w:val="0"/>
        <w:autoSpaceDN w:val="0"/>
        <w:spacing w:before="0" w:beforeAutospacing="0" w:after="0" w:afterAutospacing="0" w:line="440" w:lineRule="exact"/>
        <w:ind w:left="0" w:right="0" w:firstLine="3120" w:firstLineChars="13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承诺公司（盖章）：</w:t>
      </w:r>
      <w:r>
        <w:rPr>
          <w:rFonts w:hint="eastAsia" w:ascii="宋体" w:hAnsi="宋体" w:eastAsia="宋体" w:cs="Times New Roman"/>
          <w:kern w:val="2"/>
          <w:sz w:val="24"/>
          <w:szCs w:val="24"/>
          <w:lang w:val="en-US" w:eastAsia="zh-CN" w:bidi="ar"/>
        </w:rPr>
        <w:t xml:space="preserve"> </w:t>
      </w:r>
    </w:p>
    <w:p w14:paraId="0BF76524">
      <w:pPr>
        <w:keepNext w:val="0"/>
        <w:keepLines w:val="0"/>
        <w:widowControl w:val="0"/>
        <w:suppressLineNumbers w:val="0"/>
        <w:autoSpaceDE w:val="0"/>
        <w:autoSpaceDN w:val="0"/>
        <w:spacing w:before="0" w:beforeAutospacing="0" w:after="0" w:afterAutospacing="0" w:line="440" w:lineRule="exact"/>
        <w:ind w:left="0" w:right="0" w:firstLine="3120" w:firstLineChars="13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代表人（签字）：</w:t>
      </w:r>
    </w:p>
    <w:p w14:paraId="68893AF1">
      <w:pPr>
        <w:keepNext w:val="0"/>
        <w:keepLines w:val="0"/>
        <w:widowControl w:val="0"/>
        <w:suppressLineNumbers w:val="0"/>
        <w:spacing w:before="0" w:beforeAutospacing="0" w:after="0" w:afterAutospacing="0"/>
        <w:ind w:left="0" w:right="960"/>
        <w:jc w:val="center"/>
        <w:rPr>
          <w:rFonts w:hint="default" w:ascii="Times New Roman" w:hAnsi="Times New Roman" w:eastAsia="宋体" w:cs="Times New Roman"/>
          <w:kern w:val="2"/>
          <w:sz w:val="21"/>
          <w:szCs w:val="21"/>
        </w:rPr>
      </w:pP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年</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p>
    <w:p w14:paraId="0AEC7D49">
      <w:pPr>
        <w:spacing w:line="360" w:lineRule="auto"/>
        <w:rPr>
          <w:rFonts w:hint="default"/>
          <w:b/>
          <w:bCs/>
          <w:sz w:val="24"/>
          <w:szCs w:val="24"/>
          <w:highlight w:val="none"/>
          <w:lang w:val="en-US" w:eastAsia="zh-CN"/>
        </w:rPr>
      </w:pPr>
    </w:p>
    <w:p w14:paraId="51E08A75">
      <w:pPr>
        <w:adjustRightInd w:val="0"/>
        <w:snapToGrid w:val="0"/>
        <w:spacing w:line="460" w:lineRule="atLeast"/>
        <w:rPr>
          <w:rFonts w:hint="eastAsia" w:ascii="仿宋" w:hAnsi="仿宋" w:eastAsia="仿宋" w:cs="Arial"/>
          <w:highlight w:val="none"/>
        </w:rPr>
      </w:pPr>
    </w:p>
    <w:p w14:paraId="41949ABD">
      <w:pPr>
        <w:rPr>
          <w:highlight w:val="none"/>
        </w:rPr>
      </w:pPr>
    </w:p>
    <w:p w14:paraId="6519EA08">
      <w:pPr>
        <w:bidi w:val="0"/>
        <w:rPr>
          <w:rFonts w:hint="eastAsia"/>
          <w:highlight w:val="none"/>
          <w:lang w:val="en-US" w:eastAsia="zh-CN"/>
        </w:rPr>
        <w:sectPr>
          <w:pgSz w:w="11906" w:h="16838"/>
          <w:pgMar w:top="2098" w:right="1474" w:bottom="1984" w:left="1587" w:header="851" w:footer="992" w:gutter="0"/>
          <w:pgNumType w:fmt="decimal"/>
          <w:cols w:space="720" w:num="1"/>
          <w:docGrid w:type="lines" w:linePitch="435" w:charSpace="0"/>
        </w:sectPr>
      </w:pPr>
    </w:p>
    <w:p w14:paraId="648B9CB2">
      <w:pPr>
        <w:rPr>
          <w:rFonts w:hint="default"/>
          <w:lang w:val="en-US" w:eastAsia="zh-CN"/>
        </w:rPr>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方正小标宋简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4143C">
    <w:pPr>
      <w:pStyle w:val="9"/>
      <w:ind w:right="360"/>
      <w:rPr>
        <w:rStyle w:val="16"/>
      </w:rPr>
    </w:pPr>
  </w:p>
  <w:p w14:paraId="10712A08">
    <w:pPr>
      <w:pStyle w:val="9"/>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612F1">
    <w:pPr>
      <w:pStyle w:val="9"/>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5A9FDC79">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85C3A">
    <w:pPr>
      <w:pStyle w:val="9"/>
      <w:rPr>
        <w:rStyle w:val="16"/>
      </w:rPr>
    </w:pPr>
  </w:p>
  <w:p w14:paraId="43509999">
    <w:pPr>
      <w:pStyle w:val="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5066F">
    <w:pPr>
      <w:pStyle w:val="9"/>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80B5F">
                          <w:pPr>
                            <w:pStyle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3880B5F">
                    <w:pPr>
                      <w:pStyle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48DAF">
    <w:pPr>
      <w:autoSpaceDE w:val="0"/>
      <w:autoSpaceDN w:val="0"/>
      <w:adjustRightInd w:val="0"/>
      <w:snapToGrid w:val="0"/>
      <w:ind w:right="-2"/>
      <w:jc w:val="center"/>
      <w:rPr>
        <w:rFonts w:ascii="Arial" w:hAnsi="Arial" w:eastAsia="等线" w:cs="Arial"/>
        <w:kern w:val="0"/>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FF92F">
                          <w:pPr>
                            <w:pStyle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58FF92F">
                    <w:pPr>
                      <w:pStyle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5AABD">
    <w:pPr>
      <w:autoSpaceDE w:val="0"/>
      <w:autoSpaceDN w:val="0"/>
      <w:adjustRightInd w:val="0"/>
      <w:snapToGrid w:val="0"/>
      <w:ind w:right="-2"/>
      <w:jc w:val="center"/>
      <w:rPr>
        <w:rFonts w:ascii="Arial" w:hAnsi="Arial" w:eastAsia="等线" w:cs="Arial"/>
        <w:kern w:val="0"/>
      </w:rPr>
    </w:pPr>
    <w:r>
      <w:rPr>
        <w:rFonts w:ascii="Arial" w:hAnsi="Arial" w:eastAsia="等线" w:cs="Arial"/>
        <w:kern w:val="0"/>
      </w:rPr>
      <w:fldChar w:fldCharType="begin"/>
    </w:r>
    <w:r>
      <w:rPr>
        <w:rStyle w:val="16"/>
        <w:rFonts w:ascii="Arial" w:hAnsi="Arial" w:eastAsia="等线" w:cs="Arial"/>
        <w:kern w:val="0"/>
      </w:rPr>
      <w:instrText xml:space="preserve"> PAGE </w:instrText>
    </w:r>
    <w:r>
      <w:rPr>
        <w:rFonts w:ascii="Arial" w:hAnsi="Arial" w:eastAsia="等线" w:cs="Arial"/>
        <w:kern w:val="0"/>
      </w:rPr>
      <w:fldChar w:fldCharType="separate"/>
    </w:r>
    <w:r>
      <w:rPr>
        <w:rStyle w:val="16"/>
        <w:rFonts w:ascii="Arial" w:hAnsi="Arial" w:eastAsia="等线" w:cs="Arial"/>
        <w:kern w:val="0"/>
      </w:rPr>
      <w:t>22</w:t>
    </w:r>
    <w:r>
      <w:rPr>
        <w:rFonts w:ascii="Arial" w:hAnsi="Arial" w:eastAsia="等线" w:cs="Arial"/>
        <w:kern w:val="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94055">
    <w:pPr>
      <w:pStyle w:val="10"/>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C9E2F">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25078">
    <w:pPr>
      <w:pStyle w:val="10"/>
      <w:pBdr>
        <w:top w:val="none" w:color="auto" w:sz="0" w:space="0"/>
        <w:left w:val="none" w:color="auto" w:sz="0" w:space="0"/>
        <w:bottom w:val="none" w:color="auto" w:sz="0" w:space="1"/>
        <w:right w:val="none" w:color="auto" w:sz="0" w:space="0"/>
        <w:between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6FF5A">
    <w:pPr>
      <w:pStyle w:val="10"/>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1E371A"/>
    <w:rsid w:val="043B1A01"/>
    <w:rsid w:val="06132655"/>
    <w:rsid w:val="066C37F1"/>
    <w:rsid w:val="0A2328C0"/>
    <w:rsid w:val="0C3923C8"/>
    <w:rsid w:val="0CAB5F58"/>
    <w:rsid w:val="103724B2"/>
    <w:rsid w:val="1626287B"/>
    <w:rsid w:val="175D547B"/>
    <w:rsid w:val="1E430FFF"/>
    <w:rsid w:val="21F419A2"/>
    <w:rsid w:val="2BF506C3"/>
    <w:rsid w:val="2C821818"/>
    <w:rsid w:val="2D7B7CBD"/>
    <w:rsid w:val="2DCA73D6"/>
    <w:rsid w:val="2F8C713C"/>
    <w:rsid w:val="328C4750"/>
    <w:rsid w:val="34436B9C"/>
    <w:rsid w:val="3ACF0EBB"/>
    <w:rsid w:val="472268C3"/>
    <w:rsid w:val="491D107A"/>
    <w:rsid w:val="49E14F29"/>
    <w:rsid w:val="529C66E8"/>
    <w:rsid w:val="57BFF9BD"/>
    <w:rsid w:val="5BF3968C"/>
    <w:rsid w:val="601E371A"/>
    <w:rsid w:val="6DA97570"/>
    <w:rsid w:val="6FEF5D43"/>
    <w:rsid w:val="730F7446"/>
    <w:rsid w:val="77941012"/>
    <w:rsid w:val="79E166FC"/>
    <w:rsid w:val="D9EE2E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6">
    <w:name w:val="annotation text"/>
    <w:basedOn w:val="1"/>
    <w:qFormat/>
    <w:uiPriority w:val="0"/>
    <w:pPr>
      <w:jc w:val="left"/>
    </w:pPr>
  </w:style>
  <w:style w:type="paragraph" w:styleId="7">
    <w:name w:val="Body Text"/>
    <w:basedOn w:val="1"/>
    <w:next w:val="1"/>
    <w:qFormat/>
    <w:uiPriority w:val="99"/>
    <w:pPr>
      <w:tabs>
        <w:tab w:val="left" w:pos="567"/>
      </w:tabs>
      <w:spacing w:before="120" w:line="22" w:lineRule="atLeast"/>
    </w:pPr>
    <w:rPr>
      <w:rFonts w:ascii="宋体" w:hAnsi="宋体" w:eastAsiaTheme="minorEastAsia" w:cstheme="minorBidi"/>
      <w:sz w:val="24"/>
      <w:szCs w:val="22"/>
    </w:rPr>
  </w:style>
  <w:style w:type="paragraph" w:styleId="8">
    <w:name w:val="Plain Text"/>
    <w:basedOn w:val="1"/>
    <w:qFormat/>
    <w:uiPriority w:val="0"/>
    <w:rPr>
      <w:rFonts w:ascii="宋体" w:hAnsi="Courier New"/>
      <w:szCs w:val="20"/>
    </w:rPr>
  </w:style>
  <w:style w:type="paragraph" w:styleId="9">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11"/>
    <w:pPr>
      <w:spacing w:after="60"/>
      <w:jc w:val="center"/>
      <w:outlineLvl w:val="1"/>
    </w:pPr>
    <w:rPr>
      <w:rFonts w:ascii="Cambria" w:hAnsi="Cambria" w:eastAsia="等线"/>
      <w:sz w:val="24"/>
      <w:szCs w:val="24"/>
      <w:lang w:eastAsia="en-US" w:bidi="en-US"/>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character" w:styleId="16">
    <w:name w:val="page number"/>
    <w:basedOn w:val="14"/>
    <w:qFormat/>
    <w:uiPriority w:val="0"/>
  </w:style>
  <w:style w:type="character" w:styleId="17">
    <w:name w:val="annotation reference"/>
    <w:basedOn w:val="14"/>
    <w:qFormat/>
    <w:uiPriority w:val="0"/>
    <w:rPr>
      <w:sz w:val="21"/>
      <w:szCs w:val="21"/>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43</Pages>
  <Words>14273</Words>
  <Characters>14828</Characters>
  <Lines>0</Lines>
  <Paragraphs>0</Paragraphs>
  <TotalTime>0</TotalTime>
  <ScaleCrop>false</ScaleCrop>
  <LinksUpToDate>false</LinksUpToDate>
  <CharactersWithSpaces>15830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2026-03-10T18:51:00Z</dcterms:created>
  <dc:creator>Infinite</dc:creator>
  <cp:lastModifiedBy>uos</cp:lastModifiedBy>
  <dcterms:modified xsi:type="dcterms:W3CDTF">2026-04-15T17:49:54Z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2FD18E34D8D885AADCEFC969BB5CFDC6_43</vt:lpwstr>
  </property>
  <property fmtid="{D5CDD505-2E9C-101B-9397-08002B2CF9AE}" pid="4" name="KSOTemplateDocerSaveRecord">
    <vt:lpwstr>eyJoZGlkIjoiNTc1ZTBlM2U2ZmE3YmQ3NWNjNDhiNDEwOTRiNmYwYTEiLCJ1c2VySWQiOiI3MDE3MzA4ODIifQ==</vt:lpwstr>
  </property>
</Properties>
</file>