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10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13.100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C75"/>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C75</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200"/>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黑体" w:hAnsi="黑体" w:eastAsia="黑体"/>
          <w:b w:val="0"/>
          <w:bCs w:val="0"/>
          <w:w w:val="100"/>
        </w:rPr>
      </w:pPr>
    </w:p>
    <w:p>
      <w:pPr>
        <w:pStyle w:val="201"/>
        <w:framePr w:h="6974" w:hRule="exact" w:wrap="around" w:x="1419" w:anchorLock="1"/>
      </w:pPr>
      <w:r>
        <w:fldChar w:fldCharType="begin">
          <w:ffData>
            <w:name w:val="CSTD_NAME"/>
            <w:enabled/>
            <w:calcOnExit w:val="0"/>
            <w:textInput>
              <w:default w:val="养老服务机构应急管理体系建设规范"/>
            </w:textInput>
          </w:ffData>
        </w:fldChar>
      </w:r>
      <w:bookmarkStart w:id="9" w:name="CSTD_NAME"/>
      <w:r>
        <w:instrText xml:space="preserve"> FORMTEXT </w:instrText>
      </w:r>
      <w:r>
        <w:fldChar w:fldCharType="separate"/>
      </w:r>
      <w:r>
        <w:t>养老服务机构应急管理体系建设规范</w:t>
      </w:r>
      <w:r>
        <w:fldChar w:fldCharType="end"/>
      </w:r>
      <w:bookmarkEnd w:id="9"/>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eastAsia="黑体"/>
          <w:szCs w:val="28"/>
        </w:rPr>
      </w:pPr>
      <w:r>
        <w:rPr>
          <w:rFonts w:eastAsia="黑体"/>
          <w:szCs w:val="28"/>
        </w:rPr>
        <w:t>S</w:t>
      </w:r>
      <w:r>
        <w:rPr>
          <w:rFonts w:hint="eastAsia" w:eastAsia="黑体"/>
          <w:szCs w:val="28"/>
        </w:rPr>
        <w:t>pecification</w:t>
      </w:r>
      <w:r>
        <w:rPr>
          <w:rFonts w:eastAsia="黑体"/>
          <w:szCs w:val="28"/>
        </w:rPr>
        <w:t xml:space="preserve"> </w:t>
      </w:r>
      <w:r>
        <w:rPr>
          <w:rFonts w:hint="eastAsia" w:eastAsia="黑体"/>
          <w:szCs w:val="28"/>
        </w:rPr>
        <w:t>for emergency</w:t>
      </w:r>
      <w:r>
        <w:rPr>
          <w:rFonts w:eastAsia="黑体"/>
          <w:szCs w:val="28"/>
        </w:rPr>
        <w:t xml:space="preserve"> </w:t>
      </w:r>
      <w:r>
        <w:rPr>
          <w:rFonts w:hint="eastAsia" w:eastAsia="黑体"/>
          <w:szCs w:val="28"/>
        </w:rPr>
        <w:t>management</w:t>
      </w:r>
      <w:r>
        <w:rPr>
          <w:rFonts w:eastAsia="黑体"/>
          <w:szCs w:val="28"/>
        </w:rPr>
        <w:t xml:space="preserve"> </w:t>
      </w:r>
      <w:r>
        <w:rPr>
          <w:rFonts w:hint="eastAsia" w:eastAsia="黑体"/>
          <w:szCs w:val="28"/>
        </w:rPr>
        <w:t>system</w:t>
      </w:r>
      <w:r>
        <w:rPr>
          <w:rFonts w:eastAsia="黑体"/>
          <w:szCs w:val="28"/>
        </w:rPr>
        <w:t xml:space="preserve"> </w:t>
      </w:r>
      <w:r>
        <w:rPr>
          <w:rFonts w:hint="eastAsia" w:eastAsia="黑体"/>
          <w:szCs w:val="28"/>
        </w:rPr>
        <w:t>construction</w:t>
      </w:r>
      <w:r>
        <w:rPr>
          <w:rFonts w:eastAsia="黑体"/>
          <w:szCs w:val="28"/>
        </w:rPr>
        <w:t xml:space="preserve"> </w:t>
      </w:r>
      <w:r>
        <w:rPr>
          <w:rFonts w:hint="eastAsia" w:eastAsia="黑体"/>
          <w:szCs w:val="28"/>
        </w:rPr>
        <w:t>of</w:t>
      </w:r>
      <w:r>
        <w:rPr>
          <w:rFonts w:eastAsia="黑体"/>
          <w:szCs w:val="28"/>
        </w:rPr>
        <w:t xml:space="preserve"> </w:t>
      </w:r>
      <w:r>
        <w:rPr>
          <w:rFonts w:hint="eastAsia" w:eastAsia="黑体"/>
          <w:szCs w:val="28"/>
        </w:rPr>
        <w:t>e</w:t>
      </w:r>
      <w:r>
        <w:rPr>
          <w:rFonts w:eastAsia="黑体"/>
          <w:szCs w:val="28"/>
        </w:rPr>
        <w:t xml:space="preserve">lderly care institutions </w:t>
      </w:r>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pPr>
        <w:pStyle w:val="197"/>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8"/>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5"/>
        <w:framePr w:h="584" w:hRule="exact" w:hSpace="181" w:vSpace="181"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7"/>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p>
    <w:p>
      <w:pPr>
        <w:pStyle w:val="95"/>
        <w:spacing w:after="468"/>
      </w:pPr>
      <w:bookmarkStart w:id="18" w:name="BookMark1"/>
      <w:r>
        <w:rPr>
          <w:spacing w:val="320"/>
        </w:rPr>
        <w:t>目</w:t>
      </w:r>
      <w:r>
        <w:t>次</w:t>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"_Toc144037868" </w:instrText>
      </w:r>
      <w:r>
        <w:fldChar w:fldCharType="separate"/>
      </w:r>
      <w:r>
        <w:rPr>
          <w:rFonts w:hint="eastAsia"/>
          <w:lang w:eastAsia="zh-CN"/>
        </w:rPr>
        <w:t>前</w:t>
      </w:r>
      <w:r>
        <w:rPr>
          <w:rStyle w:val="35"/>
        </w:rPr>
        <w:t>言</w:t>
      </w:r>
      <w:r>
        <w:tab/>
      </w:r>
      <w:r>
        <w:fldChar w:fldCharType="begin"/>
      </w:r>
      <w:r>
        <w:instrText xml:space="preserve"> PAGEREF _Toc144037868 \h </w:instrText>
      </w:r>
      <w:r>
        <w:fldChar w:fldCharType="separate"/>
      </w:r>
      <w:r>
        <w:t>II</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"_Toc144037869" </w:instrText>
      </w:r>
      <w:r>
        <w:fldChar w:fldCharType="separate"/>
      </w:r>
      <w:r>
        <w:rPr>
          <w:rStyle w:val="35"/>
        </w:rPr>
        <w:t>1 范围</w:t>
      </w:r>
      <w:r>
        <w:tab/>
      </w:r>
      <w:r>
        <w:fldChar w:fldCharType="begin"/>
      </w:r>
      <w:r>
        <w:instrText xml:space="preserve"> PAGEREF _Toc144037869 \h </w:instrText>
      </w:r>
      <w:r>
        <w:fldChar w:fldCharType="separate"/>
      </w:r>
      <w:r>
        <w:t>3</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"_Toc144037870" </w:instrText>
      </w:r>
      <w:r>
        <w:fldChar w:fldCharType="separate"/>
      </w:r>
      <w:r>
        <w:rPr>
          <w:rStyle w:val="35"/>
        </w:rPr>
        <w:t>2 规范性引用文件</w:t>
      </w:r>
      <w:r>
        <w:tab/>
      </w:r>
      <w:r>
        <w:fldChar w:fldCharType="begin"/>
      </w:r>
      <w:r>
        <w:instrText xml:space="preserve"> PAGEREF _Toc144037870 \h </w:instrText>
      </w:r>
      <w:r>
        <w:fldChar w:fldCharType="separate"/>
      </w:r>
      <w:r>
        <w:t>3</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"_Toc144037871" </w:instrText>
      </w:r>
      <w:r>
        <w:fldChar w:fldCharType="separate"/>
      </w:r>
      <w:r>
        <w:rPr>
          <w:rStyle w:val="35"/>
        </w:rPr>
        <w:t>3 术语和定义</w:t>
      </w:r>
      <w:r>
        <w:tab/>
      </w:r>
      <w:r>
        <w:fldChar w:fldCharType="begin"/>
      </w:r>
      <w:r>
        <w:instrText xml:space="preserve"> PAGEREF _Toc144037871 \h </w:instrText>
      </w:r>
      <w:r>
        <w:fldChar w:fldCharType="separate"/>
      </w:r>
      <w:r>
        <w:t>3</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"_Toc144037872" </w:instrText>
      </w:r>
      <w:r>
        <w:fldChar w:fldCharType="separate"/>
      </w:r>
      <w:r>
        <w:rPr>
          <w:rStyle w:val="35"/>
        </w:rPr>
        <w:t>4 组织机构与职责</w:t>
      </w:r>
      <w:r>
        <w:tab/>
      </w:r>
      <w:r>
        <w:fldChar w:fldCharType="begin"/>
      </w:r>
      <w:r>
        <w:instrText xml:space="preserve"> PAGEREF _Toc144037872 \h </w:instrText>
      </w:r>
      <w:r>
        <w:fldChar w:fldCharType="separate"/>
      </w:r>
      <w:r>
        <w:t>4</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"_Toc144037873" </w:instrText>
      </w:r>
      <w:r>
        <w:fldChar w:fldCharType="separate"/>
      </w:r>
      <w:r>
        <w:rPr>
          <w:rStyle w:val="35"/>
          <w14:scene3d>
            <w14:lightRig w14:rig="threePt" w14:dir="t">
              <w14:rot w14:lat="0" w14:lon="0" w14:rev="0"/>
            </w14:lightRig>
          </w14:scene3d>
        </w:rPr>
        <w:t>4.1</w:t>
      </w:r>
      <w:r>
        <w:rPr>
          <w:rStyle w:val="35"/>
        </w:rPr>
        <w:t xml:space="preserve"> 组织机构</w:t>
      </w:r>
      <w:r>
        <w:tab/>
      </w:r>
      <w:r>
        <w:fldChar w:fldCharType="begin"/>
      </w:r>
      <w:r>
        <w:instrText xml:space="preserve"> PAGEREF _Toc144037873 \h </w:instrText>
      </w:r>
      <w:r>
        <w:fldChar w:fldCharType="separate"/>
      </w:r>
      <w:r>
        <w:t>4</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"_Toc144037874" </w:instrText>
      </w:r>
      <w:r>
        <w:fldChar w:fldCharType="separate"/>
      </w:r>
      <w:r>
        <w:rPr>
          <w:rStyle w:val="35"/>
          <w14:scene3d>
            <w14:lightRig w14:rig="threePt" w14:dir="t">
              <w14:rot w14:lat="0" w14:lon="0" w14:rev="0"/>
            </w14:lightRig>
          </w14:scene3d>
        </w:rPr>
        <w:t>4.2</w:t>
      </w:r>
      <w:r>
        <w:rPr>
          <w:rStyle w:val="35"/>
        </w:rPr>
        <w:t xml:space="preserve"> 应急职责</w:t>
      </w:r>
      <w:r>
        <w:tab/>
      </w:r>
      <w:r>
        <w:fldChar w:fldCharType="begin"/>
      </w:r>
      <w:r>
        <w:instrText xml:space="preserve"> PAGEREF _Toc144037874 \h </w:instrText>
      </w:r>
      <w:r>
        <w:fldChar w:fldCharType="separate"/>
      </w:r>
      <w:r>
        <w:t>4</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"_Toc144037875" </w:instrText>
      </w:r>
      <w:r>
        <w:fldChar w:fldCharType="separate"/>
      </w:r>
      <w:r>
        <w:rPr>
          <w:rStyle w:val="35"/>
        </w:rPr>
        <w:t>5 应急管理制度</w:t>
      </w:r>
      <w:r>
        <w:tab/>
      </w:r>
      <w:r>
        <w:fldChar w:fldCharType="begin"/>
      </w:r>
      <w:r>
        <w:instrText xml:space="preserve"> PAGEREF _Toc144037875 \h </w:instrText>
      </w:r>
      <w:r>
        <w:fldChar w:fldCharType="separate"/>
      </w:r>
      <w:r>
        <w:t>5</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"_Toc144037876" </w:instrText>
      </w:r>
      <w:r>
        <w:fldChar w:fldCharType="separate"/>
      </w:r>
      <w:r>
        <w:rPr>
          <w:rStyle w:val="35"/>
        </w:rPr>
        <w:t>6 安全风险分级管控与隐患排查治理</w:t>
      </w:r>
      <w:r>
        <w:tab/>
      </w:r>
      <w:r>
        <w:fldChar w:fldCharType="begin"/>
      </w:r>
      <w:r>
        <w:instrText xml:space="preserve"> PAGEREF _Toc144037876 \h </w:instrText>
      </w:r>
      <w:r>
        <w:fldChar w:fldCharType="separate"/>
      </w:r>
      <w:r>
        <w:t>5</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"_Toc144037877" </w:instrText>
      </w:r>
      <w:r>
        <w:fldChar w:fldCharType="separate"/>
      </w:r>
      <w:r>
        <w:rPr>
          <w:rStyle w:val="35"/>
          <w14:scene3d>
            <w14:lightRig w14:rig="threePt" w14:dir="t">
              <w14:rot w14:lat="0" w14:lon="0" w14:rev="0"/>
            </w14:lightRig>
          </w14:scene3d>
        </w:rPr>
        <w:t>6.1</w:t>
      </w:r>
      <w:r>
        <w:rPr>
          <w:rStyle w:val="35"/>
        </w:rPr>
        <w:t xml:space="preserve"> 安全风险分级管控</w:t>
      </w:r>
      <w:r>
        <w:tab/>
      </w:r>
      <w:r>
        <w:fldChar w:fldCharType="begin"/>
      </w:r>
      <w:r>
        <w:instrText xml:space="preserve"> PAGEREF _Toc144037877 \h </w:instrText>
      </w:r>
      <w:r>
        <w:fldChar w:fldCharType="separate"/>
      </w:r>
      <w:r>
        <w:t>5</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"_Toc144037878" </w:instrText>
      </w:r>
      <w:r>
        <w:fldChar w:fldCharType="separate"/>
      </w:r>
      <w:r>
        <w:rPr>
          <w:rStyle w:val="35"/>
          <w14:scene3d>
            <w14:lightRig w14:rig="threePt" w14:dir="t">
              <w14:rot w14:lat="0" w14:lon="0" w14:rev="0"/>
            </w14:lightRig>
          </w14:scene3d>
        </w:rPr>
        <w:t>6.2</w:t>
      </w:r>
      <w:r>
        <w:rPr>
          <w:rStyle w:val="35"/>
        </w:rPr>
        <w:t xml:space="preserve"> 隐患排查治理</w:t>
      </w:r>
      <w:r>
        <w:tab/>
      </w:r>
      <w:r>
        <w:fldChar w:fldCharType="begin"/>
      </w:r>
      <w:r>
        <w:instrText xml:space="preserve"> PAGEREF _Toc144037878 \h </w:instrText>
      </w:r>
      <w:r>
        <w:fldChar w:fldCharType="separate"/>
      </w:r>
      <w:r>
        <w:t>6</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"_Toc144037879" </w:instrText>
      </w:r>
      <w:r>
        <w:fldChar w:fldCharType="separate"/>
      </w:r>
      <w:r>
        <w:rPr>
          <w:rStyle w:val="35"/>
        </w:rPr>
        <w:t>7 应急预案管理</w:t>
      </w:r>
      <w:r>
        <w:tab/>
      </w:r>
      <w:r>
        <w:fldChar w:fldCharType="begin"/>
      </w:r>
      <w:r>
        <w:instrText xml:space="preserve"> PAGEREF _Toc144037879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"_Toc144037880" </w:instrText>
      </w:r>
      <w:r>
        <w:fldChar w:fldCharType="separate"/>
      </w:r>
      <w:r>
        <w:rPr>
          <w:rStyle w:val="35"/>
          <w14:scene3d>
            <w14:lightRig w14:rig="threePt" w14:dir="t">
              <w14:rot w14:lat="0" w14:lon="0" w14:rev="0"/>
            </w14:lightRig>
          </w14:scene3d>
        </w:rPr>
        <w:t>7.1</w:t>
      </w:r>
      <w:r>
        <w:rPr>
          <w:rStyle w:val="35"/>
        </w:rPr>
        <w:t xml:space="preserve"> 预案构成</w:t>
      </w:r>
      <w:r>
        <w:tab/>
      </w:r>
      <w:r>
        <w:fldChar w:fldCharType="begin"/>
      </w:r>
      <w:r>
        <w:instrText xml:space="preserve"> PAGEREF _Toc144037880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"_Toc144037881" </w:instrText>
      </w:r>
      <w:r>
        <w:fldChar w:fldCharType="separate"/>
      </w:r>
      <w:r>
        <w:rPr>
          <w:rStyle w:val="35"/>
          <w14:scene3d>
            <w14:lightRig w14:rig="threePt" w14:dir="t">
              <w14:rot w14:lat="0" w14:lon="0" w14:rev="0"/>
            </w14:lightRig>
          </w14:scene3d>
        </w:rPr>
        <w:t>7.2</w:t>
      </w:r>
      <w:r>
        <w:rPr>
          <w:rStyle w:val="35"/>
        </w:rPr>
        <w:t xml:space="preserve"> 预案编制</w:t>
      </w:r>
      <w:r>
        <w:tab/>
      </w:r>
      <w:r>
        <w:fldChar w:fldCharType="begin"/>
      </w:r>
      <w:r>
        <w:instrText xml:space="preserve"> PAGEREF _Toc144037881 \h </w:instrText>
      </w:r>
      <w:r>
        <w:fldChar w:fldCharType="separate"/>
      </w:r>
      <w:r>
        <w:t>7</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"_Toc144037882" </w:instrText>
      </w:r>
      <w:r>
        <w:fldChar w:fldCharType="separate"/>
      </w:r>
      <w:r>
        <w:rPr>
          <w:rStyle w:val="35"/>
          <w14:scene3d>
            <w14:lightRig w14:rig="threePt" w14:dir="t">
              <w14:rot w14:lat="0" w14:lon="0" w14:rev="0"/>
            </w14:lightRig>
          </w14:scene3d>
        </w:rPr>
        <w:t>7.3</w:t>
      </w:r>
      <w:r>
        <w:rPr>
          <w:rStyle w:val="35"/>
        </w:rPr>
        <w:t xml:space="preserve"> 预案演练</w:t>
      </w:r>
      <w:r>
        <w:tab/>
      </w:r>
      <w:r>
        <w:fldChar w:fldCharType="begin"/>
      </w:r>
      <w:r>
        <w:instrText xml:space="preserve"> PAGEREF _Toc144037882 \h </w:instrText>
      </w:r>
      <w:r>
        <w:fldChar w:fldCharType="separate"/>
      </w:r>
      <w:r>
        <w:t>7</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"_Toc144037883" </w:instrText>
      </w:r>
      <w:r>
        <w:fldChar w:fldCharType="separate"/>
      </w:r>
      <w:r>
        <w:rPr>
          <w:rStyle w:val="35"/>
        </w:rPr>
        <w:t>8 应急处置</w:t>
      </w:r>
      <w:r>
        <w:tab/>
      </w:r>
      <w:r>
        <w:fldChar w:fldCharType="begin"/>
      </w:r>
      <w:r>
        <w:instrText xml:space="preserve"> PAGEREF _Toc144037883 \h </w:instrText>
      </w:r>
      <w:r>
        <w:fldChar w:fldCharType="separate"/>
      </w:r>
      <w:r>
        <w:t>8</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"_Toc144037884" </w:instrText>
      </w:r>
      <w:r>
        <w:fldChar w:fldCharType="separate"/>
      </w:r>
      <w:r>
        <w:rPr>
          <w:rStyle w:val="35"/>
        </w:rPr>
        <w:t>9 事后恢复</w:t>
      </w:r>
      <w:r>
        <w:tab/>
      </w:r>
      <w:r>
        <w:fldChar w:fldCharType="begin"/>
      </w:r>
      <w:r>
        <w:instrText xml:space="preserve"> PAGEREF _Toc144037884 \h </w:instrText>
      </w:r>
      <w:r>
        <w:fldChar w:fldCharType="separate"/>
      </w:r>
      <w:r>
        <w:t>8</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"_Toc144037885" </w:instrText>
      </w:r>
      <w:r>
        <w:fldChar w:fldCharType="separate"/>
      </w:r>
      <w:r>
        <w:rPr>
          <w:rStyle w:val="35"/>
        </w:rPr>
        <w:t>10 应急保障</w:t>
      </w:r>
      <w:r>
        <w:tab/>
      </w:r>
      <w:r>
        <w:fldChar w:fldCharType="begin"/>
      </w:r>
      <w:r>
        <w:instrText xml:space="preserve"> PAGEREF _Toc144037885 \h </w:instrText>
      </w:r>
      <w:r>
        <w:fldChar w:fldCharType="separate"/>
      </w:r>
      <w:r>
        <w:t>9</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"_Toc144037886" </w:instrText>
      </w:r>
      <w:r>
        <w:fldChar w:fldCharType="separate"/>
      </w:r>
      <w:r>
        <w:rPr>
          <w:rStyle w:val="35"/>
          <w14:scene3d>
            <w14:lightRig w14:rig="threePt" w14:dir="t">
              <w14:rot w14:lat="0" w14:lon="0" w14:rev="0"/>
            </w14:lightRig>
          </w14:scene3d>
        </w:rPr>
        <w:t>10.1</w:t>
      </w:r>
      <w:r>
        <w:rPr>
          <w:rStyle w:val="35"/>
        </w:rPr>
        <w:t xml:space="preserve"> 人员保障</w:t>
      </w:r>
      <w:r>
        <w:tab/>
      </w:r>
      <w:r>
        <w:fldChar w:fldCharType="begin"/>
      </w:r>
      <w:r>
        <w:instrText xml:space="preserve"> PAGEREF _Toc144037886 \h </w:instrText>
      </w:r>
      <w:r>
        <w:fldChar w:fldCharType="separate"/>
      </w:r>
      <w:r>
        <w:t>9</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"_Toc144037887" </w:instrText>
      </w:r>
      <w:r>
        <w:fldChar w:fldCharType="separate"/>
      </w:r>
      <w:r>
        <w:rPr>
          <w:rStyle w:val="35"/>
          <w14:scene3d>
            <w14:lightRig w14:rig="threePt" w14:dir="t">
              <w14:rot w14:lat="0" w14:lon="0" w14:rev="0"/>
            </w14:lightRig>
          </w14:scene3d>
        </w:rPr>
        <w:t>10.2</w:t>
      </w:r>
      <w:r>
        <w:rPr>
          <w:rStyle w:val="35"/>
        </w:rPr>
        <w:t xml:space="preserve"> 物资保障</w:t>
      </w:r>
      <w:r>
        <w:tab/>
      </w:r>
      <w:r>
        <w:fldChar w:fldCharType="begin"/>
      </w:r>
      <w:r>
        <w:instrText xml:space="preserve"> PAGEREF _Toc144037887 \h </w:instrText>
      </w:r>
      <w:r>
        <w:fldChar w:fldCharType="separate"/>
      </w:r>
      <w:r>
        <w:t>9</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"_Toc144037888" </w:instrText>
      </w:r>
      <w:r>
        <w:fldChar w:fldCharType="separate"/>
      </w:r>
      <w:r>
        <w:rPr>
          <w:rStyle w:val="35"/>
          <w14:scene3d>
            <w14:lightRig w14:rig="threePt" w14:dir="t">
              <w14:rot w14:lat="0" w14:lon="0" w14:rev="0"/>
            </w14:lightRig>
          </w14:scene3d>
        </w:rPr>
        <w:t>10.3</w:t>
      </w:r>
      <w:r>
        <w:rPr>
          <w:rStyle w:val="35"/>
        </w:rPr>
        <w:t xml:space="preserve"> 资金保障</w:t>
      </w:r>
      <w:r>
        <w:tab/>
      </w:r>
      <w:r>
        <w:fldChar w:fldCharType="begin"/>
      </w:r>
      <w:r>
        <w:instrText xml:space="preserve"> PAGEREF _Toc144037888 \h </w:instrText>
      </w:r>
      <w:r>
        <w:fldChar w:fldCharType="separate"/>
      </w:r>
      <w:r>
        <w:t>9</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"_Toc144037889" </w:instrText>
      </w:r>
      <w:r>
        <w:fldChar w:fldCharType="separate"/>
      </w:r>
      <w:r>
        <w:rPr>
          <w:rStyle w:val="35"/>
          <w14:scene3d>
            <w14:lightRig w14:rig="threePt" w14:dir="t">
              <w14:rot w14:lat="0" w14:lon="0" w14:rev="0"/>
            </w14:lightRig>
          </w14:scene3d>
        </w:rPr>
        <w:t>10.4</w:t>
      </w:r>
      <w:r>
        <w:rPr>
          <w:rStyle w:val="35"/>
        </w:rPr>
        <w:t xml:space="preserve"> 技术保障</w:t>
      </w:r>
      <w:r>
        <w:tab/>
      </w:r>
      <w:r>
        <w:fldChar w:fldCharType="begin"/>
      </w:r>
      <w:r>
        <w:instrText xml:space="preserve"> PAGEREF _Toc144037889 \h </w:instrText>
      </w:r>
      <w:r>
        <w:fldChar w:fldCharType="separate"/>
      </w:r>
      <w:r>
        <w:t>10</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"_Toc144037890" </w:instrText>
      </w:r>
      <w:r>
        <w:fldChar w:fldCharType="separate"/>
      </w:r>
      <w:r>
        <w:rPr>
          <w:rStyle w:val="35"/>
          <w14:scene3d>
            <w14:lightRig w14:rig="threePt" w14:dir="t">
              <w14:rot w14:lat="0" w14:lon="0" w14:rev="0"/>
            </w14:lightRig>
          </w14:scene3d>
        </w:rPr>
        <w:t>10.5</w:t>
      </w:r>
      <w:r>
        <w:rPr>
          <w:rStyle w:val="35"/>
        </w:rPr>
        <w:t xml:space="preserve"> 设施保障</w:t>
      </w:r>
      <w:r>
        <w:tab/>
      </w:r>
      <w:r>
        <w:fldChar w:fldCharType="begin"/>
      </w:r>
      <w:r>
        <w:instrText xml:space="preserve"> PAGEREF _Toc144037890 \h </w:instrText>
      </w:r>
      <w:r>
        <w:fldChar w:fldCharType="separate"/>
      </w:r>
      <w:r>
        <w:t>10</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"_Toc144037891" </w:instrText>
      </w:r>
      <w:r>
        <w:fldChar w:fldCharType="separate"/>
      </w:r>
      <w:r>
        <w:rPr>
          <w:rStyle w:val="35"/>
        </w:rPr>
        <w:t>11 宣传与培训</w:t>
      </w:r>
      <w:r>
        <w:tab/>
      </w:r>
      <w:r>
        <w:fldChar w:fldCharType="begin"/>
      </w:r>
      <w:r>
        <w:instrText xml:space="preserve"> PAGEREF _Toc144037891 \h </w:instrText>
      </w:r>
      <w:r>
        <w:fldChar w:fldCharType="separate"/>
      </w:r>
      <w:r>
        <w:t>10</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"_Toc144037892" </w:instrText>
      </w:r>
      <w:r>
        <w:fldChar w:fldCharType="separate"/>
      </w:r>
      <w:r>
        <w:rPr>
          <w:rStyle w:val="35"/>
        </w:rPr>
        <w:t>12 评估与改进</w:t>
      </w:r>
      <w:r>
        <w:tab/>
      </w:r>
      <w:r>
        <w:fldChar w:fldCharType="begin"/>
      </w:r>
      <w:r>
        <w:instrText xml:space="preserve"> PAGEREF _Toc144037892 \h </w:instrText>
      </w:r>
      <w:r>
        <w:fldChar w:fldCharType="separate"/>
      </w:r>
      <w:r>
        <w:t>11</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"_Toc144037893" </w:instrText>
      </w:r>
      <w:r>
        <w:fldChar w:fldCharType="separate"/>
      </w:r>
      <w:r>
        <w:rPr>
          <w:rStyle w:val="35"/>
        </w:rPr>
        <w:t>附录B （资料性） 风险源辨识建议清单</w:t>
      </w:r>
      <w:r>
        <w:tab/>
      </w:r>
      <w:r>
        <w:fldChar w:fldCharType="begin"/>
      </w:r>
      <w:r>
        <w:instrText xml:space="preserve"> PAGEREF _Toc144037893 \h </w:instrText>
      </w:r>
      <w:r>
        <w:fldChar w:fldCharType="separate"/>
      </w:r>
      <w:r>
        <w:t>12</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"_Toc144037894" </w:instrText>
      </w:r>
      <w:r>
        <w:fldChar w:fldCharType="separate"/>
      </w:r>
      <w:r>
        <w:rPr>
          <w:rStyle w:val="35"/>
        </w:rPr>
        <w:t>附录A （资料性） 应急预案体系建议清单</w:t>
      </w:r>
      <w:r>
        <w:tab/>
      </w:r>
      <w:r>
        <w:fldChar w:fldCharType="begin"/>
      </w:r>
      <w:r>
        <w:instrText xml:space="preserve"> PAGEREF _Toc144037894 \h </w:instrText>
      </w:r>
      <w:r>
        <w:fldChar w:fldCharType="separate"/>
      </w:r>
      <w:r>
        <w:t>17</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"_Toc144037895" </w:instrText>
      </w:r>
      <w:r>
        <w:fldChar w:fldCharType="separate"/>
      </w:r>
      <w:r>
        <w:rPr>
          <w:rStyle w:val="35"/>
        </w:rPr>
        <w:t>附录C （资料性） 应急物资配置建议清单</w:t>
      </w:r>
      <w:r>
        <w:tab/>
      </w:r>
      <w:r>
        <w:fldChar w:fldCharType="begin"/>
      </w:r>
      <w:r>
        <w:instrText xml:space="preserve"> PAGEREF _Toc144037895 \h </w:instrText>
      </w:r>
      <w:r>
        <w:fldChar w:fldCharType="separate"/>
      </w:r>
      <w:r>
        <w:t>18</w:t>
      </w:r>
      <w:r>
        <w:fldChar w:fldCharType="end"/>
      </w:r>
      <w:r>
        <w:fldChar w:fldCharType="end"/>
      </w:r>
    </w:p>
    <w:p>
      <w:pPr>
        <w:pStyle w:val="21"/>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"_Toc144037896" </w:instrText>
      </w:r>
      <w:r>
        <w:fldChar w:fldCharType="separate"/>
      </w:r>
      <w:r>
        <w:rPr>
          <w:rStyle w:val="35"/>
          <w:spacing w:val="105"/>
        </w:rPr>
        <w:t>参考文</w:t>
      </w:r>
      <w:r>
        <w:rPr>
          <w:rStyle w:val="35"/>
        </w:rPr>
        <w:t>献</w:t>
      </w:r>
      <w:r>
        <w:tab/>
      </w:r>
      <w:r>
        <w:fldChar w:fldCharType="begin"/>
      </w:r>
      <w:r>
        <w:instrText xml:space="preserve"> PAGEREF _Toc144037896 \h </w:instrText>
      </w:r>
      <w:r>
        <w:fldChar w:fldCharType="separate"/>
      </w:r>
      <w:r>
        <w:t>20</w:t>
      </w:r>
      <w:r>
        <w:fldChar w:fldCharType="end"/>
      </w:r>
      <w:r>
        <w:fldChar w:fldCharType="end"/>
      </w:r>
    </w:p>
    <w:p>
      <w:pPr>
        <w:pStyle w:val="95"/>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8"/>
    <w:p>
      <w:pPr>
        <w:pStyle w:val="93"/>
        <w:spacing w:after="468"/>
      </w:pPr>
      <w:bookmarkStart w:id="19" w:name="_Toc144037868"/>
      <w:bookmarkStart w:id="20" w:name="BookMark2"/>
      <w:r>
        <w:rPr>
          <w:spacing w:val="320"/>
        </w:rPr>
        <w:t>前</w:t>
      </w:r>
      <w:r>
        <w:t>言</w:t>
      </w:r>
      <w:bookmarkEnd w:id="19"/>
    </w:p>
    <w:p>
      <w:pPr>
        <w:pStyle w:val="60"/>
        <w:ind w:firstLine="420"/>
      </w:pPr>
      <w:r>
        <w:rPr>
          <w:rFonts w:hint="eastAsia"/>
        </w:rPr>
        <w:t>本文件按照GB/T 1.1—2020《标准化工作导则  第1部分：标准化文件的结构和起草规则》的规定起草。</w:t>
      </w:r>
    </w:p>
    <w:p>
      <w:pPr>
        <w:pStyle w:val="60"/>
        <w:ind w:firstLine="420"/>
      </w:pPr>
      <w:r>
        <w:rPr>
          <w:rFonts w:hint="eastAsia"/>
        </w:rPr>
        <w:t>本文件由北京市应急管理局、北京市民政局提出并归口。</w:t>
      </w:r>
    </w:p>
    <w:p>
      <w:pPr>
        <w:pStyle w:val="60"/>
        <w:ind w:firstLine="420"/>
      </w:pPr>
      <w:r>
        <w:rPr>
          <w:rFonts w:hint="eastAsia"/>
        </w:rPr>
        <w:t>本文件由北京市应急管理局、北京市民政局组织实施。</w:t>
      </w:r>
    </w:p>
    <w:p>
      <w:pPr>
        <w:pStyle w:val="60"/>
        <w:ind w:firstLine="420"/>
      </w:pPr>
      <w:r>
        <w:rPr>
          <w:rFonts w:hint="eastAsia"/>
        </w:rPr>
        <w:t>本文件起草单位：</w:t>
      </w:r>
      <w:bookmarkStart w:id="104" w:name="_GoBack"/>
      <w:bookmarkEnd w:id="104"/>
    </w:p>
    <w:p>
      <w:pPr>
        <w:pStyle w:val="60"/>
        <w:ind w:firstLine="420"/>
      </w:pPr>
      <w:r>
        <w:rPr>
          <w:rFonts w:hint="eastAsia"/>
        </w:rPr>
        <w:t>本文件主要起草人：</w:t>
      </w:r>
    </w:p>
    <w:p>
      <w:pPr>
        <w:pStyle w:val="60"/>
        <w:ind w:firstLine="420"/>
      </w:pPr>
    </w:p>
    <w:p>
      <w:pPr>
        <w:pStyle w:val="60"/>
        <w:ind w:firstLine="420"/>
        <w:sectPr>
          <w:pgSz w:w="11906" w:h="16838"/>
          <w:pgMar w:top="2410" w:right="1134" w:bottom="1134" w:left="1134" w:header="1418" w:footer="1134" w:gutter="284"/>
          <w:pgNumType w:fmt="upperRoman"/>
          <w:cols w:space="425" w:num="1"/>
          <w:formProt w:val="0"/>
          <w:docGrid w:type="lines" w:linePitch="312" w:charSpace="0"/>
        </w:sectPr>
      </w:pPr>
    </w:p>
    <w:bookmarkEnd w:id="20"/>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016AA28658EA4317B945F0D38996FD58"/>
        </w:placeholder>
      </w:sdtPr>
      <w:sdtContent>
        <w:p>
          <w:pPr>
            <w:pStyle w:val="181"/>
            <w:spacing w:before="3" w:beforeLines="1" w:after="686" w:afterLines="220"/>
          </w:pPr>
          <w:bookmarkStart w:id="22" w:name="NEW_STAND_NAME"/>
          <w:r>
            <w:rPr>
              <w:rFonts w:hint="eastAsia"/>
            </w:rPr>
            <w:t>养老服务机构应急管理体系建设规范</w:t>
          </w:r>
        </w:p>
      </w:sdtContent>
    </w:sdt>
    <w:bookmarkEnd w:id="22"/>
    <w:p>
      <w:pPr>
        <w:pStyle w:val="108"/>
        <w:spacing w:before="312" w:after="312"/>
      </w:pPr>
      <w:bookmarkStart w:id="23" w:name="_Toc17233325"/>
      <w:bookmarkStart w:id="24" w:name="_Toc26718930"/>
      <w:bookmarkStart w:id="25" w:name="_Toc26648465"/>
      <w:bookmarkStart w:id="26" w:name="_Toc144037869"/>
      <w:bookmarkStart w:id="27" w:name="_Toc26986771"/>
      <w:bookmarkStart w:id="28" w:name="_Toc24884211"/>
      <w:bookmarkStart w:id="29" w:name="_Toc17233333"/>
      <w:bookmarkStart w:id="30" w:name="_Toc24884218"/>
      <w:bookmarkStart w:id="31" w:name="_Toc26986530"/>
      <w:r>
        <w:rPr>
          <w:rFonts w:hint="eastAsia"/>
        </w:rPr>
        <w:t>范围</w:t>
      </w:r>
      <w:bookmarkEnd w:id="23"/>
      <w:bookmarkEnd w:id="24"/>
      <w:bookmarkEnd w:id="25"/>
      <w:bookmarkEnd w:id="26"/>
      <w:bookmarkEnd w:id="27"/>
      <w:bookmarkEnd w:id="28"/>
      <w:bookmarkEnd w:id="29"/>
      <w:bookmarkEnd w:id="30"/>
      <w:bookmarkEnd w:id="31"/>
    </w:p>
    <w:p>
      <w:pPr>
        <w:pStyle w:val="60"/>
        <w:ind w:firstLine="420"/>
      </w:pPr>
      <w:bookmarkStart w:id="32" w:name="_Toc17233326"/>
      <w:bookmarkStart w:id="33" w:name="_Toc24884212"/>
      <w:bookmarkStart w:id="34" w:name="_Toc17233334"/>
      <w:bookmarkStart w:id="35" w:name="_Toc26648466"/>
      <w:bookmarkStart w:id="36" w:name="_Toc24884219"/>
      <w:r>
        <w:rPr>
          <w:rFonts w:hint="eastAsia"/>
        </w:rPr>
        <w:t>本文件规定了养老服务机构应急管理体系建设中组织机构与职责、应急管理制度、安全风险分级管控与隐患排查治理、应急预案管理、应急处置、事后恢复、应急保障、宣传与培训、评估与改进的要求。</w:t>
      </w:r>
    </w:p>
    <w:p>
      <w:pPr>
        <w:pStyle w:val="60"/>
        <w:ind w:firstLine="420"/>
      </w:pPr>
      <w:r>
        <w:rPr>
          <w:rFonts w:hint="eastAsia"/>
        </w:rPr>
        <w:t>本文件适用于</w:t>
      </w:r>
      <w:bookmarkStart w:id="37" w:name="_Hlk144102139"/>
      <w:r>
        <w:rPr>
          <w:rFonts w:hint="eastAsia"/>
        </w:rPr>
        <w:t>养老服务机构的自然灾害类和事故灾害类突发事件应急管理体系建设工作。</w:t>
      </w:r>
      <w:bookmarkEnd w:id="37"/>
      <w:r>
        <w:rPr>
          <w:rFonts w:hint="eastAsia"/>
        </w:rPr>
        <w:t>社区养老服务驿站（农村幸福晚年驿站）可参照执行。医养结合类型的养老服务机构，其中医疗机构的应急管理体系建设按DB</w:t>
      </w:r>
      <w:r>
        <w:t>11/</w:t>
      </w:r>
      <w:r>
        <w:rPr>
          <w:rFonts w:hint="eastAsia"/>
        </w:rPr>
        <w:t>T</w:t>
      </w:r>
      <w:r>
        <w:t xml:space="preserve"> </w:t>
      </w:r>
      <w:r>
        <w:rPr>
          <w:rFonts w:hint="eastAsia"/>
        </w:rPr>
        <w:t>XXXX执行。</w:t>
      </w:r>
    </w:p>
    <w:p>
      <w:pPr>
        <w:pStyle w:val="108"/>
        <w:spacing w:before="312" w:after="312"/>
      </w:pPr>
      <w:bookmarkStart w:id="38" w:name="_Toc26986531"/>
      <w:bookmarkStart w:id="39" w:name="_Toc26718931"/>
      <w:bookmarkStart w:id="40" w:name="_Toc144037870"/>
      <w:bookmarkStart w:id="41" w:name="_Toc26986772"/>
      <w:r>
        <w:rPr>
          <w:rFonts w:hint="eastAsia"/>
        </w:rPr>
        <w:t>规范性引用文件</w:t>
      </w:r>
      <w:bookmarkEnd w:id="32"/>
      <w:bookmarkEnd w:id="33"/>
      <w:bookmarkEnd w:id="34"/>
      <w:bookmarkEnd w:id="35"/>
      <w:bookmarkEnd w:id="36"/>
      <w:bookmarkEnd w:id="38"/>
      <w:bookmarkEnd w:id="39"/>
      <w:bookmarkEnd w:id="40"/>
      <w:bookmarkEnd w:id="41"/>
    </w:p>
    <w:sdt>
      <w:sdtPr>
        <w:rPr>
          <w:rFonts w:hint="eastAsia"/>
        </w:rPr>
        <w:id w:val="715848253"/>
        <w:placeholder>
          <w:docPart w:val="4CDF7097F29A41639F7AA7521359189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pPr>
      <w:r>
        <w:rPr>
          <w:rFonts w:hint="eastAsia"/>
        </w:rPr>
        <w:t>GB</w:t>
      </w:r>
      <w:r>
        <w:t xml:space="preserve"> </w:t>
      </w:r>
      <w:r>
        <w:rPr>
          <w:rFonts w:hint="eastAsia"/>
        </w:rPr>
        <w:t>25201</w:t>
      </w:r>
      <w:r>
        <w:t xml:space="preserve">  </w:t>
      </w:r>
      <w:r>
        <w:rPr>
          <w:rFonts w:hint="eastAsia"/>
        </w:rPr>
        <w:t>建筑消防设施的维护管理</w:t>
      </w:r>
    </w:p>
    <w:p>
      <w:pPr>
        <w:pStyle w:val="60"/>
        <w:ind w:firstLine="420"/>
      </w:pPr>
      <w:r>
        <w:rPr>
          <w:rFonts w:hint="eastAsia"/>
        </w:rPr>
        <w:t>GB</w:t>
      </w:r>
      <w:r>
        <w:t xml:space="preserve"> </w:t>
      </w:r>
      <w:r>
        <w:rPr>
          <w:rFonts w:hint="eastAsia"/>
        </w:rPr>
        <w:t>25506</w:t>
      </w:r>
      <w:r>
        <w:t xml:space="preserve">  </w:t>
      </w:r>
      <w:r>
        <w:rPr>
          <w:rFonts w:hint="eastAsia"/>
        </w:rPr>
        <w:t>消防控制室通用技术要求</w:t>
      </w:r>
    </w:p>
    <w:p>
      <w:pPr>
        <w:pStyle w:val="60"/>
        <w:ind w:firstLine="420"/>
      </w:pPr>
      <w:r>
        <w:t xml:space="preserve">GB/T 29353  </w:t>
      </w:r>
      <w:r>
        <w:rPr>
          <w:rFonts w:hint="eastAsia"/>
        </w:rPr>
        <w:t>养老机构基本规范</w:t>
      </w:r>
    </w:p>
    <w:p>
      <w:pPr>
        <w:pStyle w:val="60"/>
        <w:ind w:firstLine="420"/>
      </w:pPr>
      <w:r>
        <w:rPr>
          <w:rFonts w:hint="eastAsia"/>
        </w:rPr>
        <w:t>GB/T 29639</w:t>
      </w:r>
      <w:r>
        <w:t xml:space="preserve">  </w:t>
      </w:r>
      <w:r>
        <w:rPr>
          <w:rFonts w:hint="eastAsia"/>
        </w:rPr>
        <w:t>生产经营单位生产安全事故应急预案编制导则</w:t>
      </w:r>
    </w:p>
    <w:p>
      <w:pPr>
        <w:pStyle w:val="60"/>
        <w:ind w:firstLine="420"/>
      </w:pPr>
      <w:r>
        <w:rPr>
          <w:rFonts w:hint="eastAsia"/>
        </w:rPr>
        <w:t>GB/T 36742  气象灾害防御重点单位气象安全保障规范</w:t>
      </w:r>
    </w:p>
    <w:p>
      <w:pPr>
        <w:pStyle w:val="60"/>
        <w:ind w:firstLine="420"/>
      </w:pPr>
      <w:r>
        <w:rPr>
          <w:rFonts w:hint="eastAsia"/>
        </w:rPr>
        <w:t>GB/T</w:t>
      </w:r>
      <w:r>
        <w:t xml:space="preserve"> </w:t>
      </w:r>
      <w:r>
        <w:rPr>
          <w:rFonts w:hint="eastAsia"/>
        </w:rPr>
        <w:t>38315</w:t>
      </w:r>
      <w:r>
        <w:t xml:space="preserve">  </w:t>
      </w:r>
      <w:r>
        <w:rPr>
          <w:rFonts w:hint="eastAsia"/>
        </w:rPr>
        <w:t>社会单位灭火和应急疏散预案编制及实施导则</w:t>
      </w:r>
    </w:p>
    <w:p>
      <w:pPr>
        <w:pStyle w:val="60"/>
        <w:ind w:firstLine="420"/>
        <w:rPr>
          <w:rStyle w:val="237"/>
        </w:rPr>
      </w:pPr>
      <w:r>
        <w:t xml:space="preserve">GB/T 40248  </w:t>
      </w:r>
      <w:r>
        <w:rPr>
          <w:rStyle w:val="237"/>
        </w:rPr>
        <w:t>人员密集场所消防安全管理</w:t>
      </w:r>
    </w:p>
    <w:p>
      <w:pPr>
        <w:pStyle w:val="60"/>
        <w:ind w:firstLine="420"/>
      </w:pPr>
      <w:r>
        <w:t>AQ/T 9007</w:t>
      </w:r>
      <w:r>
        <w:rPr>
          <w:rFonts w:hint="eastAsia"/>
        </w:rPr>
        <w:t xml:space="preserve"> </w:t>
      </w:r>
      <w:r>
        <w:t xml:space="preserve"> </w:t>
      </w:r>
      <w:r>
        <w:rPr>
          <w:rFonts w:hint="eastAsia"/>
        </w:rPr>
        <w:t>生产安全事故应急演练基本规范</w:t>
      </w:r>
    </w:p>
    <w:p>
      <w:pPr>
        <w:pStyle w:val="60"/>
        <w:ind w:firstLine="420"/>
      </w:pPr>
      <w:r>
        <w:t xml:space="preserve">AQ/T 9009  </w:t>
      </w:r>
      <w:r>
        <w:rPr>
          <w:rFonts w:hint="eastAsia"/>
        </w:rPr>
        <w:t>生产安全事故应急演练评估指南</w:t>
      </w:r>
    </w:p>
    <w:p>
      <w:pPr>
        <w:pStyle w:val="60"/>
        <w:ind w:firstLine="420"/>
      </w:pPr>
      <w:bookmarkStart w:id="42" w:name="_Hlk144114361"/>
      <w:r>
        <w:rPr>
          <w:rFonts w:hint="eastAsia"/>
        </w:rPr>
        <w:t>M</w:t>
      </w:r>
      <w:r>
        <w:t>Z/</w:t>
      </w:r>
      <w:r>
        <w:rPr>
          <w:rFonts w:hint="eastAsia"/>
        </w:rPr>
        <w:t>T</w:t>
      </w:r>
      <w:r>
        <w:t xml:space="preserve"> </w:t>
      </w:r>
      <w:r>
        <w:rPr>
          <w:rFonts w:hint="eastAsia"/>
        </w:rPr>
        <w:t>032</w:t>
      </w:r>
      <w:r>
        <w:t xml:space="preserve">  </w:t>
      </w:r>
      <w:r>
        <w:rPr>
          <w:rFonts w:hint="eastAsia"/>
        </w:rPr>
        <w:t>养老机构安全管理</w:t>
      </w:r>
    </w:p>
    <w:bookmarkEnd w:id="42"/>
    <w:p>
      <w:pPr>
        <w:pStyle w:val="60"/>
        <w:ind w:firstLine="420"/>
      </w:pPr>
      <w:r>
        <w:rPr>
          <w:rFonts w:hint="eastAsia"/>
        </w:rPr>
        <w:t>DB11/T</w:t>
      </w:r>
      <w:r>
        <w:t xml:space="preserve"> </w:t>
      </w:r>
      <w:r>
        <w:rPr>
          <w:rFonts w:hint="eastAsia"/>
        </w:rPr>
        <w:t>535</w:t>
      </w:r>
      <w:r>
        <w:t xml:space="preserve">  </w:t>
      </w:r>
      <w:r>
        <w:rPr>
          <w:rFonts w:hint="eastAsia"/>
        </w:rPr>
        <w:t>社会福利机构安全管理规范</w:t>
      </w:r>
    </w:p>
    <w:p>
      <w:pPr>
        <w:pStyle w:val="60"/>
        <w:ind w:firstLine="420"/>
      </w:pPr>
      <w:r>
        <w:rPr>
          <w:rFonts w:hint="eastAsia"/>
        </w:rPr>
        <w:t>DB11/T 945  建设工程施工现场安全防护、场容卫生及消防保卫标准</w:t>
      </w:r>
    </w:p>
    <w:p>
      <w:pPr>
        <w:pStyle w:val="60"/>
        <w:ind w:firstLine="420"/>
      </w:pPr>
      <w:r>
        <w:rPr>
          <w:rFonts w:hint="eastAsia"/>
        </w:rPr>
        <w:t>DB11/T</w:t>
      </w:r>
      <w:r>
        <w:t xml:space="preserve"> </w:t>
      </w:r>
      <w:r>
        <w:rPr>
          <w:rFonts w:hint="eastAsia"/>
        </w:rPr>
        <w:t>2103.2</w:t>
      </w:r>
      <w:r>
        <w:t xml:space="preserve">  </w:t>
      </w:r>
      <w:r>
        <w:rPr>
          <w:rFonts w:hint="eastAsia"/>
        </w:rPr>
        <w:t>社会单位和重点场所消防安全管理规范 第2部分：养老机构</w:t>
      </w:r>
    </w:p>
    <w:p>
      <w:pPr>
        <w:pStyle w:val="60"/>
        <w:ind w:firstLine="420"/>
      </w:pPr>
      <w:r>
        <w:rPr>
          <w:rFonts w:hint="eastAsia"/>
        </w:rPr>
        <w:t>DB</w:t>
      </w:r>
      <w:r>
        <w:t xml:space="preserve">11/T 2104 </w:t>
      </w:r>
      <w:r>
        <w:rPr>
          <w:rFonts w:hint="eastAsia"/>
        </w:rPr>
        <w:t>消防控制室火警处置规范</w:t>
      </w:r>
    </w:p>
    <w:p>
      <w:pPr>
        <w:pStyle w:val="108"/>
        <w:spacing w:before="312" w:after="312"/>
      </w:pPr>
      <w:bookmarkStart w:id="43" w:name="_Toc144037871"/>
      <w:r>
        <w:rPr>
          <w:rFonts w:hint="eastAsia"/>
          <w:szCs w:val="21"/>
        </w:rPr>
        <w:t>术语和定义</w:t>
      </w:r>
      <w:bookmarkEnd w:id="43"/>
    </w:p>
    <w:sdt>
      <w:sdtPr>
        <w:id w:val="-1909835108"/>
        <w:placeholder>
          <w:docPart w:val="170A06587472461E8AF3AC5218ACCA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44" w:name="_Toc26986532"/>
          <w:bookmarkEnd w:id="44"/>
          <w:r>
            <w:t>下列术语和定义适用于本文件。</w:t>
          </w:r>
        </w:p>
      </w:sdtContent>
    </w:sdt>
    <w:p>
      <w:pPr>
        <w:pStyle w:val="166"/>
      </w:pPr>
      <w:bookmarkStart w:id="45" w:name="_Toc142915896"/>
      <w:bookmarkEnd w:id="45"/>
    </w:p>
    <w:p>
      <w:pPr>
        <w:adjustRightInd/>
        <w:ind w:left="420"/>
        <w:rPr>
          <w:rFonts w:ascii="黑体" w:hAnsi="黑体" w:eastAsia="黑体"/>
        </w:rPr>
      </w:pPr>
      <w:bookmarkStart w:id="46" w:name="_Hlk144102939"/>
      <w:r>
        <w:rPr>
          <w:rFonts w:hint="eastAsia" w:ascii="黑体" w:hAnsi="黑体" w:eastAsia="黑体"/>
          <w:bCs/>
          <w:color w:val="000000" w:themeColor="text1"/>
          <w14:textFill>
            <w14:solidFill>
              <w14:schemeClr w14:val="tx1"/>
            </w14:solidFill>
          </w14:textFill>
        </w:rPr>
        <w:t xml:space="preserve">养老服务机构 </w:t>
      </w:r>
      <w:r>
        <w:rPr>
          <w:rFonts w:ascii="黑体" w:hAnsi="黑体" w:eastAsia="黑体"/>
          <w:bCs/>
          <w:color w:val="000000" w:themeColor="text1"/>
          <w14:textFill>
            <w14:solidFill>
              <w14:schemeClr w14:val="tx1"/>
            </w14:solidFill>
          </w14:textFill>
        </w:rPr>
        <w:t>elderly care institutions</w:t>
      </w:r>
    </w:p>
    <w:p>
      <w:pPr>
        <w:pStyle w:val="60"/>
        <w:spacing w:before="156" w:after="156"/>
        <w:ind w:firstLine="420"/>
      </w:pPr>
      <w:r>
        <w:rPr>
          <w:rFonts w:hint="eastAsia"/>
        </w:rPr>
        <w:t>是指床位数在10张（含）以上，为老年人提供生活照料、膳食、康复、护理、医疗保健等综合性服务的各类组织。</w:t>
      </w:r>
    </w:p>
    <w:p>
      <w:pPr>
        <w:pStyle w:val="60"/>
        <w:spacing w:before="156" w:after="156"/>
        <w:ind w:firstLine="420"/>
      </w:pPr>
      <w:r>
        <w:rPr>
          <w:rFonts w:hint="eastAsia"/>
        </w:rPr>
        <w:t>[来源：</w:t>
      </w:r>
      <w:r>
        <w:t>GB/T 29353</w:t>
      </w:r>
      <w:r>
        <w:rPr>
          <w:rFonts w:hint="eastAsia"/>
        </w:rPr>
        <w:t>，定义3.1，有修改]</w:t>
      </w:r>
    </w:p>
    <w:bookmarkEnd w:id="46"/>
    <w:p>
      <w:pPr>
        <w:pStyle w:val="166"/>
      </w:pPr>
      <w:bookmarkStart w:id="47" w:name="_Toc142915898"/>
      <w:bookmarkEnd w:id="47"/>
      <w:bookmarkStart w:id="48" w:name="_Toc142915897"/>
      <w:bookmarkEnd w:id="48"/>
    </w:p>
    <w:p>
      <w:pPr>
        <w:adjustRightInd/>
        <w:spacing w:before="156" w:after="156"/>
        <w:ind w:left="420"/>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应急预案 emergency response pla</w:t>
      </w:r>
      <w:r>
        <w:rPr>
          <w:rFonts w:ascii="黑体" w:hAnsi="黑体" w:eastAsia="黑体"/>
          <w:bCs/>
          <w:color w:val="000000" w:themeColor="text1"/>
          <w14:textFill>
            <w14:solidFill>
              <w14:schemeClr w14:val="tx1"/>
            </w14:solidFill>
          </w14:textFill>
        </w:rPr>
        <w:t>n</w:t>
      </w:r>
    </w:p>
    <w:p>
      <w:pPr>
        <w:pStyle w:val="60"/>
        <w:spacing w:before="156" w:after="156"/>
        <w:ind w:firstLine="420"/>
      </w:pPr>
      <w:r>
        <w:rPr>
          <w:rFonts w:hint="eastAsia"/>
        </w:rPr>
        <w:t>针对可能发生的突发事件，为最大程度减少事故损害而预先制定的应急准备工作方案。</w:t>
      </w:r>
    </w:p>
    <w:p>
      <w:pPr>
        <w:widowControl/>
        <w:tabs>
          <w:tab w:val="center" w:pos="4201"/>
          <w:tab w:val="right" w:leader="dot" w:pos="9298"/>
        </w:tabs>
        <w:autoSpaceDE w:val="0"/>
        <w:autoSpaceDN w:val="0"/>
        <w:adjustRightInd/>
        <w:spacing w:before="156" w:after="156" w:line="240" w:lineRule="auto"/>
        <w:ind w:firstLine="420" w:firstLineChars="200"/>
        <w:rPr>
          <w:rFonts w:ascii="宋体"/>
          <w:kern w:val="0"/>
          <w:szCs w:val="20"/>
        </w:rPr>
      </w:pPr>
      <w:r>
        <w:rPr>
          <w:rFonts w:hint="eastAsia" w:ascii="宋体"/>
          <w:kern w:val="0"/>
          <w:szCs w:val="20"/>
        </w:rPr>
        <w:t>[来源：GB/T 29639-2020，定义3.1，有修改]</w:t>
      </w:r>
    </w:p>
    <w:p>
      <w:pPr>
        <w:pStyle w:val="166"/>
      </w:pPr>
    </w:p>
    <w:p>
      <w:pPr>
        <w:adjustRightInd/>
        <w:ind w:left="420"/>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应急演练 emergency exercise</w:t>
      </w:r>
    </w:p>
    <w:p>
      <w:pPr>
        <w:pStyle w:val="60"/>
        <w:spacing w:before="156" w:after="156"/>
        <w:ind w:firstLine="420"/>
      </w:pPr>
      <w:r>
        <w:rPr>
          <w:rFonts w:hint="eastAsia"/>
        </w:rPr>
        <w:t>针对可能发生的突发事件情景，依据应急预案模拟开展的应急活动。</w:t>
      </w:r>
    </w:p>
    <w:p>
      <w:pPr>
        <w:pStyle w:val="60"/>
        <w:spacing w:before="156" w:after="156"/>
        <w:ind w:firstLine="420"/>
      </w:pPr>
      <w:r>
        <w:rPr>
          <w:rFonts w:hint="eastAsia"/>
        </w:rPr>
        <w:t>[来源：</w:t>
      </w:r>
      <w:bookmarkStart w:id="49" w:name="_Hlk142597635"/>
      <w:r>
        <w:rPr>
          <w:rFonts w:hint="eastAsia"/>
        </w:rPr>
        <w:t>GB/T 29639-2020</w:t>
      </w:r>
      <w:bookmarkEnd w:id="49"/>
      <w:r>
        <w:rPr>
          <w:rFonts w:hint="eastAsia"/>
        </w:rPr>
        <w:t>，定义3.3，有修改]</w:t>
      </w:r>
    </w:p>
    <w:p>
      <w:pPr>
        <w:pStyle w:val="108"/>
        <w:spacing w:before="312" w:after="312"/>
      </w:pPr>
      <w:bookmarkStart w:id="50" w:name="_Toc144037872"/>
      <w:bookmarkStart w:id="51" w:name="_Hlk117171538"/>
      <w:r>
        <w:rPr>
          <w:rFonts w:hint="eastAsia"/>
        </w:rPr>
        <w:t>组织机构与职责</w:t>
      </w:r>
      <w:bookmarkEnd w:id="50"/>
    </w:p>
    <w:p>
      <w:pPr>
        <w:pStyle w:val="109"/>
        <w:spacing w:before="156" w:after="156"/>
        <w:ind w:left="0"/>
      </w:pPr>
      <w:bookmarkStart w:id="52" w:name="_Toc144037873"/>
      <w:r>
        <w:rPr>
          <w:rFonts w:hint="eastAsia"/>
        </w:rPr>
        <w:t>组织机构</w:t>
      </w:r>
      <w:bookmarkEnd w:id="52"/>
    </w:p>
    <w:p>
      <w:pPr>
        <w:pStyle w:val="169"/>
        <w:ind w:left="0"/>
        <w:jc w:val="left"/>
      </w:pPr>
      <w:r>
        <w:rPr>
          <w:rFonts w:hint="eastAsia"/>
        </w:rPr>
        <w:t>应建立健全应急组织体系，明确应急管理工作领导小组（以下简称“领导小组”）、应急管理工作办公室和应急处置工作小组，并明确其应急职责。</w:t>
      </w:r>
    </w:p>
    <w:p>
      <w:pPr>
        <w:pStyle w:val="169"/>
        <w:ind w:left="0"/>
      </w:pPr>
      <w:bookmarkStart w:id="53" w:name="_Hlk142896775"/>
      <w:r>
        <w:rPr>
          <w:rFonts w:hint="eastAsia"/>
        </w:rPr>
        <w:t>养老服务机构法定代表人或者主要负责人对本单位应急管理工作全面负责。</w:t>
      </w:r>
      <w:bookmarkStart w:id="54" w:name="_Hlk144103232"/>
      <w:r>
        <w:rPr>
          <w:rFonts w:hint="eastAsia"/>
        </w:rPr>
        <w:t>领导小组由法定代表人或主要负责人、安全应急分管领导、各部门主要负责人组成。</w:t>
      </w:r>
    </w:p>
    <w:bookmarkEnd w:id="54"/>
    <w:p>
      <w:pPr>
        <w:pStyle w:val="169"/>
        <w:ind w:left="0"/>
      </w:pPr>
      <w:r>
        <w:rPr>
          <w:rFonts w:hint="eastAsia"/>
        </w:rPr>
        <w:t>应急管理工作办公室宜由养老服务机构日常负责安全管理职责的部门承担。</w:t>
      </w:r>
    </w:p>
    <w:bookmarkEnd w:id="53"/>
    <w:p>
      <w:pPr>
        <w:pStyle w:val="169"/>
        <w:ind w:left="0"/>
      </w:pPr>
      <w:r>
        <w:rPr>
          <w:rFonts w:hint="eastAsia"/>
        </w:rPr>
        <w:t>应急处置工作小组宜包括灭火组、工程抢险救灾组、人员疏散组、医疗救护组、后勤保障组等。灭火组可由微型消防站、义务消防队或消防控制室相关人员组成，工程抢险救灾组可由设备设施管理维护人员组成，人员疏散组可有护理员、安保人员组成，医疗救护组可由医生、护士组成，后勤保障组可有后勤管理办公室人员组成。</w:t>
      </w:r>
    </w:p>
    <w:p>
      <w:pPr>
        <w:pStyle w:val="109"/>
        <w:spacing w:before="156" w:after="156"/>
        <w:ind w:left="0"/>
      </w:pPr>
      <w:bookmarkStart w:id="55" w:name="_Toc144037874"/>
      <w:r>
        <w:rPr>
          <w:rFonts w:hint="eastAsia"/>
        </w:rPr>
        <w:t>应急职责</w:t>
      </w:r>
      <w:bookmarkEnd w:id="55"/>
    </w:p>
    <w:p>
      <w:pPr>
        <w:pStyle w:val="169"/>
        <w:ind w:left="0"/>
        <w:jc w:val="left"/>
      </w:pPr>
      <w:r>
        <w:rPr>
          <w:rFonts w:hint="eastAsia"/>
        </w:rPr>
        <w:t>领导小组应履行以下职责：</w:t>
      </w:r>
    </w:p>
    <w:p>
      <w:pPr>
        <w:pStyle w:val="178"/>
      </w:pPr>
      <w:r>
        <w:rPr>
          <w:rFonts w:hint="eastAsia"/>
        </w:rPr>
        <w:t>负责贯彻落实政府部门或上级单位有关突发事件应对工作的方针、政策；</w:t>
      </w:r>
    </w:p>
    <w:p>
      <w:pPr>
        <w:pStyle w:val="178"/>
      </w:pPr>
      <w:r>
        <w:rPr>
          <w:rFonts w:hint="eastAsia"/>
        </w:rPr>
        <w:t>负责本单位应急管理体系建设规划；</w:t>
      </w:r>
    </w:p>
    <w:p>
      <w:pPr>
        <w:pStyle w:val="178"/>
      </w:pPr>
      <w:r>
        <w:rPr>
          <w:rFonts w:hint="eastAsia"/>
        </w:rPr>
        <w:t>确定各级、各岗位的应急职责；</w:t>
      </w:r>
    </w:p>
    <w:p>
      <w:pPr>
        <w:pStyle w:val="178"/>
      </w:pPr>
      <w:r>
        <w:rPr>
          <w:rFonts w:hint="eastAsia"/>
        </w:rPr>
        <w:t>负责养老服务机构各类突发事件的应急响应行动，下达应急处置任务；</w:t>
      </w:r>
    </w:p>
    <w:p>
      <w:pPr>
        <w:pStyle w:val="178"/>
      </w:pPr>
      <w:r>
        <w:rPr>
          <w:rFonts w:hint="eastAsia"/>
        </w:rPr>
        <w:t xml:space="preserve">在处理突发事件过程中，负责与政府部门的信息报送，协调与外部相关部门和单位的关系； </w:t>
      </w:r>
    </w:p>
    <w:p>
      <w:pPr>
        <w:pStyle w:val="178"/>
      </w:pPr>
      <w:r>
        <w:rPr>
          <w:rFonts w:hint="eastAsia"/>
        </w:rPr>
        <w:t>批准实施年度的应急物资配备、应急培训、演练计划，提供经费和组织保障；</w:t>
      </w:r>
    </w:p>
    <w:p>
      <w:pPr>
        <w:pStyle w:val="178"/>
      </w:pPr>
      <w:r>
        <w:rPr>
          <w:rFonts w:hint="eastAsia"/>
        </w:rPr>
        <w:t>组织建立应急救援队伍。</w:t>
      </w:r>
    </w:p>
    <w:p>
      <w:pPr>
        <w:pStyle w:val="169"/>
        <w:ind w:left="0"/>
        <w:jc w:val="left"/>
      </w:pPr>
      <w:r>
        <w:rPr>
          <w:rFonts w:hint="eastAsia"/>
        </w:rPr>
        <w:t>应急管理工作办公室应履行以下职责：</w:t>
      </w:r>
    </w:p>
    <w:p>
      <w:pPr>
        <w:pStyle w:val="178"/>
        <w:numPr>
          <w:ilvl w:val="0"/>
          <w:numId w:val="31"/>
        </w:numPr>
      </w:pPr>
      <w:r>
        <w:rPr>
          <w:rFonts w:hint="eastAsia"/>
        </w:rPr>
        <w:t>组织制定应急管理工作规划和制度；</w:t>
      </w:r>
    </w:p>
    <w:p>
      <w:pPr>
        <w:pStyle w:val="178"/>
      </w:pPr>
      <w:r>
        <w:rPr>
          <w:rFonts w:hint="eastAsia"/>
        </w:rPr>
        <w:t>组织制定养老机构各类突发事件应急预案；</w:t>
      </w:r>
    </w:p>
    <w:p>
      <w:pPr>
        <w:pStyle w:val="178"/>
      </w:pPr>
      <w:r>
        <w:rPr>
          <w:rFonts w:hint="eastAsia"/>
        </w:rPr>
        <w:t>定期组织开展隐患排查治理和风险辨识、评估和管控工作；</w:t>
      </w:r>
    </w:p>
    <w:p>
      <w:pPr>
        <w:pStyle w:val="178"/>
      </w:pPr>
      <w:r>
        <w:rPr>
          <w:rFonts w:hint="eastAsia"/>
        </w:rPr>
        <w:t>落实领导小组的决定，组织协调突发事件先期处置；</w:t>
      </w:r>
    </w:p>
    <w:p>
      <w:pPr>
        <w:pStyle w:val="178"/>
      </w:pPr>
      <w:r>
        <w:rPr>
          <w:rFonts w:hint="eastAsia"/>
        </w:rPr>
        <w:t>组织落实应急值守工作；</w:t>
      </w:r>
    </w:p>
    <w:p>
      <w:pPr>
        <w:pStyle w:val="178"/>
      </w:pPr>
      <w:r>
        <w:rPr>
          <w:rFonts w:hint="eastAsia"/>
        </w:rPr>
        <w:t>配备应急设备设施和物资，负责对应急资源调配和管理；</w:t>
      </w:r>
    </w:p>
    <w:p>
      <w:pPr>
        <w:pStyle w:val="178"/>
      </w:pPr>
      <w:r>
        <w:rPr>
          <w:rFonts w:hint="eastAsia"/>
        </w:rPr>
        <w:t>监测养老服务机构整体安全运行状况；</w:t>
      </w:r>
      <w:r>
        <w:t xml:space="preserve"> </w:t>
      </w:r>
    </w:p>
    <w:p>
      <w:pPr>
        <w:pStyle w:val="178"/>
      </w:pPr>
      <w:r>
        <w:rPr>
          <w:rFonts w:hint="eastAsia"/>
        </w:rPr>
        <w:t>定期组织开展突发事件应急培训、演练和宣教工作，并对培训和演练效果进行考核评估；</w:t>
      </w:r>
    </w:p>
    <w:p>
      <w:pPr>
        <w:pStyle w:val="178"/>
      </w:pPr>
      <w:r>
        <w:rPr>
          <w:rFonts w:hint="eastAsia"/>
        </w:rPr>
        <w:t>建立健全应急管理工作档案。</w:t>
      </w:r>
    </w:p>
    <w:p>
      <w:pPr>
        <w:pStyle w:val="169"/>
        <w:ind w:left="0"/>
      </w:pPr>
      <w:r>
        <w:rPr>
          <w:rFonts w:hint="eastAsia"/>
        </w:rPr>
        <w:t>应急处置工作小组应履行以下职责：</w:t>
      </w:r>
    </w:p>
    <w:p>
      <w:pPr>
        <w:pStyle w:val="178"/>
        <w:numPr>
          <w:ilvl w:val="0"/>
          <w:numId w:val="32"/>
        </w:numPr>
      </w:pPr>
      <w:r>
        <w:rPr>
          <w:rFonts w:hint="eastAsia"/>
        </w:rPr>
        <w:t>灭火组负责现场初期火灾的先期处置，配合专业消防救援机构开展抢险救灾工作；</w:t>
      </w:r>
    </w:p>
    <w:p>
      <w:pPr>
        <w:pStyle w:val="178"/>
        <w:numPr>
          <w:ilvl w:val="0"/>
          <w:numId w:val="32"/>
        </w:numPr>
      </w:pPr>
      <w:r>
        <w:rPr>
          <w:rFonts w:hint="eastAsia"/>
        </w:rPr>
        <w:t>工程抢险救灾组负责水电气热、电梯等设备设施的故障抢修、抢险工作；</w:t>
      </w:r>
    </w:p>
    <w:p>
      <w:pPr>
        <w:pStyle w:val="178"/>
        <w:numPr>
          <w:ilvl w:val="0"/>
          <w:numId w:val="32"/>
        </w:numPr>
      </w:pPr>
      <w:r>
        <w:rPr>
          <w:rFonts w:hint="eastAsia"/>
        </w:rPr>
        <w:t>人员疏散组负责老年人的疏散转移安置工作；</w:t>
      </w:r>
    </w:p>
    <w:p>
      <w:pPr>
        <w:pStyle w:val="178"/>
        <w:numPr>
          <w:ilvl w:val="0"/>
          <w:numId w:val="32"/>
        </w:numPr>
      </w:pPr>
      <w:r>
        <w:rPr>
          <w:rFonts w:hint="eastAsia"/>
        </w:rPr>
        <w:t>医疗救护组负责对现场受伤人员的急救处理和简单救治，联系医疗救护机构进行伤员转诊；</w:t>
      </w:r>
    </w:p>
    <w:p>
      <w:pPr>
        <w:pStyle w:val="178"/>
        <w:numPr>
          <w:ilvl w:val="0"/>
          <w:numId w:val="32"/>
        </w:numPr>
      </w:pPr>
      <w:r>
        <w:rPr>
          <w:rFonts w:hint="eastAsia"/>
        </w:rPr>
        <w:t>后勤保障组负责交通运输、通信联络、应急物资、食品等保障工作。</w:t>
      </w:r>
    </w:p>
    <w:bookmarkEnd w:id="51"/>
    <w:p>
      <w:pPr>
        <w:pStyle w:val="108"/>
        <w:spacing w:before="312" w:after="312"/>
      </w:pPr>
      <w:bookmarkStart w:id="56" w:name="_Toc144037875"/>
      <w:r>
        <w:rPr>
          <w:rFonts w:hint="eastAsia"/>
        </w:rPr>
        <w:t>应急管理制度</w:t>
      </w:r>
      <w:bookmarkEnd w:id="56"/>
    </w:p>
    <w:p>
      <w:pPr>
        <w:pStyle w:val="166"/>
      </w:pPr>
      <w:r>
        <w:rPr>
          <w:rFonts w:hint="eastAsia"/>
        </w:rPr>
        <w:t>应建立健全应急管理工作制度，包括但不限于下列制度：</w:t>
      </w:r>
      <w:bookmarkStart w:id="57" w:name="_Hlk142898456"/>
    </w:p>
    <w:p>
      <w:pPr>
        <w:pStyle w:val="166"/>
        <w:numPr>
          <w:ilvl w:val="0"/>
          <w:numId w:val="33"/>
        </w:numPr>
      </w:pPr>
      <w:r>
        <w:rPr>
          <w:rFonts w:hint="eastAsia"/>
        </w:rPr>
        <w:t>应急管理岗位责任制；</w:t>
      </w:r>
    </w:p>
    <w:p>
      <w:pPr>
        <w:pStyle w:val="166"/>
        <w:numPr>
          <w:ilvl w:val="0"/>
          <w:numId w:val="33"/>
        </w:numPr>
      </w:pPr>
      <w:r>
        <w:rPr>
          <w:rFonts w:hint="eastAsia"/>
        </w:rPr>
        <w:t>应急值守制度；</w:t>
      </w:r>
    </w:p>
    <w:p>
      <w:pPr>
        <w:pStyle w:val="166"/>
        <w:numPr>
          <w:ilvl w:val="0"/>
          <w:numId w:val="33"/>
        </w:numPr>
      </w:pPr>
      <w:r>
        <w:rPr>
          <w:rFonts w:hint="eastAsia"/>
        </w:rPr>
        <w:t>安全风险分级管控与隐患排查治理制度；</w:t>
      </w:r>
    </w:p>
    <w:p>
      <w:pPr>
        <w:pStyle w:val="166"/>
        <w:numPr>
          <w:ilvl w:val="0"/>
          <w:numId w:val="33"/>
        </w:numPr>
      </w:pPr>
      <w:r>
        <w:rPr>
          <w:rFonts w:hint="eastAsia"/>
        </w:rPr>
        <w:t>应急信息报送制度；</w:t>
      </w:r>
    </w:p>
    <w:p>
      <w:pPr>
        <w:pStyle w:val="166"/>
        <w:numPr>
          <w:ilvl w:val="0"/>
          <w:numId w:val="33"/>
        </w:numPr>
      </w:pPr>
      <w:r>
        <w:rPr>
          <w:rFonts w:hint="eastAsia"/>
        </w:rPr>
        <w:t>应急预案管理制度；</w:t>
      </w:r>
    </w:p>
    <w:p>
      <w:pPr>
        <w:pStyle w:val="166"/>
        <w:numPr>
          <w:ilvl w:val="0"/>
          <w:numId w:val="33"/>
        </w:numPr>
      </w:pPr>
      <w:r>
        <w:rPr>
          <w:rFonts w:hint="eastAsia"/>
        </w:rPr>
        <w:t>应急队伍管理制度；</w:t>
      </w:r>
    </w:p>
    <w:p>
      <w:pPr>
        <w:pStyle w:val="166"/>
        <w:numPr>
          <w:ilvl w:val="0"/>
          <w:numId w:val="33"/>
        </w:numPr>
      </w:pPr>
      <w:r>
        <w:rPr>
          <w:rFonts w:hint="eastAsia"/>
        </w:rPr>
        <w:t>应急物资管理制度</w:t>
      </w:r>
    </w:p>
    <w:p>
      <w:pPr>
        <w:pStyle w:val="166"/>
        <w:numPr>
          <w:ilvl w:val="0"/>
          <w:numId w:val="33"/>
        </w:numPr>
      </w:pPr>
      <w:r>
        <w:rPr>
          <w:rFonts w:hint="eastAsia"/>
        </w:rPr>
        <w:t>事故处理与报告制度；</w:t>
      </w:r>
    </w:p>
    <w:bookmarkEnd w:id="57"/>
    <w:p>
      <w:pPr>
        <w:pStyle w:val="166"/>
      </w:pPr>
      <w:r>
        <w:rPr>
          <w:rFonts w:hint="eastAsia"/>
        </w:rPr>
        <w:t>应有应急管理工作制度执行记录，相关资料应归档保存。</w:t>
      </w:r>
    </w:p>
    <w:p>
      <w:pPr>
        <w:pStyle w:val="108"/>
        <w:spacing w:before="312" w:after="312"/>
      </w:pPr>
      <w:bookmarkStart w:id="58" w:name="_Toc144037876"/>
      <w:r>
        <w:rPr>
          <w:rFonts w:hint="eastAsia"/>
        </w:rPr>
        <w:t>安全风险分级管控与隐患排查治理</w:t>
      </w:r>
      <w:bookmarkEnd w:id="58"/>
    </w:p>
    <w:p>
      <w:pPr>
        <w:pStyle w:val="109"/>
        <w:spacing w:before="156" w:after="156"/>
        <w:ind w:left="0"/>
      </w:pPr>
      <w:bookmarkStart w:id="59" w:name="_Toc144037877"/>
      <w:bookmarkStart w:id="60" w:name="_Toc117027389"/>
      <w:bookmarkStart w:id="61" w:name="_Toc117172554"/>
      <w:bookmarkStart w:id="62" w:name="_Toc117027388"/>
      <w:r>
        <w:rPr>
          <w:rFonts w:hint="eastAsia"/>
        </w:rPr>
        <w:t>安全风险分级管控</w:t>
      </w:r>
      <w:bookmarkEnd w:id="59"/>
    </w:p>
    <w:p>
      <w:pPr>
        <w:pStyle w:val="169"/>
        <w:ind w:left="0"/>
        <w:jc w:val="left"/>
      </w:pPr>
      <w:bookmarkStart w:id="63" w:name="_Hlk142898120"/>
      <w:r>
        <w:rPr>
          <w:rFonts w:hint="eastAsia"/>
        </w:rPr>
        <w:t>应定期开展风险辨识评估工作，</w:t>
      </w:r>
      <w:bookmarkEnd w:id="63"/>
      <w:r>
        <w:rPr>
          <w:rFonts w:hint="eastAsia"/>
        </w:rPr>
        <w:t>明确以下信息：</w:t>
      </w:r>
    </w:p>
    <w:p>
      <w:pPr>
        <w:pStyle w:val="178"/>
        <w:numPr>
          <w:ilvl w:val="0"/>
          <w:numId w:val="34"/>
        </w:numPr>
      </w:pPr>
      <w:bookmarkStart w:id="64" w:name="_Hlk144104028"/>
      <w:r>
        <w:rPr>
          <w:rFonts w:hint="eastAsia"/>
        </w:rPr>
        <w:t>风险源的种类、数量、特性及分布情况；</w:t>
      </w:r>
    </w:p>
    <w:p>
      <w:pPr>
        <w:pStyle w:val="178"/>
      </w:pPr>
      <w:r>
        <w:rPr>
          <w:rFonts w:hint="eastAsia"/>
        </w:rPr>
        <w:t>潜在突发事件的类型，影响范围及后果；</w:t>
      </w:r>
    </w:p>
    <w:p>
      <w:pPr>
        <w:pStyle w:val="178"/>
      </w:pPr>
      <w:r>
        <w:rPr>
          <w:rFonts w:hint="eastAsia"/>
        </w:rPr>
        <w:t>风险等级；</w:t>
      </w:r>
    </w:p>
    <w:p>
      <w:pPr>
        <w:pStyle w:val="178"/>
      </w:pPr>
      <w:r>
        <w:rPr>
          <w:rFonts w:hint="eastAsia"/>
        </w:rPr>
        <w:t>风险管控责任主体和控制措施。</w:t>
      </w:r>
    </w:p>
    <w:bookmarkEnd w:id="64"/>
    <w:p>
      <w:pPr>
        <w:pStyle w:val="169"/>
        <w:ind w:left="0"/>
        <w:jc w:val="left"/>
      </w:pPr>
      <w:r>
        <w:rPr>
          <w:rFonts w:hint="eastAsia"/>
        </w:rPr>
        <w:t xml:space="preserve">风险源辨识建议清单参见附录A。 </w:t>
      </w:r>
    </w:p>
    <w:p>
      <w:pPr>
        <w:pStyle w:val="169"/>
        <w:ind w:left="0"/>
        <w:jc w:val="left"/>
      </w:pPr>
      <w:r>
        <w:rPr>
          <w:rFonts w:hint="eastAsia"/>
        </w:rPr>
        <w:t>有装饰装修、改造等改扩建工程的，施工现场的安全防护应符合DB11/T 945的有关要求。施工前应开展风险识别和评估，根据风险评估结果划定安全区域，做好老年人转移安置方案。</w:t>
      </w:r>
    </w:p>
    <w:p>
      <w:pPr>
        <w:pStyle w:val="169"/>
        <w:ind w:left="0"/>
        <w:jc w:val="left"/>
      </w:pPr>
      <w:r>
        <w:rPr>
          <w:rFonts w:hint="eastAsia"/>
        </w:rPr>
        <w:t>对动火、爆破、有限空间等危险作业，应符合</w:t>
      </w:r>
      <w:r>
        <w:t>DB11/T 535</w:t>
      </w:r>
      <w:r>
        <w:rPr>
          <w:rFonts w:hint="eastAsia"/>
        </w:rPr>
        <w:t>的有关要求，设置安全警示标志，配备与现场作业活动相适应的应急救援装备，向属地政府或行业主管部门落实报备管理。</w:t>
      </w:r>
    </w:p>
    <w:p>
      <w:pPr>
        <w:pStyle w:val="169"/>
        <w:ind w:left="0"/>
        <w:jc w:val="left"/>
      </w:pPr>
      <w:r>
        <w:rPr>
          <w:rFonts w:hint="eastAsia"/>
        </w:rPr>
        <w:t>应对安全风险辨识评估资料进行统计、分析、整理，建立安全风险分级管控档案。</w:t>
      </w:r>
    </w:p>
    <w:p>
      <w:pPr>
        <w:pStyle w:val="169"/>
        <w:ind w:left="0"/>
        <w:jc w:val="left"/>
      </w:pPr>
      <w:r>
        <w:rPr>
          <w:rFonts w:hint="eastAsia"/>
        </w:rPr>
        <w:t>应将风险信息予以公示，可采用安全培训等形式，让员工熟知；对于评估结果为高风险的，还应将风险源种类、可能导致的事故类型、风险管控措施、责任人、联系方式等信息在风险点附近醒目位置进行张贴。</w:t>
      </w:r>
    </w:p>
    <w:p>
      <w:pPr>
        <w:pStyle w:val="169"/>
        <w:ind w:left="0"/>
        <w:jc w:val="left"/>
      </w:pPr>
      <w:r>
        <w:rPr>
          <w:rFonts w:hint="eastAsia"/>
        </w:rPr>
        <w:t>在风险评估结果的基础上，根据实际情况的变化和风险控制的成效、存在的问题，密切监测相关风险的持续动态变化，及时更新风险信息。</w:t>
      </w:r>
    </w:p>
    <w:p>
      <w:pPr>
        <w:pStyle w:val="169"/>
        <w:ind w:left="0"/>
        <w:jc w:val="left"/>
      </w:pPr>
      <w:r>
        <w:rPr>
          <w:rFonts w:hint="eastAsia"/>
        </w:rPr>
        <w:t>易受气象灾害影响的养老机构，应按照GB/T 36742的有关要求做好气象灾害风险评估，根据气象部门的气象监测实况和气象灾害预报预警服务信息做好气象灾害防御措施。</w:t>
      </w:r>
    </w:p>
    <w:p>
      <w:pPr>
        <w:pStyle w:val="109"/>
        <w:spacing w:before="156" w:after="156"/>
        <w:ind w:left="0"/>
      </w:pPr>
      <w:bookmarkStart w:id="65" w:name="_Toc144037878"/>
      <w:r>
        <w:rPr>
          <w:rFonts w:hint="eastAsia"/>
        </w:rPr>
        <w:t>隐患排查治理</w:t>
      </w:r>
      <w:bookmarkEnd w:id="60"/>
      <w:bookmarkEnd w:id="61"/>
      <w:bookmarkEnd w:id="65"/>
    </w:p>
    <w:p>
      <w:pPr>
        <w:pStyle w:val="169"/>
        <w:ind w:left="0"/>
        <w:jc w:val="left"/>
      </w:pPr>
      <w:r>
        <w:rPr>
          <w:rFonts w:hint="eastAsia"/>
        </w:rPr>
        <w:t>应定期组织开展隐患排查治理工作，排查范围应符合</w:t>
      </w:r>
      <w:bookmarkStart w:id="66" w:name="_Hlk142899301"/>
      <w:r>
        <w:rPr>
          <w:rFonts w:hint="eastAsia"/>
        </w:rPr>
        <w:t>DB11/T</w:t>
      </w:r>
      <w:r>
        <w:t xml:space="preserve"> </w:t>
      </w:r>
      <w:r>
        <w:rPr>
          <w:rFonts w:hint="eastAsia"/>
        </w:rPr>
        <w:t>535和 MZ/T 032  的</w:t>
      </w:r>
      <w:bookmarkEnd w:id="66"/>
      <w:r>
        <w:rPr>
          <w:rFonts w:hint="eastAsia"/>
        </w:rPr>
        <w:t>要求，涵盖建筑安全、消防安全、电气安全、燃气安全、疏散安全、特种设备安全、危险作业安全等内容。其中防火隐患排查</w:t>
      </w:r>
      <w:bookmarkStart w:id="67" w:name="_Hlk144104347"/>
      <w:r>
        <w:rPr>
          <w:rFonts w:hint="eastAsia"/>
        </w:rPr>
        <w:t>还应符合GB/T 40248和DB11/T 2103.2的要求。</w:t>
      </w:r>
      <w:bookmarkEnd w:id="67"/>
      <w:bookmarkStart w:id="68" w:name="_Hlk142899290"/>
    </w:p>
    <w:bookmarkEnd w:id="68"/>
    <w:p>
      <w:pPr>
        <w:pStyle w:val="169"/>
        <w:ind w:left="0"/>
        <w:jc w:val="left"/>
      </w:pPr>
      <w:r>
        <w:rPr>
          <w:rFonts w:hint="eastAsia"/>
        </w:rPr>
        <w:t>隐患排查治理重点宜包括以下场所和部位：</w:t>
      </w:r>
    </w:p>
    <w:p>
      <w:pPr>
        <w:pStyle w:val="178"/>
        <w:numPr>
          <w:ilvl w:val="0"/>
          <w:numId w:val="35"/>
        </w:numPr>
      </w:pPr>
      <w:bookmarkStart w:id="69" w:name="_Hlk144104379"/>
      <w:r>
        <w:rPr>
          <w:rFonts w:hint="eastAsia"/>
        </w:rPr>
        <w:t>老年人居室、活动场所；</w:t>
      </w:r>
    </w:p>
    <w:p>
      <w:pPr>
        <w:pStyle w:val="178"/>
      </w:pPr>
      <w:r>
        <w:rPr>
          <w:rFonts w:hint="eastAsia"/>
        </w:rPr>
        <w:t>消防控制室；</w:t>
      </w:r>
    </w:p>
    <w:p>
      <w:pPr>
        <w:pStyle w:val="178"/>
      </w:pPr>
      <w:r>
        <w:rPr>
          <w:rFonts w:hint="eastAsia"/>
        </w:rPr>
        <w:t>厨房；</w:t>
      </w:r>
    </w:p>
    <w:p>
      <w:pPr>
        <w:pStyle w:val="178"/>
      </w:pPr>
      <w:r>
        <w:rPr>
          <w:rFonts w:hint="eastAsia"/>
        </w:rPr>
        <w:t>医疗场所；</w:t>
      </w:r>
    </w:p>
    <w:p>
      <w:pPr>
        <w:pStyle w:val="178"/>
      </w:pPr>
      <w:r>
        <w:rPr>
          <w:rFonts w:hint="eastAsia"/>
        </w:rPr>
        <w:t>员工宿舍；</w:t>
      </w:r>
    </w:p>
    <w:p>
      <w:pPr>
        <w:pStyle w:val="178"/>
      </w:pPr>
      <w:r>
        <w:rPr>
          <w:rFonts w:hint="eastAsia"/>
        </w:rPr>
        <w:t>避难间；</w:t>
      </w:r>
    </w:p>
    <w:p>
      <w:pPr>
        <w:pStyle w:val="178"/>
      </w:pPr>
      <w:r>
        <w:rPr>
          <w:rFonts w:hint="eastAsia"/>
        </w:rPr>
        <w:t>疏散设施；</w:t>
      </w:r>
    </w:p>
    <w:p>
      <w:pPr>
        <w:pStyle w:val="178"/>
      </w:pPr>
      <w:r>
        <w:rPr>
          <w:rFonts w:hint="eastAsia"/>
        </w:rPr>
        <w:t>电梯；</w:t>
      </w:r>
    </w:p>
    <w:p>
      <w:pPr>
        <w:pStyle w:val="178"/>
      </w:pPr>
      <w:r>
        <w:rPr>
          <w:rFonts w:hint="eastAsia"/>
        </w:rPr>
        <w:t>配电室；</w:t>
      </w:r>
    </w:p>
    <w:p>
      <w:pPr>
        <w:pStyle w:val="178"/>
      </w:pPr>
      <w:r>
        <w:rPr>
          <w:rFonts w:hint="eastAsia"/>
        </w:rPr>
        <w:t>锅炉房；</w:t>
      </w:r>
    </w:p>
    <w:p>
      <w:pPr>
        <w:pStyle w:val="178"/>
      </w:pPr>
      <w:r>
        <w:rPr>
          <w:rFonts w:hint="eastAsia"/>
        </w:rPr>
        <w:t>供氧站或供氧设施；</w:t>
      </w:r>
    </w:p>
    <w:p>
      <w:pPr>
        <w:pStyle w:val="178"/>
      </w:pPr>
      <w:r>
        <w:rPr>
          <w:rFonts w:hint="eastAsia"/>
        </w:rPr>
        <w:t>燃气间；</w:t>
      </w:r>
    </w:p>
    <w:p>
      <w:pPr>
        <w:pStyle w:val="178"/>
      </w:pPr>
      <w:r>
        <w:rPr>
          <w:rFonts w:hint="eastAsia"/>
        </w:rPr>
        <w:t>有限空间；</w:t>
      </w:r>
    </w:p>
    <w:p>
      <w:pPr>
        <w:pStyle w:val="178"/>
      </w:pPr>
      <w:r>
        <w:rPr>
          <w:rFonts w:hint="eastAsia"/>
        </w:rPr>
        <w:t>电动自行车（电动轮椅）集中停放、充电场所。</w:t>
      </w:r>
    </w:p>
    <w:bookmarkEnd w:id="69"/>
    <w:p>
      <w:pPr>
        <w:pStyle w:val="169"/>
        <w:ind w:left="0"/>
        <w:jc w:val="left"/>
      </w:pPr>
      <w:r>
        <w:rPr>
          <w:rFonts w:hint="eastAsia"/>
        </w:rPr>
        <w:t>应建立隐患排查治理档案，隐患问题应上账尽上帐，内容包括隐患情况、产生原因及后果分析、整改措施、应急预案、资金、完成期限、整改责任部门及责任人、完成情况等内容，形成隐患问题“检查、上账、整改、销账”闭环管理。</w:t>
      </w:r>
    </w:p>
    <w:p>
      <w:pPr>
        <w:pStyle w:val="169"/>
        <w:ind w:left="0"/>
        <w:jc w:val="left"/>
      </w:pPr>
      <w:r>
        <w:rPr>
          <w:rFonts w:hint="eastAsia"/>
        </w:rPr>
        <w:t>隐患排查治理结果应定期向主要负责人、从业人员和居住老年人通报。</w:t>
      </w:r>
    </w:p>
    <w:p>
      <w:pPr>
        <w:pStyle w:val="169"/>
        <w:ind w:left="0"/>
        <w:jc w:val="left"/>
      </w:pPr>
      <w:r>
        <w:rPr>
          <w:rFonts w:hint="eastAsia"/>
        </w:rPr>
        <w:t>在事故隐患治理过程中应采取相应的监控和防范措施，必要时应派人员值守。事故隐患消除前或者消除过程中无法保证安全的，应从危险区域内撤出作业人员，疏散可能危及的人员，设置警戒标志，暂时停止使用相关装置、设备、设施。</w:t>
      </w:r>
    </w:p>
    <w:p>
      <w:pPr>
        <w:pStyle w:val="169"/>
        <w:ind w:left="0"/>
        <w:jc w:val="left"/>
      </w:pPr>
      <w:r>
        <w:rPr>
          <w:rFonts w:hint="eastAsia"/>
        </w:rPr>
        <w:t>隐患排查过程中发现新的风险时，应纳入安全风险分级管控工作。</w:t>
      </w:r>
    </w:p>
    <w:bookmarkEnd w:id="62"/>
    <w:p>
      <w:pPr>
        <w:pStyle w:val="108"/>
        <w:spacing w:before="312" w:after="312"/>
      </w:pPr>
      <w:bookmarkStart w:id="70" w:name="_Toc144037879"/>
      <w:r>
        <w:rPr>
          <w:rFonts w:hint="eastAsia"/>
        </w:rPr>
        <w:t>应急预案管理</w:t>
      </w:r>
      <w:bookmarkEnd w:id="70"/>
    </w:p>
    <w:p>
      <w:pPr>
        <w:pStyle w:val="109"/>
        <w:spacing w:before="156" w:after="156"/>
        <w:ind w:left="0"/>
      </w:pPr>
      <w:bookmarkStart w:id="71" w:name="_Toc142569559"/>
      <w:bookmarkStart w:id="72" w:name="_Toc144037880"/>
      <w:r>
        <w:rPr>
          <w:rFonts w:hint="eastAsia"/>
        </w:rPr>
        <w:t>预案</w:t>
      </w:r>
      <w:bookmarkEnd w:id="71"/>
      <w:r>
        <w:rPr>
          <w:rFonts w:hint="eastAsia"/>
        </w:rPr>
        <w:t>构成</w:t>
      </w:r>
      <w:bookmarkEnd w:id="72"/>
    </w:p>
    <w:p>
      <w:pPr>
        <w:pStyle w:val="169"/>
        <w:ind w:left="0"/>
        <w:jc w:val="left"/>
      </w:pPr>
      <w:r>
        <w:rPr>
          <w:rFonts w:hint="eastAsia"/>
        </w:rPr>
        <w:t>应结合本单位的风险辨识评估结果和可能发生的突发事件，建立应急预案体系，包括综合应急预案、专项应急预案和现场处置方案。</w:t>
      </w:r>
    </w:p>
    <w:p>
      <w:pPr>
        <w:pStyle w:val="169"/>
        <w:ind w:left="0"/>
        <w:jc w:val="left"/>
      </w:pPr>
      <w:r>
        <w:rPr>
          <w:rFonts w:hint="eastAsia"/>
        </w:rPr>
        <w:t>综合应急预案是养老服务机构预案体系的总纲，是应对突发事件、事故的规范性文件，对某一类型或几种类型突发事件、事故而制订的涉及数个部门相互协调共同处理、救援事故的综合应急对策。专项应急预案是为应对某一类型突发事件而制订的专项应急预案。现场处理方案是针对具体的装置、场所或设施、岗位所制定的应急处置措施。</w:t>
      </w:r>
    </w:p>
    <w:p>
      <w:pPr>
        <w:pStyle w:val="169"/>
        <w:ind w:left="0"/>
        <w:jc w:val="left"/>
      </w:pPr>
      <w:r>
        <w:rPr>
          <w:rFonts w:hint="eastAsia"/>
        </w:rPr>
        <w:t>养老服务机构应急预案体系建议清单参见附录B。</w:t>
      </w:r>
    </w:p>
    <w:p>
      <w:pPr>
        <w:pStyle w:val="169"/>
        <w:ind w:left="0"/>
        <w:jc w:val="left"/>
      </w:pPr>
      <w:r>
        <w:rPr>
          <w:rFonts w:hint="eastAsia"/>
        </w:rPr>
        <w:t>养老服务机构突发事件风险评估结果为高风险的，应编制专项预案。事故风险单一、危险性小的，可只编写现场处置方案。</w:t>
      </w:r>
    </w:p>
    <w:p>
      <w:pPr>
        <w:pStyle w:val="169"/>
        <w:ind w:left="0"/>
        <w:jc w:val="left"/>
      </w:pPr>
      <w:r>
        <w:rPr>
          <w:rFonts w:hint="eastAsia"/>
        </w:rPr>
        <w:t>应急预案之间及相关内容应相互衔接，综合应急预案以及较重要的专项应急预案还应与属地政府、行业管理部门的应急预案相衔接。</w:t>
      </w:r>
    </w:p>
    <w:p>
      <w:pPr>
        <w:pStyle w:val="109"/>
        <w:spacing w:before="156" w:after="156"/>
        <w:ind w:left="0"/>
      </w:pPr>
      <w:bookmarkStart w:id="73" w:name="_Toc144037881"/>
      <w:r>
        <w:rPr>
          <w:rFonts w:hint="eastAsia"/>
        </w:rPr>
        <w:t>预案编制</w:t>
      </w:r>
      <w:bookmarkEnd w:id="73"/>
    </w:p>
    <w:p>
      <w:pPr>
        <w:pStyle w:val="169"/>
        <w:ind w:left="0"/>
        <w:jc w:val="left"/>
      </w:pPr>
      <w:r>
        <w:rPr>
          <w:rFonts w:hint="eastAsia"/>
        </w:rPr>
        <w:t>应按照GB</w:t>
      </w:r>
      <w:r>
        <w:t>/T 29639</w:t>
      </w:r>
      <w:r>
        <w:rPr>
          <w:rFonts w:hint="eastAsia"/>
        </w:rPr>
        <w:t>规定的程序要求组织开展应急预案的编制工作，成立应急预案编制工作小组，由本单位有关负责人任组长，吸收与应急预案有关的职能部门和单位的人员，以及有现场处置经验的人员参加。</w:t>
      </w:r>
    </w:p>
    <w:p>
      <w:pPr>
        <w:pStyle w:val="169"/>
        <w:ind w:left="0"/>
        <w:jc w:val="left"/>
      </w:pPr>
      <w:r>
        <w:rPr>
          <w:rFonts w:hint="eastAsia"/>
        </w:rPr>
        <w:t>应急预案编制前应进行风险识别和评估、对应急资源情况进行调查和评估。应急资源调查内容包括但不限于：</w:t>
      </w:r>
    </w:p>
    <w:p>
      <w:pPr>
        <w:pStyle w:val="178"/>
        <w:numPr>
          <w:ilvl w:val="0"/>
          <w:numId w:val="36"/>
        </w:numPr>
      </w:pPr>
      <w:r>
        <w:rPr>
          <w:rFonts w:hint="eastAsia"/>
        </w:rPr>
        <w:t>内部应急资源：本单位可调用的应急队伍、装备、物资、场所；针对生产过程及存在的风险可采取的监测、监控、报警手段等；</w:t>
      </w:r>
    </w:p>
    <w:p>
      <w:pPr>
        <w:pStyle w:val="178"/>
        <w:numPr>
          <w:ilvl w:val="0"/>
          <w:numId w:val="36"/>
        </w:numPr>
      </w:pPr>
      <w:r>
        <w:rPr>
          <w:rFonts w:hint="eastAsia"/>
        </w:rPr>
        <w:t>外部可用资源：上级单位、当地政府及周边企业可提供的应急资源，可调谐使用的医疗、消防、专业抢险救援机构及其他社会化应急救援力量等。</w:t>
      </w:r>
    </w:p>
    <w:p>
      <w:pPr>
        <w:pStyle w:val="169"/>
        <w:ind w:left="0"/>
        <w:jc w:val="left"/>
      </w:pPr>
      <w:r>
        <w:rPr>
          <w:rFonts w:hint="eastAsia"/>
        </w:rPr>
        <w:t>应急预案的内容应符合GB/T 29639的有关要求。灭火和疏散应急预案编制还应符合GB/T 38315和DB11/T 2103.2的要求，针对失能失智老年人，应当明确专门的疏散和安置措施，逐一明确负责疏散的工作人员。</w:t>
      </w:r>
    </w:p>
    <w:p>
      <w:pPr>
        <w:pStyle w:val="169"/>
        <w:ind w:left="0"/>
        <w:jc w:val="left"/>
      </w:pPr>
      <w:r>
        <w:rPr>
          <w:rFonts w:hint="eastAsia"/>
        </w:rPr>
        <w:t>应急预案经评审或者论证后，由法定代表人或主要负责人签署，在机构内发布。</w:t>
      </w:r>
    </w:p>
    <w:p>
      <w:pPr>
        <w:pStyle w:val="169"/>
        <w:ind w:left="0"/>
        <w:jc w:val="left"/>
      </w:pPr>
      <w:r>
        <w:rPr>
          <w:rFonts w:hint="eastAsia"/>
        </w:rPr>
        <w:t>应建立应急预案定期评估制度，对预案内容的针对性和实用性进行分析，并对应急预案是否需要修订做出结论。</w:t>
      </w:r>
    </w:p>
    <w:p>
      <w:pPr>
        <w:pStyle w:val="169"/>
        <w:ind w:left="0"/>
        <w:jc w:val="left"/>
      </w:pPr>
      <w:r>
        <w:rPr>
          <w:rFonts w:hint="eastAsia"/>
        </w:rPr>
        <w:t>有下列情形之一的，应急预案应及时修订：</w:t>
      </w:r>
    </w:p>
    <w:p>
      <w:pPr>
        <w:pStyle w:val="178"/>
        <w:numPr>
          <w:ilvl w:val="0"/>
          <w:numId w:val="37"/>
        </w:numPr>
      </w:pPr>
      <w:r>
        <w:rPr>
          <w:rFonts w:hint="eastAsia"/>
        </w:rPr>
        <w:t>依据的法律、行政法规、规章、标准、上位预案中的有关规定发生变化的；</w:t>
      </w:r>
    </w:p>
    <w:p>
      <w:pPr>
        <w:pStyle w:val="178"/>
      </w:pPr>
      <w:r>
        <w:rPr>
          <w:rFonts w:hint="eastAsia"/>
        </w:rPr>
        <w:t>应急组织机构及其职责发生调整的；</w:t>
      </w:r>
    </w:p>
    <w:p>
      <w:pPr>
        <w:pStyle w:val="178"/>
      </w:pPr>
      <w:r>
        <w:rPr>
          <w:rFonts w:hint="eastAsia"/>
        </w:rPr>
        <w:t>危险源、危险区域发生变化或风险评估、隐患排查后认为存在一定风险及隐患，需要强化控制措施的；</w:t>
      </w:r>
    </w:p>
    <w:p>
      <w:pPr>
        <w:pStyle w:val="178"/>
      </w:pPr>
      <w:r>
        <w:t>重要应急资源发生重大变化的</w:t>
      </w:r>
      <w:r>
        <w:rPr>
          <w:rFonts w:hint="eastAsia"/>
        </w:rPr>
        <w:t>；</w:t>
      </w:r>
    </w:p>
    <w:p>
      <w:pPr>
        <w:pStyle w:val="178"/>
      </w:pPr>
      <w:r>
        <w:t>在突发事件实际应对和应急演练中发现问题需要作出重大调整的</w:t>
      </w:r>
      <w:r>
        <w:rPr>
          <w:rFonts w:hint="eastAsia"/>
        </w:rPr>
        <w:t>；</w:t>
      </w:r>
    </w:p>
    <w:p>
      <w:pPr>
        <w:pStyle w:val="178"/>
      </w:pPr>
      <w:r>
        <w:rPr>
          <w:rFonts w:hint="eastAsia"/>
        </w:rPr>
        <w:t>应急预案管理部门、行业主管部门要求修订的；</w:t>
      </w:r>
    </w:p>
    <w:p>
      <w:pPr>
        <w:pStyle w:val="178"/>
      </w:pPr>
      <w:r>
        <w:t>认为应修订的其他情况</w:t>
      </w:r>
      <w:r>
        <w:rPr>
          <w:rFonts w:hint="eastAsia"/>
        </w:rPr>
        <w:t>。</w:t>
      </w:r>
    </w:p>
    <w:p>
      <w:pPr>
        <w:pStyle w:val="109"/>
        <w:spacing w:before="156" w:after="156"/>
        <w:ind w:left="0"/>
      </w:pPr>
      <w:bookmarkStart w:id="74" w:name="_Toc144037882"/>
      <w:r>
        <w:rPr>
          <w:rFonts w:hint="eastAsia"/>
        </w:rPr>
        <w:t>预案演练</w:t>
      </w:r>
      <w:bookmarkEnd w:id="74"/>
    </w:p>
    <w:p>
      <w:pPr>
        <w:pStyle w:val="169"/>
        <w:ind w:left="0"/>
        <w:jc w:val="left"/>
      </w:pPr>
      <w:r>
        <w:rPr>
          <w:rFonts w:hint="eastAsia"/>
        </w:rPr>
        <w:t>应制定年度演练计划，每年定期组织开展应急演练。每年至少组织1次综合应急预案或者专项应急预案演练，每半年至少组织1次现场处置方案演练。其中灭火和应急疏散等专项应急演练还应符合DB11/T 2103.2的要求。</w:t>
      </w:r>
    </w:p>
    <w:p>
      <w:pPr>
        <w:pStyle w:val="169"/>
        <w:ind w:left="0"/>
        <w:jc w:val="left"/>
      </w:pPr>
      <w:r>
        <w:rPr>
          <w:rFonts w:hint="eastAsia"/>
        </w:rPr>
        <w:t>应急演练的准备和实施应符合</w:t>
      </w:r>
      <w:r>
        <w:t>AQ/T 9007</w:t>
      </w:r>
      <w:r>
        <w:rPr>
          <w:rFonts w:hint="eastAsia"/>
        </w:rPr>
        <w:t>的规定。</w:t>
      </w:r>
    </w:p>
    <w:p>
      <w:pPr>
        <w:pStyle w:val="169"/>
        <w:ind w:left="0"/>
        <w:jc w:val="left"/>
      </w:pPr>
      <w:r>
        <w:rPr>
          <w:rFonts w:hint="eastAsia"/>
        </w:rPr>
        <w:t>应急演练的评估应符合</w:t>
      </w:r>
      <w:r>
        <w:t>AQ/T 9009</w:t>
      </w:r>
      <w:r>
        <w:rPr>
          <w:rFonts w:hint="eastAsia"/>
        </w:rPr>
        <w:t>的规定。</w:t>
      </w:r>
    </w:p>
    <w:p>
      <w:pPr>
        <w:pStyle w:val="169"/>
        <w:ind w:left="0"/>
        <w:jc w:val="left"/>
      </w:pPr>
      <w:r>
        <w:rPr>
          <w:rFonts w:hint="eastAsia"/>
        </w:rPr>
        <w:t>应急演练应覆盖养老机构突发事件处置的各类工作人员，部分演练宜设置老年人参与。</w:t>
      </w:r>
    </w:p>
    <w:p>
      <w:pPr>
        <w:pStyle w:val="169"/>
        <w:ind w:left="0"/>
        <w:jc w:val="left"/>
      </w:pPr>
      <w:r>
        <w:rPr>
          <w:rFonts w:hint="eastAsia"/>
        </w:rPr>
        <w:t>宜与周边单位、社区微型消防站及消防救援机构、医院等建立联络机制，开展联合演练。</w:t>
      </w:r>
    </w:p>
    <w:p>
      <w:pPr>
        <w:pStyle w:val="108"/>
        <w:spacing w:before="312" w:after="312"/>
      </w:pPr>
      <w:bookmarkStart w:id="75" w:name="_Toc144037883"/>
      <w:r>
        <w:rPr>
          <w:rFonts w:hint="eastAsia"/>
        </w:rPr>
        <w:t>应急处置</w:t>
      </w:r>
      <w:bookmarkEnd w:id="75"/>
    </w:p>
    <w:p>
      <w:pPr>
        <w:pStyle w:val="166"/>
      </w:pPr>
      <w:r>
        <w:rPr>
          <w:rFonts w:hint="eastAsia"/>
        </w:rPr>
        <w:t>生产安全事故发生后，现场人员应立即向本单位应急管理工作领导小组或办公室报告，主要负责人应最迟1小时内依法向属地政府、行业主管部门和应急管理部门报告。</w:t>
      </w:r>
    </w:p>
    <w:p>
      <w:pPr>
        <w:pStyle w:val="166"/>
      </w:pPr>
      <w:r>
        <w:rPr>
          <w:rFonts w:hint="eastAsia"/>
        </w:rPr>
        <w:t>信息报告内容要简明准确、要素完整、重点突出，内容应包括：时间、地点、原因、事件类型、伤亡和损失情况、影响范围、危险程度、发展趋势、潜在次生灾害、处置措施等。</w:t>
      </w:r>
    </w:p>
    <w:p>
      <w:pPr>
        <w:pStyle w:val="166"/>
      </w:pPr>
      <w:r>
        <w:rPr>
          <w:rFonts w:hint="eastAsia"/>
        </w:rPr>
        <w:t>领导小组接到信息报告后，应根据情况立即启动相应的应急预案，主要负责人或分管领导应第一时间赶赴现场实施应急指挥，并按照规定向政府相关部门进行续报，事件处置结束后，进行终报。</w:t>
      </w:r>
    </w:p>
    <w:p>
      <w:pPr>
        <w:pStyle w:val="166"/>
      </w:pPr>
      <w:r>
        <w:rPr>
          <w:rFonts w:hint="eastAsia"/>
        </w:rPr>
        <w:t xml:space="preserve">应急管理工作办公室应立即通知各应急处置工作小组开展现场救援工作，组织协调突发事件先期处置，开展信息收集工作，及时将突发事件处置的新进展和衍生的新情况等重要信息上报领导小组。 </w:t>
      </w:r>
    </w:p>
    <w:p>
      <w:pPr>
        <w:pStyle w:val="166"/>
      </w:pPr>
      <w:r>
        <w:rPr>
          <w:rFonts w:hint="eastAsia"/>
        </w:rPr>
        <w:t>应急处置工作小组立即采取相应行动，集合应急人员、领取应急物资立即赶赴事发现场，按照应急预案规定的程序、方法、技术措施等开展现场应急处置与救援。</w:t>
      </w:r>
      <w:bookmarkStart w:id="76" w:name="_Hlk142900135"/>
    </w:p>
    <w:p>
      <w:pPr>
        <w:pStyle w:val="166"/>
      </w:pPr>
      <w:r>
        <w:rPr>
          <w:rFonts w:hint="eastAsia"/>
        </w:rPr>
        <w:t>接到气象台或上级政府组织发出的自然灾害预警时，应启动预警响应，做好灾害防范和应对工作。工程抢险救灾组应检查配电室、地下室、建筑外墙、门窗等安全，开展加固工作、抽排水等工作，人员疏散组应将老年人转移疏散至安全区域，后勤保障组确定保障应急物资、应急食品等供应保障。</w:t>
      </w:r>
    </w:p>
    <w:p>
      <w:pPr>
        <w:pStyle w:val="166"/>
      </w:pPr>
      <w:r>
        <w:rPr>
          <w:rFonts w:hint="eastAsia"/>
        </w:rPr>
        <w:t>火灾事故处置应符合DB11/T</w:t>
      </w:r>
      <w:r>
        <w:t xml:space="preserve"> </w:t>
      </w:r>
      <w:r>
        <w:rPr>
          <w:rFonts w:hint="eastAsia"/>
        </w:rPr>
        <w:t>2104的有关要求。</w:t>
      </w:r>
    </w:p>
    <w:p>
      <w:pPr>
        <w:pStyle w:val="166"/>
      </w:pPr>
      <w:r>
        <w:rPr>
          <w:rFonts w:hint="eastAsia"/>
        </w:rPr>
        <w:t>发生水电气热、电梯等工程设备设施事故时，工程抢险救灾组携带抢修工具、设备组织实施抢修作业。</w:t>
      </w:r>
    </w:p>
    <w:p>
      <w:pPr>
        <w:pStyle w:val="166"/>
      </w:pPr>
      <w:r>
        <w:rPr>
          <w:rFonts w:hint="eastAsia"/>
        </w:rPr>
        <w:t>当突发事件超出养老机构应对能力时，向及时向属地政府、应急管理部门和民政部门报告和请求支援。在上级政府应急指挥机构领导赶到现场后，现场指挥权立即移交给政府，并汇报事故情况、进展、风险及影响控制事态的关键因素等内容。</w:t>
      </w:r>
      <w:bookmarkEnd w:id="76"/>
    </w:p>
    <w:p>
      <w:pPr>
        <w:pStyle w:val="166"/>
      </w:pPr>
      <w:r>
        <w:rPr>
          <w:rFonts w:hint="eastAsia"/>
        </w:rPr>
        <w:t>可与相关单位建立应急联络机制，以便在应急救援中及时得到外部救援力量的支持。</w:t>
      </w:r>
    </w:p>
    <w:p>
      <w:pPr>
        <w:pStyle w:val="166"/>
      </w:pPr>
      <w:r>
        <w:rPr>
          <w:rFonts w:hint="eastAsia"/>
        </w:rPr>
        <w:t>事故应急处置工作结束，次生、衍生和事故危害因素被解除后，由领导小组决定并发布应急状态解除命令，现场应急结束。</w:t>
      </w:r>
    </w:p>
    <w:p>
      <w:pPr>
        <w:pStyle w:val="166"/>
      </w:pPr>
      <w:r>
        <w:rPr>
          <w:rFonts w:hint="eastAsia"/>
        </w:rPr>
        <w:t>应配合相关政府部门的危机公关和舆情应对工作。</w:t>
      </w:r>
    </w:p>
    <w:p>
      <w:pPr>
        <w:pStyle w:val="108"/>
        <w:spacing w:before="312" w:after="312"/>
      </w:pPr>
      <w:bookmarkStart w:id="77" w:name="_Toc144037884"/>
      <w:r>
        <w:rPr>
          <w:rFonts w:hint="eastAsia"/>
        </w:rPr>
        <w:t>事后恢复</w:t>
      </w:r>
      <w:bookmarkEnd w:id="77"/>
    </w:p>
    <w:p>
      <w:pPr>
        <w:pStyle w:val="166"/>
      </w:pPr>
      <w:r>
        <w:rPr>
          <w:rFonts w:hint="eastAsia"/>
        </w:rPr>
        <w:t>应急处置与救援结束后，应立即开展善后处理工作，宜包括以下工作：</w:t>
      </w:r>
    </w:p>
    <w:p>
      <w:pPr>
        <w:pStyle w:val="60"/>
        <w:ind w:firstLine="420"/>
      </w:pPr>
      <w:r>
        <w:rPr>
          <w:rFonts w:hint="eastAsia"/>
        </w:rPr>
        <w:t>a)</w:t>
      </w:r>
      <w:r>
        <w:rPr>
          <w:rFonts w:hint="eastAsia"/>
        </w:rPr>
        <w:tab/>
      </w:r>
      <w:r>
        <w:rPr>
          <w:rFonts w:hint="eastAsia"/>
        </w:rPr>
        <w:t>对受害人员进行抚恤处理，提供法律援助、心理咨询抚慰；</w:t>
      </w:r>
    </w:p>
    <w:p>
      <w:pPr>
        <w:pStyle w:val="60"/>
        <w:ind w:firstLine="420"/>
      </w:pPr>
      <w:r>
        <w:rPr>
          <w:rFonts w:hint="eastAsia"/>
        </w:rPr>
        <w:t>b)</w:t>
      </w:r>
      <w:r>
        <w:rPr>
          <w:rFonts w:hint="eastAsia"/>
        </w:rPr>
        <w:tab/>
      </w:r>
      <w:r>
        <w:rPr>
          <w:rFonts w:hint="eastAsia"/>
        </w:rPr>
        <w:t>对人员进人或返回现场的条件进行检查；</w:t>
      </w:r>
    </w:p>
    <w:p>
      <w:pPr>
        <w:pStyle w:val="60"/>
        <w:ind w:firstLine="420"/>
      </w:pPr>
      <w:r>
        <w:rPr>
          <w:rFonts w:hint="eastAsia"/>
        </w:rPr>
        <w:t>c)</w:t>
      </w:r>
      <w:r>
        <w:rPr>
          <w:rFonts w:hint="eastAsia"/>
        </w:rPr>
        <w:tab/>
      </w:r>
      <w:r>
        <w:rPr>
          <w:rFonts w:hint="eastAsia"/>
        </w:rPr>
        <w:t>清理现场及检测受影响区域；</w:t>
      </w:r>
    </w:p>
    <w:p>
      <w:pPr>
        <w:pStyle w:val="60"/>
        <w:ind w:firstLine="420"/>
      </w:pPr>
      <w:r>
        <w:rPr>
          <w:rFonts w:hint="eastAsia"/>
        </w:rPr>
        <w:t>d)</w:t>
      </w:r>
      <w:r>
        <w:rPr>
          <w:rFonts w:hint="eastAsia"/>
        </w:rPr>
        <w:tab/>
      </w:r>
      <w:r>
        <w:rPr>
          <w:rFonts w:hint="eastAsia"/>
        </w:rPr>
        <w:t>控制或消除环境污染；</w:t>
      </w:r>
    </w:p>
    <w:p>
      <w:pPr>
        <w:pStyle w:val="60"/>
        <w:ind w:firstLine="420"/>
      </w:pPr>
      <w:r>
        <w:rPr>
          <w:rFonts w:hint="eastAsia"/>
        </w:rPr>
        <w:t>e)</w:t>
      </w:r>
      <w:r>
        <w:rPr>
          <w:rFonts w:hint="eastAsia"/>
        </w:rPr>
        <w:tab/>
      </w:r>
      <w:r>
        <w:rPr>
          <w:rFonts w:hint="eastAsia"/>
        </w:rPr>
        <w:t>恢复供电、通信、供水、排水、道路通行：</w:t>
      </w:r>
    </w:p>
    <w:p>
      <w:pPr>
        <w:pStyle w:val="60"/>
        <w:ind w:firstLine="420"/>
      </w:pPr>
      <w:r>
        <w:rPr>
          <w:rFonts w:hint="eastAsia"/>
        </w:rPr>
        <w:t>f)</w:t>
      </w:r>
      <w:r>
        <w:rPr>
          <w:rFonts w:hint="eastAsia"/>
        </w:rPr>
        <w:tab/>
      </w:r>
      <w:r>
        <w:rPr>
          <w:rFonts w:hint="eastAsia"/>
        </w:rPr>
        <w:t>上报突发事件情况；</w:t>
      </w:r>
    </w:p>
    <w:p>
      <w:pPr>
        <w:pStyle w:val="60"/>
        <w:ind w:firstLine="420"/>
      </w:pPr>
      <w:r>
        <w:rPr>
          <w:rFonts w:hint="eastAsia"/>
        </w:rPr>
        <w:t>g)</w:t>
      </w:r>
      <w:r>
        <w:rPr>
          <w:rFonts w:hint="eastAsia"/>
        </w:rPr>
        <w:tab/>
      </w:r>
      <w:r>
        <w:rPr>
          <w:rFonts w:hint="eastAsia"/>
        </w:rPr>
        <w:t>对应急处置过程中消耗的应急物资进行补充；</w:t>
      </w:r>
    </w:p>
    <w:p>
      <w:pPr>
        <w:pStyle w:val="60"/>
        <w:ind w:firstLine="420"/>
      </w:pPr>
      <w:r>
        <w:rPr>
          <w:rFonts w:hint="eastAsia"/>
        </w:rPr>
        <w:t>h)</w:t>
      </w:r>
      <w:r>
        <w:rPr>
          <w:rFonts w:hint="eastAsia"/>
        </w:rPr>
        <w:tab/>
      </w:r>
      <w:r>
        <w:rPr>
          <w:rFonts w:hint="eastAsia"/>
        </w:rPr>
        <w:t>配合相关部门对事故现场开展事故调查。</w:t>
      </w:r>
    </w:p>
    <w:p>
      <w:pPr>
        <w:pStyle w:val="166"/>
      </w:pPr>
      <w:r>
        <w:rPr>
          <w:rFonts w:hint="eastAsia"/>
        </w:rPr>
        <w:t>应急处置结束后，领导小组应对突发事件应急处置与救援各方面、各个环节的工作，进行全面总结；对存在的问题与不足，提出改进措施。突发事件应急处置工作总结宜包括以下内容：</w:t>
      </w:r>
    </w:p>
    <w:p>
      <w:pPr>
        <w:pStyle w:val="60"/>
        <w:ind w:firstLine="420"/>
      </w:pPr>
      <w:r>
        <w:rPr>
          <w:rFonts w:hint="eastAsia"/>
        </w:rPr>
        <w:t>a)</w:t>
      </w:r>
      <w:r>
        <w:rPr>
          <w:rFonts w:hint="eastAsia"/>
        </w:rPr>
        <w:tab/>
      </w:r>
      <w:r>
        <w:rPr>
          <w:rFonts w:hint="eastAsia"/>
        </w:rPr>
        <w:t>信息接收、流转、报送情况；</w:t>
      </w:r>
    </w:p>
    <w:p>
      <w:pPr>
        <w:pStyle w:val="60"/>
        <w:ind w:firstLine="420"/>
      </w:pPr>
      <w:r>
        <w:rPr>
          <w:rFonts w:hint="eastAsia"/>
        </w:rPr>
        <w:t>b)</w:t>
      </w:r>
      <w:r>
        <w:rPr>
          <w:rFonts w:hint="eastAsia"/>
        </w:rPr>
        <w:tab/>
      </w:r>
      <w:r>
        <w:rPr>
          <w:rFonts w:hint="eastAsia"/>
        </w:rPr>
        <w:t>先期处置情况；</w:t>
      </w:r>
    </w:p>
    <w:p>
      <w:pPr>
        <w:pStyle w:val="60"/>
        <w:ind w:firstLine="420"/>
      </w:pPr>
      <w:r>
        <w:rPr>
          <w:rFonts w:hint="eastAsia"/>
        </w:rPr>
        <w:t>c)</w:t>
      </w:r>
      <w:r>
        <w:rPr>
          <w:rFonts w:hint="eastAsia"/>
        </w:rPr>
        <w:tab/>
      </w:r>
      <w:r>
        <w:rPr>
          <w:rFonts w:hint="eastAsia"/>
        </w:rPr>
        <w:t>应急处置与救援开展情况以及实际效果；</w:t>
      </w:r>
    </w:p>
    <w:p>
      <w:pPr>
        <w:pStyle w:val="60"/>
        <w:ind w:firstLine="420"/>
      </w:pPr>
      <w:r>
        <w:rPr>
          <w:rFonts w:hint="eastAsia"/>
        </w:rPr>
        <w:t>d)</w:t>
      </w:r>
      <w:r>
        <w:rPr>
          <w:rFonts w:hint="eastAsia"/>
        </w:rPr>
        <w:tab/>
      </w:r>
      <w:r>
        <w:rPr>
          <w:rFonts w:hint="eastAsia"/>
        </w:rPr>
        <w:t>现场制定的救援方案及执行情况；</w:t>
      </w:r>
    </w:p>
    <w:p>
      <w:pPr>
        <w:pStyle w:val="60"/>
        <w:ind w:firstLine="420"/>
      </w:pPr>
      <w:r>
        <w:rPr>
          <w:rFonts w:hint="eastAsia"/>
        </w:rPr>
        <w:t>e)</w:t>
      </w:r>
      <w:r>
        <w:rPr>
          <w:rFonts w:hint="eastAsia"/>
        </w:rPr>
        <w:tab/>
      </w:r>
      <w:r>
        <w:rPr>
          <w:rFonts w:hint="eastAsia"/>
        </w:rPr>
        <w:t>现场应急救援队伍工作情况；</w:t>
      </w:r>
    </w:p>
    <w:p>
      <w:pPr>
        <w:pStyle w:val="60"/>
        <w:ind w:firstLine="420"/>
      </w:pPr>
      <w:r>
        <w:rPr>
          <w:rFonts w:hint="eastAsia"/>
        </w:rPr>
        <w:t>f)</w:t>
      </w:r>
      <w:r>
        <w:rPr>
          <w:rFonts w:hint="eastAsia"/>
        </w:rPr>
        <w:tab/>
      </w:r>
      <w:r>
        <w:rPr>
          <w:rFonts w:hint="eastAsia"/>
        </w:rPr>
        <w:t>现场特殊情况的沟通与处理情况；</w:t>
      </w:r>
    </w:p>
    <w:p>
      <w:pPr>
        <w:pStyle w:val="60"/>
        <w:ind w:firstLine="420"/>
      </w:pPr>
      <w:r>
        <w:rPr>
          <w:rFonts w:hint="eastAsia"/>
        </w:rPr>
        <w:t>g)</w:t>
      </w:r>
      <w:r>
        <w:rPr>
          <w:rFonts w:hint="eastAsia"/>
        </w:rPr>
        <w:tab/>
      </w:r>
      <w:r>
        <w:rPr>
          <w:rFonts w:hint="eastAsia"/>
        </w:rPr>
        <w:t>现场管理和信息发布情况；</w:t>
      </w:r>
    </w:p>
    <w:p>
      <w:pPr>
        <w:pStyle w:val="60"/>
        <w:ind w:firstLine="420"/>
      </w:pPr>
      <w:r>
        <w:rPr>
          <w:rFonts w:hint="eastAsia"/>
        </w:rPr>
        <w:t>h)</w:t>
      </w:r>
      <w:r>
        <w:rPr>
          <w:rFonts w:hint="eastAsia"/>
        </w:rPr>
        <w:tab/>
      </w:r>
      <w:r>
        <w:rPr>
          <w:rFonts w:hint="eastAsia"/>
        </w:rPr>
        <w:t>应急资源保障情况：</w:t>
      </w:r>
    </w:p>
    <w:p>
      <w:pPr>
        <w:pStyle w:val="60"/>
        <w:ind w:firstLine="420"/>
      </w:pPr>
      <w:r>
        <w:rPr>
          <w:rFonts w:hint="eastAsia"/>
        </w:rPr>
        <w:t>i)</w:t>
      </w:r>
      <w:r>
        <w:rPr>
          <w:rFonts w:hint="eastAsia"/>
        </w:rPr>
        <w:tab/>
      </w:r>
      <w:r>
        <w:rPr>
          <w:rFonts w:hint="eastAsia"/>
        </w:rPr>
        <w:t>防控环境影响措施的执行情况；</w:t>
      </w:r>
    </w:p>
    <w:p>
      <w:pPr>
        <w:pStyle w:val="60"/>
        <w:ind w:firstLine="420"/>
      </w:pPr>
      <w:r>
        <w:rPr>
          <w:rFonts w:hint="eastAsia"/>
        </w:rPr>
        <w:t>j)</w:t>
      </w:r>
      <w:r>
        <w:rPr>
          <w:rFonts w:hint="eastAsia"/>
        </w:rPr>
        <w:tab/>
      </w:r>
      <w:r>
        <w:rPr>
          <w:rFonts w:hint="eastAsia"/>
        </w:rPr>
        <w:t>应急处置与救援成效、经验和教训。</w:t>
      </w:r>
    </w:p>
    <w:p>
      <w:pPr>
        <w:pStyle w:val="108"/>
        <w:spacing w:before="312" w:after="312"/>
      </w:pPr>
      <w:bookmarkStart w:id="78" w:name="_Toc144037885"/>
      <w:r>
        <w:rPr>
          <w:rFonts w:hint="eastAsia"/>
        </w:rPr>
        <w:t>应急保障</w:t>
      </w:r>
      <w:bookmarkEnd w:id="78"/>
    </w:p>
    <w:p>
      <w:pPr>
        <w:pStyle w:val="109"/>
        <w:spacing w:before="156" w:after="156"/>
        <w:ind w:left="0"/>
      </w:pPr>
      <w:bookmarkStart w:id="79" w:name="_Toc144037886"/>
      <w:r>
        <w:rPr>
          <w:rFonts w:hint="eastAsia"/>
        </w:rPr>
        <w:t>人员保障</w:t>
      </w:r>
      <w:bookmarkEnd w:id="79"/>
    </w:p>
    <w:p>
      <w:pPr>
        <w:pStyle w:val="169"/>
        <w:ind w:left="0"/>
        <w:jc w:val="left"/>
      </w:pPr>
      <w:r>
        <w:rPr>
          <w:rFonts w:hint="eastAsia"/>
        </w:rPr>
        <w:t>应设置专职或兼职的应急管理工作人员至少1人。</w:t>
      </w:r>
    </w:p>
    <w:p>
      <w:pPr>
        <w:pStyle w:val="169"/>
        <w:ind w:left="0"/>
        <w:jc w:val="left"/>
      </w:pPr>
      <w:r>
        <w:rPr>
          <w:rFonts w:hint="eastAsia"/>
        </w:rPr>
        <w:t>应安排应急值守人员不少2人，实行24小时值班，可有消防控制室值班人员兼任应急值守工作。</w:t>
      </w:r>
    </w:p>
    <w:p>
      <w:pPr>
        <w:pStyle w:val="169"/>
        <w:ind w:left="0"/>
        <w:jc w:val="left"/>
      </w:pPr>
      <w:r>
        <w:rPr>
          <w:rFonts w:hint="eastAsia"/>
        </w:rPr>
        <w:t>消防控制室值班人员应取得相应的岗位资格。从事特种作业和特种设备作业人员应取得相应的岗位资格。</w:t>
      </w:r>
    </w:p>
    <w:p>
      <w:pPr>
        <w:pStyle w:val="169"/>
        <w:ind w:left="0"/>
        <w:jc w:val="left"/>
      </w:pPr>
      <w:bookmarkStart w:id="80" w:name="_Hlk142901192"/>
      <w:r>
        <w:rPr>
          <w:rFonts w:hint="eastAsia"/>
        </w:rPr>
        <w:t>属于重点消防单位、火灾高危单位的养老服务机构，应明确消防安全管理人、消防安全归口管理部门，建立微型消防站。</w:t>
      </w:r>
      <w:bookmarkEnd w:id="80"/>
    </w:p>
    <w:p>
      <w:pPr>
        <w:pStyle w:val="169"/>
        <w:ind w:left="0"/>
        <w:jc w:val="left"/>
      </w:pPr>
      <w:r>
        <w:rPr>
          <w:rFonts w:hint="eastAsia"/>
        </w:rPr>
        <w:t>宜建立应急救援队伍，包括不限于：</w:t>
      </w:r>
    </w:p>
    <w:p>
      <w:pPr>
        <w:pStyle w:val="169"/>
        <w:numPr>
          <w:ilvl w:val="0"/>
          <w:numId w:val="38"/>
        </w:numPr>
      </w:pPr>
      <w:bookmarkStart w:id="81" w:name="_Hlk142901068"/>
      <w:r>
        <w:rPr>
          <w:rFonts w:hint="eastAsia"/>
        </w:rPr>
        <w:t>微型消防站或志愿消防队；</w:t>
      </w:r>
    </w:p>
    <w:p>
      <w:pPr>
        <w:pStyle w:val="169"/>
        <w:numPr>
          <w:ilvl w:val="0"/>
          <w:numId w:val="38"/>
        </w:numPr>
      </w:pPr>
      <w:r>
        <w:rPr>
          <w:rFonts w:hint="eastAsia"/>
        </w:rPr>
        <w:t>工程抢险队伍；</w:t>
      </w:r>
    </w:p>
    <w:p>
      <w:pPr>
        <w:pStyle w:val="169"/>
        <w:numPr>
          <w:ilvl w:val="0"/>
          <w:numId w:val="38"/>
        </w:numPr>
      </w:pPr>
      <w:r>
        <w:rPr>
          <w:rFonts w:hint="eastAsia"/>
        </w:rPr>
        <w:t>人员疏散队伍；</w:t>
      </w:r>
    </w:p>
    <w:p>
      <w:pPr>
        <w:pStyle w:val="169"/>
        <w:numPr>
          <w:ilvl w:val="0"/>
          <w:numId w:val="38"/>
        </w:numPr>
      </w:pPr>
      <w:r>
        <w:rPr>
          <w:rFonts w:hint="eastAsia"/>
        </w:rPr>
        <w:t>医疗救护队伍。</w:t>
      </w:r>
    </w:p>
    <w:bookmarkEnd w:id="81"/>
    <w:p>
      <w:pPr>
        <w:pStyle w:val="169"/>
        <w:ind w:left="0"/>
        <w:jc w:val="left"/>
      </w:pPr>
      <w:r>
        <w:rPr>
          <w:rFonts w:hint="eastAsia"/>
        </w:rPr>
        <w:t>应急队伍应配备必要的应急救援装备和物资，并定期组织训练。</w:t>
      </w:r>
    </w:p>
    <w:p>
      <w:pPr>
        <w:pStyle w:val="169"/>
        <w:ind w:left="0"/>
        <w:jc w:val="left"/>
      </w:pPr>
      <w:r>
        <w:rPr>
          <w:rFonts w:hint="eastAsia"/>
        </w:rPr>
        <w:t>应建立应急队伍管理档案，档案内容包括应急队伍组成、应急队伍的专业技能、培训记录等，建立应急队伍人员必备信息，包括姓名、部门、职位、职责、联系方式。</w:t>
      </w:r>
    </w:p>
    <w:p>
      <w:pPr>
        <w:pStyle w:val="169"/>
        <w:ind w:left="0"/>
        <w:jc w:val="left"/>
      </w:pPr>
      <w:r>
        <w:rPr>
          <w:rFonts w:hint="eastAsia"/>
        </w:rPr>
        <w:t>结合本单位的应急能力，宜与外部应急救援力量建立救援协议。</w:t>
      </w:r>
    </w:p>
    <w:p>
      <w:pPr>
        <w:pStyle w:val="109"/>
        <w:spacing w:before="156" w:after="156"/>
        <w:ind w:left="0"/>
      </w:pPr>
      <w:bookmarkStart w:id="82" w:name="_Toc144037887"/>
      <w:r>
        <w:rPr>
          <w:rFonts w:hint="eastAsia"/>
        </w:rPr>
        <w:t>物资保障</w:t>
      </w:r>
      <w:bookmarkEnd w:id="82"/>
    </w:p>
    <w:p>
      <w:pPr>
        <w:pStyle w:val="169"/>
        <w:ind w:left="0"/>
        <w:jc w:val="left"/>
      </w:pPr>
      <w:r>
        <w:rPr>
          <w:rFonts w:hint="eastAsia"/>
        </w:rPr>
        <w:t>应根据实际情况储备消防、防汛、工程抢险救援、医疗救护和生活救助等常用物资和装备，满足养老机构应急工作需要。</w:t>
      </w:r>
    </w:p>
    <w:p>
      <w:pPr>
        <w:pStyle w:val="169"/>
        <w:ind w:left="0"/>
        <w:jc w:val="left"/>
      </w:pPr>
      <w:r>
        <w:rPr>
          <w:rFonts w:hint="eastAsia"/>
        </w:rPr>
        <w:t>应急物资配备建议清单参见附录C。</w:t>
      </w:r>
    </w:p>
    <w:p>
      <w:pPr>
        <w:pStyle w:val="169"/>
        <w:ind w:left="0"/>
        <w:jc w:val="left"/>
      </w:pPr>
      <w:r>
        <w:rPr>
          <w:rFonts w:hint="eastAsia"/>
        </w:rPr>
        <w:t>应建立应急物资管理台账，安排专人管理，并定期检查、维护、保养并形成相关记录，保持应急物资性能正常有效。</w:t>
      </w:r>
    </w:p>
    <w:p>
      <w:pPr>
        <w:pStyle w:val="169"/>
        <w:ind w:left="0"/>
        <w:jc w:val="left"/>
      </w:pPr>
      <w:r>
        <w:rPr>
          <w:rFonts w:hint="eastAsia"/>
        </w:rPr>
        <w:t>应急物资应符合国家规定、具备相应功能、不存在过期情况。</w:t>
      </w:r>
    </w:p>
    <w:p>
      <w:pPr>
        <w:pStyle w:val="109"/>
        <w:spacing w:before="156" w:after="156"/>
        <w:ind w:left="0"/>
      </w:pPr>
      <w:bookmarkStart w:id="83" w:name="_Toc144037888"/>
      <w:r>
        <w:rPr>
          <w:rFonts w:hint="eastAsia"/>
        </w:rPr>
        <w:t>资金保障</w:t>
      </w:r>
      <w:bookmarkEnd w:id="83"/>
    </w:p>
    <w:p>
      <w:pPr>
        <w:pStyle w:val="169"/>
        <w:ind w:left="0"/>
        <w:jc w:val="left"/>
      </w:pPr>
      <w:r>
        <w:rPr>
          <w:rFonts w:hint="eastAsia"/>
        </w:rPr>
        <w:t>应设置应对突发事件的专项资金或建立应急资金调用机制。</w:t>
      </w:r>
    </w:p>
    <w:p>
      <w:pPr>
        <w:pStyle w:val="169"/>
        <w:ind w:left="0"/>
        <w:jc w:val="left"/>
      </w:pPr>
      <w:r>
        <w:rPr>
          <w:rFonts w:hint="eastAsia"/>
        </w:rPr>
        <w:t>专项资金应用于突发事件的应急处置与救援、事后恢复与重建等活动支出，具体包括：</w:t>
      </w:r>
    </w:p>
    <w:p>
      <w:pPr>
        <w:pStyle w:val="178"/>
        <w:numPr>
          <w:ilvl w:val="0"/>
          <w:numId w:val="39"/>
        </w:numPr>
      </w:pPr>
      <w:r>
        <w:rPr>
          <w:rFonts w:hint="eastAsia"/>
        </w:rPr>
        <w:t>突发事件应急处置和救援中投入、调用的人力、物力、财力等相关费用；</w:t>
      </w:r>
    </w:p>
    <w:p>
      <w:pPr>
        <w:pStyle w:val="178"/>
      </w:pPr>
      <w:r>
        <w:rPr>
          <w:rFonts w:hint="eastAsia"/>
        </w:rPr>
        <w:t>应急救援储备物资、设备、设施、器材、工具等的补充、更新、保养、维修等费用；</w:t>
      </w:r>
    </w:p>
    <w:p>
      <w:pPr>
        <w:pStyle w:val="178"/>
      </w:pPr>
      <w:r>
        <w:rPr>
          <w:rFonts w:hint="eastAsia"/>
        </w:rPr>
        <w:t>突发事件的调查处理、应急救援工作评估、改进等产生的费用；</w:t>
      </w:r>
    </w:p>
    <w:p>
      <w:pPr>
        <w:pStyle w:val="178"/>
      </w:pPr>
      <w:r>
        <w:rPr>
          <w:rFonts w:hint="eastAsia"/>
        </w:rPr>
        <w:t>对应急救援队伍进行教育培训支出的费用；</w:t>
      </w:r>
    </w:p>
    <w:p>
      <w:pPr>
        <w:pStyle w:val="178"/>
      </w:pPr>
      <w:r>
        <w:rPr>
          <w:rFonts w:hint="eastAsia"/>
        </w:rPr>
        <w:t>对在参加应急救援工作期间表现突出、成绩显著的人员给予的奖励费用；</w:t>
      </w:r>
    </w:p>
    <w:p>
      <w:pPr>
        <w:pStyle w:val="178"/>
      </w:pPr>
      <w:r>
        <w:rPr>
          <w:rFonts w:hint="eastAsia"/>
        </w:rPr>
        <w:t>其他与突发事件应急救援、处置有关的支出。</w:t>
      </w:r>
    </w:p>
    <w:p>
      <w:pPr>
        <w:pStyle w:val="109"/>
        <w:spacing w:before="156" w:after="156"/>
        <w:ind w:left="0"/>
      </w:pPr>
      <w:bookmarkStart w:id="84" w:name="_Toc144037889"/>
      <w:r>
        <w:rPr>
          <w:rFonts w:hint="eastAsia"/>
        </w:rPr>
        <w:t>技术保障</w:t>
      </w:r>
      <w:bookmarkEnd w:id="84"/>
    </w:p>
    <w:p>
      <w:pPr>
        <w:pStyle w:val="169"/>
        <w:ind w:left="0"/>
        <w:jc w:val="left"/>
      </w:pPr>
      <w:r>
        <w:rPr>
          <w:rFonts w:hint="eastAsia"/>
        </w:rPr>
        <w:t>应对建筑消防设施实施维护管理，并应符合GB 25201的规定。消防控制室的维护管理应符合GB 25506的规定。</w:t>
      </w:r>
    </w:p>
    <w:p>
      <w:pPr>
        <w:pStyle w:val="169"/>
        <w:ind w:left="0"/>
        <w:jc w:val="left"/>
      </w:pPr>
      <w:r>
        <w:rPr>
          <w:rFonts w:hint="eastAsia"/>
        </w:rPr>
        <w:t>应每年对防雷装置进行检测。</w:t>
      </w:r>
    </w:p>
    <w:p>
      <w:pPr>
        <w:pStyle w:val="169"/>
        <w:ind w:left="0"/>
        <w:jc w:val="left"/>
      </w:pPr>
      <w:r>
        <w:rPr>
          <w:rFonts w:hint="eastAsia"/>
        </w:rPr>
        <w:t>应定期对电气防火安全系统进行检测。</w:t>
      </w:r>
    </w:p>
    <w:p>
      <w:pPr>
        <w:pStyle w:val="109"/>
        <w:spacing w:before="156" w:after="156"/>
        <w:ind w:left="0"/>
      </w:pPr>
      <w:bookmarkStart w:id="85" w:name="_Toc144037890"/>
      <w:r>
        <w:rPr>
          <w:rFonts w:hint="eastAsia"/>
        </w:rPr>
        <w:t>设施保障</w:t>
      </w:r>
      <w:bookmarkEnd w:id="85"/>
    </w:p>
    <w:p>
      <w:pPr>
        <w:pStyle w:val="169"/>
        <w:ind w:left="0"/>
        <w:jc w:val="left"/>
      </w:pPr>
      <w:r>
        <w:rPr>
          <w:rFonts w:hint="eastAsia"/>
        </w:rPr>
        <w:t>有条件的养老服务机构应设立应急避难间。避难间不应挪用、占用。避难间内设置的消防软管卷盘、消防专线电话、应急广播、疏散照明及防火门窗等应保持完好有效。</w:t>
      </w:r>
    </w:p>
    <w:p>
      <w:pPr>
        <w:pStyle w:val="169"/>
        <w:ind w:left="0"/>
        <w:jc w:val="left"/>
      </w:pPr>
      <w:r>
        <w:rPr>
          <w:rFonts w:hint="eastAsia"/>
        </w:rPr>
        <w:t>楼梯间附近应设置楼层平面示意图，楼梯间内应设置楼层标识，疏散走道应设置安全疏散指示图。</w:t>
      </w:r>
    </w:p>
    <w:p>
      <w:pPr>
        <w:pStyle w:val="169"/>
        <w:ind w:left="0"/>
        <w:jc w:val="left"/>
      </w:pPr>
      <w:r>
        <w:rPr>
          <w:rFonts w:hint="eastAsia"/>
        </w:rPr>
        <w:t>属于消防安全重点单位的养老机构，应在疏散走道和主要疏散路径的地面上增设能保持视觉连续的灯光疏散指示标志或蓄光疏散指示标志。</w:t>
      </w:r>
    </w:p>
    <w:p>
      <w:pPr>
        <w:pStyle w:val="169"/>
        <w:ind w:left="0"/>
        <w:jc w:val="left"/>
      </w:pPr>
      <w:r>
        <w:rPr>
          <w:rFonts w:hint="eastAsia"/>
        </w:rPr>
        <w:t>外窗不应设置影响疏散逃生和灭火救援的栅栏或防护网等障碍物，确需设置的，应留有应急逃生窗口。</w:t>
      </w:r>
      <w:r>
        <w:t xml:space="preserve"> </w:t>
      </w:r>
    </w:p>
    <w:p>
      <w:pPr>
        <w:pStyle w:val="169"/>
        <w:ind w:left="0"/>
        <w:jc w:val="left"/>
      </w:pPr>
      <w:r>
        <w:rPr>
          <w:rFonts w:hint="eastAsia"/>
        </w:rPr>
        <w:t>应定期对应急设施和场所进行检查和维护。</w:t>
      </w:r>
    </w:p>
    <w:p>
      <w:pPr>
        <w:pStyle w:val="108"/>
        <w:spacing w:before="312" w:after="312"/>
      </w:pPr>
      <w:bookmarkStart w:id="86" w:name="_Toc108904288"/>
      <w:bookmarkStart w:id="87" w:name="_Toc144037891"/>
      <w:r>
        <w:rPr>
          <w:rFonts w:hint="eastAsia"/>
        </w:rPr>
        <w:t>宣传与</w:t>
      </w:r>
      <w:bookmarkEnd w:id="86"/>
      <w:r>
        <w:rPr>
          <w:rFonts w:hint="eastAsia"/>
        </w:rPr>
        <w:t>培训</w:t>
      </w:r>
      <w:bookmarkEnd w:id="87"/>
    </w:p>
    <w:p>
      <w:pPr>
        <w:pStyle w:val="166"/>
      </w:pPr>
      <w:r>
        <w:rPr>
          <w:rFonts w:hint="eastAsia"/>
        </w:rPr>
        <w:t>宜通过张贴标语海报、发放刊物、播放事故案例视频、举办安全文化活动等形式面向入住老年人宣传安全和应急常识。重点提示事故风险、安全疏散路线、用火用电常识等。</w:t>
      </w:r>
    </w:p>
    <w:p>
      <w:pPr>
        <w:pStyle w:val="166"/>
      </w:pPr>
      <w:r>
        <w:rPr>
          <w:rFonts w:hint="eastAsia"/>
        </w:rPr>
        <w:t>应定期采取多种形式的应急宣传与教育培训，普及突发事件的紧急避险、自救互救知识，提高从业人员的安全意识与应急处置技能。应急培训教育应该覆盖到各个岗位，包括劳务派遣人员。</w:t>
      </w:r>
    </w:p>
    <w:p>
      <w:pPr>
        <w:pStyle w:val="166"/>
      </w:pPr>
      <w:r>
        <w:rPr>
          <w:rFonts w:hint="eastAsia"/>
        </w:rPr>
        <w:t>应将应急教育培训纳入安全教育培训工作计划并组织实施，宜包括以下内容：</w:t>
      </w:r>
    </w:p>
    <w:p>
      <w:pPr>
        <w:pStyle w:val="60"/>
        <w:ind w:firstLine="420"/>
      </w:pPr>
      <w:r>
        <w:rPr>
          <w:rFonts w:hint="eastAsia"/>
        </w:rPr>
        <w:t>a)</w:t>
      </w:r>
      <w:r>
        <w:rPr>
          <w:rFonts w:hint="eastAsia"/>
        </w:rPr>
        <w:tab/>
      </w:r>
      <w:r>
        <w:rPr>
          <w:rFonts w:hint="eastAsia"/>
        </w:rPr>
        <w:t>作业岗位安全风险情况；</w:t>
      </w:r>
    </w:p>
    <w:p>
      <w:pPr>
        <w:pStyle w:val="60"/>
        <w:ind w:firstLine="420"/>
      </w:pPr>
      <w:r>
        <w:rPr>
          <w:rFonts w:hint="eastAsia"/>
        </w:rPr>
        <w:t>b)</w:t>
      </w:r>
      <w:r>
        <w:rPr>
          <w:rFonts w:hint="eastAsia"/>
        </w:rPr>
        <w:tab/>
      </w:r>
      <w:r>
        <w:rPr>
          <w:rFonts w:hint="eastAsia"/>
        </w:rPr>
        <w:t>应急自救、他救、避险逃生知识与技能；</w:t>
      </w:r>
    </w:p>
    <w:p>
      <w:pPr>
        <w:pStyle w:val="60"/>
        <w:ind w:firstLine="420"/>
      </w:pPr>
      <w:r>
        <w:rPr>
          <w:rFonts w:hint="eastAsia"/>
        </w:rPr>
        <w:t>c)</w:t>
      </w:r>
      <w:r>
        <w:rPr>
          <w:rFonts w:hint="eastAsia"/>
        </w:rPr>
        <w:tab/>
      </w:r>
      <w:r>
        <w:rPr>
          <w:rFonts w:hint="eastAsia"/>
        </w:rPr>
        <w:t>应急预案、岗位应急知识教育、现场应急处置的程序、要点与方法等；</w:t>
      </w:r>
    </w:p>
    <w:p>
      <w:pPr>
        <w:pStyle w:val="60"/>
        <w:ind w:firstLine="420"/>
      </w:pPr>
      <w:r>
        <w:rPr>
          <w:rFonts w:hint="eastAsia"/>
        </w:rPr>
        <w:t>d)</w:t>
      </w:r>
      <w:r>
        <w:rPr>
          <w:rFonts w:hint="eastAsia"/>
        </w:rPr>
        <w:tab/>
      </w:r>
      <w:r>
        <w:rPr>
          <w:rFonts w:hint="eastAsia"/>
        </w:rPr>
        <w:t>应急设备设施与工器具使用、检查检测、维护保养的要求、要点与方法等。</w:t>
      </w:r>
    </w:p>
    <w:p>
      <w:pPr>
        <w:pStyle w:val="166"/>
      </w:pPr>
      <w:r>
        <w:rPr>
          <w:rFonts w:hint="eastAsia"/>
        </w:rPr>
        <w:t>对承担应急管理与专兼职救援队伍的应急教育培训包括但不限于下列内容：</w:t>
      </w:r>
    </w:p>
    <w:p>
      <w:pPr>
        <w:pStyle w:val="60"/>
        <w:ind w:firstLine="420"/>
      </w:pPr>
      <w:r>
        <w:rPr>
          <w:rFonts w:hint="eastAsia"/>
        </w:rPr>
        <w:t>a)</w:t>
      </w:r>
      <w:r>
        <w:rPr>
          <w:rFonts w:hint="eastAsia"/>
        </w:rPr>
        <w:tab/>
      </w:r>
      <w:r>
        <w:rPr>
          <w:rFonts w:hint="eastAsia"/>
        </w:rPr>
        <w:t>应急管理法律法规；</w:t>
      </w:r>
    </w:p>
    <w:p>
      <w:pPr>
        <w:pStyle w:val="60"/>
        <w:ind w:firstLine="420"/>
      </w:pPr>
      <w:r>
        <w:rPr>
          <w:rFonts w:hint="eastAsia"/>
        </w:rPr>
        <w:t>b)</w:t>
      </w:r>
      <w:r>
        <w:rPr>
          <w:rFonts w:hint="eastAsia"/>
        </w:rPr>
        <w:tab/>
      </w:r>
      <w:r>
        <w:rPr>
          <w:rFonts w:hint="eastAsia"/>
        </w:rPr>
        <w:t>应急体系文件；</w:t>
      </w:r>
    </w:p>
    <w:p>
      <w:pPr>
        <w:pStyle w:val="60"/>
        <w:ind w:firstLine="420"/>
      </w:pPr>
      <w:r>
        <w:rPr>
          <w:rFonts w:hint="eastAsia"/>
        </w:rPr>
        <w:t>c)</w:t>
      </w:r>
      <w:r>
        <w:rPr>
          <w:rFonts w:hint="eastAsia"/>
        </w:rPr>
        <w:tab/>
      </w:r>
      <w:r>
        <w:rPr>
          <w:rFonts w:hint="eastAsia"/>
        </w:rPr>
        <w:t>应急预案；</w:t>
      </w:r>
    </w:p>
    <w:p>
      <w:pPr>
        <w:pStyle w:val="60"/>
        <w:ind w:firstLine="420"/>
      </w:pPr>
      <w:r>
        <w:rPr>
          <w:rFonts w:hint="eastAsia"/>
        </w:rPr>
        <w:t>d)</w:t>
      </w:r>
      <w:r>
        <w:rPr>
          <w:rFonts w:hint="eastAsia"/>
        </w:rPr>
        <w:tab/>
      </w:r>
      <w:r>
        <w:rPr>
          <w:rFonts w:hint="eastAsia"/>
        </w:rPr>
        <w:t>突发事件应对基本技能；</w:t>
      </w:r>
    </w:p>
    <w:p>
      <w:pPr>
        <w:pStyle w:val="60"/>
        <w:ind w:firstLine="420"/>
      </w:pPr>
      <w:r>
        <w:rPr>
          <w:rFonts w:hint="eastAsia"/>
        </w:rPr>
        <w:t>e)</w:t>
      </w:r>
      <w:r>
        <w:rPr>
          <w:rFonts w:hint="eastAsia"/>
        </w:rPr>
        <w:tab/>
      </w:r>
      <w:r>
        <w:rPr>
          <w:rFonts w:hint="eastAsia"/>
        </w:rPr>
        <w:t>现场应急救援安全防护知识与防护技能。</w:t>
      </w:r>
    </w:p>
    <w:p>
      <w:pPr>
        <w:pStyle w:val="166"/>
      </w:pPr>
      <w:r>
        <w:rPr>
          <w:rFonts w:hint="eastAsia"/>
        </w:rPr>
        <w:t>从业人员在入职、晋升、转岗时，应接受应急教育培训，确保掌握满足所在岗位要求的应急知识与技能。</w:t>
      </w:r>
    </w:p>
    <w:p>
      <w:pPr>
        <w:pStyle w:val="166"/>
      </w:pPr>
      <w:r>
        <w:rPr>
          <w:rFonts w:hint="eastAsia"/>
        </w:rPr>
        <w:t>应急教育培训的时间地点、内容、师资、参加人员和考核结果等情况应如实记入本单位的安全教育培训档案。</w:t>
      </w:r>
    </w:p>
    <w:p>
      <w:pPr>
        <w:pStyle w:val="108"/>
        <w:spacing w:before="312" w:after="312"/>
      </w:pPr>
      <w:bookmarkStart w:id="88" w:name="_Toc144037892"/>
      <w:r>
        <w:rPr>
          <w:rFonts w:hint="eastAsia"/>
        </w:rPr>
        <w:t>评估与改进</w:t>
      </w:r>
      <w:bookmarkEnd w:id="88"/>
    </w:p>
    <w:p>
      <w:pPr>
        <w:pStyle w:val="166"/>
      </w:pPr>
      <w:bookmarkStart w:id="89" w:name="_Toc143773880"/>
      <w:r>
        <w:rPr>
          <w:rFonts w:hint="eastAsia"/>
        </w:rPr>
        <w:t>应每年至少对本单位应急管理体系运行情况进行1次自评，验证各项制度措施的适宜性、充分性和有效性，检验应急管理目标的完成情况。</w:t>
      </w:r>
      <w:bookmarkEnd w:id="89"/>
    </w:p>
    <w:p>
      <w:pPr>
        <w:pStyle w:val="166"/>
      </w:pPr>
      <w:bookmarkStart w:id="90" w:name="_Toc143773881"/>
      <w:r>
        <w:rPr>
          <w:rFonts w:hint="eastAsia"/>
        </w:rPr>
        <w:t>可由养老机构行业主管部门、第三方评估机构通过资料审核、现场评定等方式对各单位应急管理体系建设与运行情况展开综合评估。</w:t>
      </w:r>
      <w:bookmarkEnd w:id="90"/>
    </w:p>
    <w:p>
      <w:pPr>
        <w:pStyle w:val="166"/>
      </w:pPr>
      <w:bookmarkStart w:id="91" w:name="_Toc143773882"/>
      <w:r>
        <w:rPr>
          <w:rFonts w:hint="eastAsia"/>
        </w:rPr>
        <w:t>应根据评估结果，客观分析养老机构应急管理体系运行质量，及时调整完善相关制度文件和过程管控，持续改进养老服务机构的应急管理体系。</w:t>
      </w:r>
      <w:bookmarkEnd w:id="91"/>
    </w:p>
    <w:p>
      <w:pPr>
        <w:pStyle w:val="60"/>
        <w:ind w:firstLine="420"/>
        <w:sectPr>
          <w:pgSz w:w="11906" w:h="16838"/>
          <w:pgMar w:top="2410" w:right="1134" w:bottom="1134" w:left="1134" w:header="1418" w:footer="1134" w:gutter="284"/>
          <w:cols w:space="425" w:num="1"/>
          <w:formProt w:val="0"/>
          <w:docGrid w:type="lines" w:linePitch="312" w:charSpace="0"/>
        </w:sectPr>
      </w:pPr>
    </w:p>
    <w:p>
      <w:pPr>
        <w:pStyle w:val="166"/>
        <w:numPr>
          <w:ilvl w:val="0"/>
          <w:numId w:val="0"/>
        </w:numPr>
      </w:pPr>
    </w:p>
    <w:p>
      <w:pPr>
        <w:pStyle w:val="80"/>
        <w:numPr>
          <w:ilvl w:val="0"/>
          <w:numId w:val="2"/>
        </w:numPr>
        <w:spacing w:before="78" w:after="156"/>
      </w:pPr>
      <w:bookmarkStart w:id="92" w:name="_Toc144037893"/>
      <w:r>
        <w:rPr>
          <w:rFonts w:hint="eastAsia"/>
        </w:rPr>
        <w:t>附录A</w:t>
      </w:r>
      <w:r>
        <w:br w:type="textWrapping"/>
      </w:r>
      <w:r>
        <w:rPr>
          <w:rFonts w:hint="eastAsia"/>
        </w:rPr>
        <w:t>（资料性）</w:t>
      </w:r>
      <w:r>
        <w:br w:type="textWrapping"/>
      </w:r>
      <w:r>
        <w:rPr>
          <w:rFonts w:hint="eastAsia"/>
        </w:rPr>
        <w:t>安全风险源辨识建议清单</w:t>
      </w:r>
      <w:bookmarkEnd w:id="92"/>
    </w:p>
    <w:p>
      <w:pPr>
        <w:pStyle w:val="60"/>
        <w:numPr>
          <w:ilvl w:val="0"/>
          <w:numId w:val="2"/>
        </w:numPr>
        <w:ind w:firstLine="420"/>
        <w:rPr>
          <w:rFonts w:hAnsi="宋体"/>
        </w:rPr>
      </w:pPr>
      <w:r>
        <w:rPr>
          <w:rFonts w:hint="eastAsia" w:hAnsi="宋体"/>
        </w:rPr>
        <w:t>表A.1给出了养老服务机构风险识别清单。</w:t>
      </w:r>
    </w:p>
    <w:p>
      <w:pPr>
        <w:pStyle w:val="81"/>
        <w:spacing w:before="156" w:after="156"/>
      </w:pPr>
      <w:r>
        <w:rPr>
          <w:rFonts w:hint="eastAsia"/>
        </w:rPr>
        <w:t>表A.1  安全风险源辨识建议清单</w:t>
      </w:r>
    </w:p>
    <w:tbl>
      <w:tblPr>
        <w:tblStyle w:val="29"/>
        <w:tblW w:w="5000" w:type="pct"/>
        <w:jc w:val="center"/>
        <w:tblLayout w:type="autofit"/>
        <w:tblCellMar>
          <w:top w:w="0" w:type="dxa"/>
          <w:left w:w="0" w:type="dxa"/>
          <w:bottom w:w="0" w:type="dxa"/>
          <w:right w:w="0" w:type="dxa"/>
        </w:tblCellMar>
      </w:tblPr>
      <w:tblGrid>
        <w:gridCol w:w="970"/>
        <w:gridCol w:w="1389"/>
        <w:gridCol w:w="1614"/>
        <w:gridCol w:w="4125"/>
        <w:gridCol w:w="1286"/>
      </w:tblGrid>
      <w:tr>
        <w:tblPrEx>
          <w:tblCellMar>
            <w:top w:w="0" w:type="dxa"/>
            <w:left w:w="0" w:type="dxa"/>
            <w:bottom w:w="0" w:type="dxa"/>
            <w:right w:w="0" w:type="dxa"/>
          </w:tblCellMar>
        </w:tblPrEx>
        <w:trPr>
          <w:trHeight w:val="400" w:hRule="atLeast"/>
          <w:tblHeader/>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bookmarkStart w:id="93" w:name="_Hlk111572538"/>
            <w:r>
              <w:rPr>
                <w:rFonts w:hint="eastAsia" w:ascii="宋体" w:hAnsi="宋体" w:cs="宋体"/>
                <w:kern w:val="0"/>
                <w:sz w:val="18"/>
                <w:szCs w:val="18"/>
              </w:rPr>
              <w:t>序号</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场所/位置</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风险源描述</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风险类型</w:t>
            </w:r>
          </w:p>
        </w:tc>
      </w:tr>
      <w:tr>
        <w:tblPrEx>
          <w:tblCellMar>
            <w:top w:w="0" w:type="dxa"/>
            <w:left w:w="0" w:type="dxa"/>
            <w:bottom w:w="0" w:type="dxa"/>
            <w:right w:w="0" w:type="dxa"/>
          </w:tblCellMar>
        </w:tblPrEx>
        <w:trPr>
          <w:trHeight w:val="504" w:hRule="atLeast"/>
          <w:jc w:val="center"/>
        </w:trPr>
        <w:tc>
          <w:tcPr>
            <w:tcW w:w="51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1</w:t>
            </w:r>
          </w:p>
        </w:tc>
        <w:tc>
          <w:tcPr>
            <w:tcW w:w="74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经营场所</w:t>
            </w:r>
          </w:p>
        </w:tc>
        <w:tc>
          <w:tcPr>
            <w:tcW w:w="86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证照合法合规性</w:t>
            </w:r>
          </w:p>
        </w:tc>
        <w:tc>
          <w:tcPr>
            <w:tcW w:w="219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法人主体登记、医疗机构执业许可证、食品经营许可证、特种设备使用登记证等行政许可不具备；养老机构未备案，经营存在不合法不合规风险。</w:t>
            </w:r>
          </w:p>
        </w:tc>
        <w:tc>
          <w:tcPr>
            <w:tcW w:w="685"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经营合法合格性</w:t>
            </w:r>
          </w:p>
        </w:tc>
      </w:tr>
      <w:tr>
        <w:tblPrEx>
          <w:tblCellMar>
            <w:top w:w="0" w:type="dxa"/>
            <w:left w:w="0" w:type="dxa"/>
            <w:bottom w:w="0" w:type="dxa"/>
            <w:right w:w="0" w:type="dxa"/>
          </w:tblCellMar>
        </w:tblPrEx>
        <w:trPr>
          <w:trHeight w:val="504" w:hRule="atLeast"/>
          <w:jc w:val="center"/>
        </w:trPr>
        <w:tc>
          <w:tcPr>
            <w:tcW w:w="51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2</w:t>
            </w:r>
          </w:p>
        </w:tc>
        <w:tc>
          <w:tcPr>
            <w:tcW w:w="74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工作人员</w:t>
            </w:r>
          </w:p>
        </w:tc>
        <w:tc>
          <w:tcPr>
            <w:tcW w:w="86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从业资质</w:t>
            </w:r>
          </w:p>
        </w:tc>
        <w:tc>
          <w:tcPr>
            <w:tcW w:w="219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医生护士、中控室管理员等专业技术人员是否持证上岗，养老护理员是否培训、是否达到照护比例，影响服务安全。</w:t>
            </w:r>
          </w:p>
        </w:tc>
        <w:tc>
          <w:tcPr>
            <w:tcW w:w="685"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服务安全性</w:t>
            </w:r>
          </w:p>
        </w:tc>
      </w:tr>
      <w:tr>
        <w:trPr>
          <w:trHeight w:val="504" w:hRule="atLeast"/>
          <w:jc w:val="center"/>
        </w:trPr>
        <w:tc>
          <w:tcPr>
            <w:tcW w:w="51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3</w:t>
            </w:r>
          </w:p>
        </w:tc>
        <w:tc>
          <w:tcPr>
            <w:tcW w:w="74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室外区域</w:t>
            </w:r>
          </w:p>
        </w:tc>
        <w:tc>
          <w:tcPr>
            <w:tcW w:w="86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名称招牌、信息牌等牌匾</w:t>
            </w:r>
          </w:p>
        </w:tc>
        <w:tc>
          <w:tcPr>
            <w:tcW w:w="219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kern w:val="0"/>
                <w:sz w:val="18"/>
                <w:szCs w:val="18"/>
              </w:rPr>
              <w:t>户外设有牌匾标识的，安装不牢固、掉落，可能人员被砸伤。</w:t>
            </w:r>
          </w:p>
        </w:tc>
        <w:tc>
          <w:tcPr>
            <w:tcW w:w="685"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物体打击</w:t>
            </w:r>
          </w:p>
        </w:tc>
      </w:tr>
      <w:tr>
        <w:trPr>
          <w:trHeight w:val="145" w:hRule="atLeast"/>
          <w:jc w:val="center"/>
        </w:trPr>
        <w:tc>
          <w:tcPr>
            <w:tcW w:w="51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4</w:t>
            </w:r>
          </w:p>
        </w:tc>
        <w:tc>
          <w:tcPr>
            <w:tcW w:w="740"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楼顶、阳台</w:t>
            </w:r>
          </w:p>
        </w:tc>
        <w:tc>
          <w:tcPr>
            <w:tcW w:w="860"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楼顶、阳台</w:t>
            </w:r>
          </w:p>
        </w:tc>
        <w:tc>
          <w:tcPr>
            <w:tcW w:w="219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人员在楼顶、阳台翻越围栏发生坠落。</w:t>
            </w:r>
          </w:p>
        </w:tc>
        <w:tc>
          <w:tcPr>
            <w:tcW w:w="685"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坠楼</w:t>
            </w:r>
          </w:p>
        </w:tc>
      </w:tr>
      <w:tr>
        <w:tblPrEx>
          <w:tblCellMar>
            <w:top w:w="0" w:type="dxa"/>
            <w:left w:w="0" w:type="dxa"/>
            <w:bottom w:w="0" w:type="dxa"/>
            <w:right w:w="0" w:type="dxa"/>
          </w:tblCellMar>
        </w:tblPrEx>
        <w:trPr>
          <w:trHeight w:val="48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5</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燃气调压站及输气管道</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燃气</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kern w:val="0"/>
                <w:sz w:val="18"/>
                <w:szCs w:val="18"/>
              </w:rPr>
              <w:t>燃气泄漏遇明火可能发生火灾、爆炸。</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火灾、其他爆炸</w:t>
            </w:r>
          </w:p>
        </w:tc>
      </w:tr>
      <w:tr>
        <w:tblPrEx>
          <w:tblCellMar>
            <w:top w:w="0" w:type="dxa"/>
            <w:left w:w="0" w:type="dxa"/>
            <w:bottom w:w="0" w:type="dxa"/>
            <w:right w:w="0" w:type="dxa"/>
          </w:tblCellMar>
        </w:tblPrEx>
        <w:trPr>
          <w:trHeight w:val="48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6</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建筑物</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自建房</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sz w:val="18"/>
                <w:szCs w:val="18"/>
              </w:rPr>
              <w:t>未聘请专业设计和施工单位进行设计、施工，未竣工验收的房屋建筑，可能存在安全缺陷导致建筑坍塌。</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坍塌</w:t>
            </w:r>
          </w:p>
        </w:tc>
      </w:tr>
      <w:tr>
        <w:trPr>
          <w:trHeight w:val="48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7</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地质灾害发生区或</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sz w:val="18"/>
                <w:szCs w:val="18"/>
              </w:rPr>
              <w:t>建筑物处于滑坡、山洪、崩塌、地面沉陷等地质灾害发生区或，经过地质灾害事件后，可能导致建筑坍塌。</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坍塌</w:t>
            </w:r>
          </w:p>
        </w:tc>
      </w:tr>
      <w:tr>
        <w:trPr>
          <w:trHeight w:val="48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8</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建筑地基</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sz w:val="18"/>
                <w:szCs w:val="18"/>
              </w:rPr>
              <w:t>地基不稳定可能产生滑移、不均匀沉降，导致建筑坍塌。</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坍塌</w:t>
            </w:r>
          </w:p>
        </w:tc>
      </w:tr>
      <w:tr>
        <w:tblPrEx>
          <w:tblCellMar>
            <w:top w:w="0" w:type="dxa"/>
            <w:left w:w="0" w:type="dxa"/>
            <w:bottom w:w="0" w:type="dxa"/>
            <w:right w:w="0" w:type="dxa"/>
          </w:tblCellMar>
        </w:tblPrEx>
        <w:trPr>
          <w:trHeight w:val="48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9</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建筑主体结构</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ascii="宋体" w:hAnsi="宋体" w:cs="宋体"/>
                <w:sz w:val="18"/>
                <w:szCs w:val="18"/>
              </w:rPr>
              <w:t>擅自增加楼层</w:t>
            </w:r>
            <w:r>
              <w:rPr>
                <w:rFonts w:hint="eastAsia" w:ascii="宋体" w:hAnsi="宋体" w:cs="宋体"/>
                <w:sz w:val="18"/>
                <w:szCs w:val="18"/>
              </w:rPr>
              <w:t>、</w:t>
            </w:r>
            <w:r>
              <w:rPr>
                <w:rFonts w:ascii="宋体" w:hAnsi="宋体" w:cs="宋体"/>
                <w:sz w:val="18"/>
                <w:szCs w:val="18"/>
              </w:rPr>
              <w:t>夹层</w:t>
            </w:r>
            <w:r>
              <w:rPr>
                <w:rFonts w:hint="eastAsia" w:ascii="宋体" w:hAnsi="宋体" w:cs="宋体"/>
                <w:sz w:val="18"/>
                <w:szCs w:val="18"/>
              </w:rPr>
              <w:t>或</w:t>
            </w:r>
            <w:r>
              <w:rPr>
                <w:rFonts w:ascii="宋体" w:hAnsi="宋体" w:cs="宋体"/>
                <w:sz w:val="18"/>
                <w:szCs w:val="18"/>
              </w:rPr>
              <w:t>水平扩建</w:t>
            </w:r>
            <w:r>
              <w:rPr>
                <w:rFonts w:hint="eastAsia" w:ascii="宋体" w:hAnsi="宋体" w:cs="宋体"/>
                <w:sz w:val="18"/>
                <w:szCs w:val="18"/>
              </w:rPr>
              <w:t>、</w:t>
            </w:r>
            <w:r>
              <w:rPr>
                <w:rFonts w:ascii="宋体" w:hAnsi="宋体" w:cs="宋体"/>
                <w:sz w:val="18"/>
                <w:szCs w:val="18"/>
              </w:rPr>
              <w:t>拆改主体结构</w:t>
            </w:r>
            <w:r>
              <w:rPr>
                <w:rFonts w:hint="eastAsia" w:ascii="宋体" w:hAnsi="宋体" w:cs="宋体"/>
                <w:sz w:val="18"/>
                <w:szCs w:val="18"/>
              </w:rPr>
              <w:t>，利用已有围墙或院墙等接建、改建的，建筑物或结构构建出现变形与损伤的，可能导致建筑坍塌。</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sz w:val="18"/>
                <w:szCs w:val="18"/>
              </w:rPr>
              <w:t>坍塌</w:t>
            </w:r>
          </w:p>
        </w:tc>
      </w:tr>
      <w:tr>
        <w:tblPrEx>
          <w:tblCellMar>
            <w:top w:w="0" w:type="dxa"/>
            <w:left w:w="0" w:type="dxa"/>
            <w:bottom w:w="0" w:type="dxa"/>
            <w:right w:w="0" w:type="dxa"/>
          </w:tblCellMar>
        </w:tblPrEx>
        <w:trPr>
          <w:trHeight w:val="691"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可燃材料</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kern w:val="0"/>
                <w:sz w:val="18"/>
                <w:szCs w:val="18"/>
              </w:rPr>
              <w:t>有木质建筑、可燃材料，遇电气短路、明火等引发火灾。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火灾</w:t>
            </w:r>
          </w:p>
        </w:tc>
      </w:tr>
      <w:tr>
        <w:trPr>
          <w:trHeight w:val="48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rPr>
                <w:rFonts w:ascii="宋体" w:hAnsi="宋体" w:cs="宋体"/>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雷电</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kern w:val="0"/>
                <w:sz w:val="18"/>
                <w:szCs w:val="18"/>
              </w:rPr>
              <w:t>防雷装置缺失或失效，可能引发雷击，造成火灾。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火灾</w:t>
            </w:r>
          </w:p>
        </w:tc>
      </w:tr>
      <w:tr>
        <w:trPr>
          <w:trHeight w:val="72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大厅、餐厅等公共区域</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装修材料、家具等可燃物、电缆</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kern w:val="0"/>
                <w:sz w:val="18"/>
                <w:szCs w:val="18"/>
              </w:rPr>
              <w:t>装修材料、可燃家具等遇火源（电器短路、电弧、明火等）可能导致火灾。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trHeight w:val="285"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41"/>
              <w:widowControl/>
              <w:ind w:firstLine="0" w:firstLineChars="0"/>
              <w:jc w:val="center"/>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rPr>
                <w:rFonts w:ascii="宋体" w:hAnsi="宋体" w:cs="宋体"/>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高温照明灯具</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sz w:val="18"/>
                <w:szCs w:val="18"/>
              </w:rPr>
            </w:pPr>
            <w:r>
              <w:rPr>
                <w:rFonts w:hint="eastAsia" w:ascii="宋体" w:hAnsi="宋体" w:cs="宋体"/>
                <w:kern w:val="0"/>
                <w:sz w:val="18"/>
                <w:szCs w:val="18"/>
              </w:rPr>
              <w:t>高温灯具发生短路过载等故障，可能导致附近可燃物燃烧。</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sz w:val="18"/>
                <w:szCs w:val="18"/>
              </w:rPr>
            </w:pPr>
            <w:r>
              <w:rPr>
                <w:rFonts w:hint="eastAsia" w:ascii="宋体" w:hAnsi="宋体" w:cs="宋体"/>
                <w:kern w:val="0"/>
                <w:sz w:val="18"/>
                <w:szCs w:val="18"/>
              </w:rPr>
              <w:t>火灾</w:t>
            </w:r>
          </w:p>
        </w:tc>
      </w:tr>
      <w:bookmarkEnd w:id="93"/>
    </w:tbl>
    <w:p>
      <w:pPr>
        <w:pStyle w:val="81"/>
        <w:spacing w:before="156" w:after="156"/>
      </w:pPr>
    </w:p>
    <w:p>
      <w:pPr>
        <w:pStyle w:val="81"/>
        <w:spacing w:before="156" w:after="156"/>
        <w:rPr>
          <w:rFonts w:hint="eastAsia"/>
        </w:rPr>
      </w:pPr>
    </w:p>
    <w:p>
      <w:pPr>
        <w:pStyle w:val="81"/>
        <w:spacing w:before="156" w:after="156"/>
        <w:rPr>
          <w:rFonts w:ascii="宋体" w:hAnsi="宋体" w:eastAsia="宋体"/>
        </w:rPr>
      </w:pPr>
      <w:r>
        <w:rPr>
          <w:rFonts w:hint="eastAsia"/>
        </w:rPr>
        <w:t>表A.1  安全风险源辨识建议清单</w:t>
      </w:r>
      <w:r>
        <w:rPr>
          <w:rFonts w:hint="eastAsia" w:ascii="宋体" w:hAnsi="宋体" w:eastAsia="宋体"/>
        </w:rPr>
        <w:t>（续）</w:t>
      </w:r>
    </w:p>
    <w:tbl>
      <w:tblPr>
        <w:tblStyle w:val="29"/>
        <w:tblW w:w="5000" w:type="pct"/>
        <w:jc w:val="center"/>
        <w:tblLayout w:type="autofit"/>
        <w:tblCellMar>
          <w:top w:w="0" w:type="dxa"/>
          <w:left w:w="0" w:type="dxa"/>
          <w:bottom w:w="0" w:type="dxa"/>
          <w:right w:w="0" w:type="dxa"/>
        </w:tblCellMar>
      </w:tblPr>
      <w:tblGrid>
        <w:gridCol w:w="970"/>
        <w:gridCol w:w="1389"/>
        <w:gridCol w:w="1614"/>
        <w:gridCol w:w="4125"/>
        <w:gridCol w:w="1286"/>
      </w:tblGrid>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序号</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场所/位置</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风险源描述</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风险类型</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大厅、餐厅等公共区域</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易燃易爆品</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携带易燃易爆品入住老人，遇火源可能引发火灾、爆炸。</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火灾、其他爆炸</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地面</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地面不平整、湿滑易引发老人摔跤</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摔倒</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吊顶灯具等小型设备、玻璃幕墙、装饰品</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设备固定不牢固、意外破裂造成掉落可能导致人员伤亡。</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物体打击</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7</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电梯</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电梯故障可能导致乘客坠落、机械伤害。</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高处坠落、机械伤害</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8</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老人</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用餐时可能发生烫伤、噎食等情况</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9</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老人</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老人之间发生冲突，或老人与养老机构服务人员发生冲突，造成伤人。</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其他伤害（打伤）</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厨房</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油、酒精、可燃物等物质</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厨房使用油、酒精、可燃物等物质，遇火源可能导致火灾。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火灾、其他爆炸</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1</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用电设备、电缆线路</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厨房清洗区域潮湿环境下可能导致漏电，造成触电。</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触电</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2</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蒸锅、高压锅、加热锅等</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高温、加压设备中沸腾、高温液体喷溅可能导致爆炸、灼烫。</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灼烫、容器爆炸</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3</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消毒柜</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消毒柜设备缺陷或消毒物品高温可能导致火灾、爆炸。</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火灾、其他爆炸</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炊事机械</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炊事机械防护装置破损、缺失或失效，遇操作不当、误操作可能导致手部受伤。</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其他伤害（擦伤等）</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5</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排油烟设施</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厨房内排油烟管道内、集烟罩、净化器等设备内油污遇火源导致火灾。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6</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冷库</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冷库的保护装置失效或缺失，导致不能从内部打开，可能导致冻伤。</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其他伤害（冻伤）</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7</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变质食材</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食品原料变质可能导致食物中毒。</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中毒</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8</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电炉、电烤（炸）箱等大功率电器</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电炉、电烤（炸）箱等大功率电器的电气线路不规范、长时间运行、超负荷运转，可能导致火灾。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9</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液化气瓶</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液化气瓶距火点的安全距离不足，或连接软管出现泄露情况，可能导致火灾、爆炸。</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火灾、容器爆炸</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0</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生活用房</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老人物品、装修材料、家具</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遇火源（电器短路、电弧、明火）可能导致火灾。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1</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吊顶灯具等设备、家具</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设备、设施固定不牢固或意外造成掉落可能导致人员伤亡。</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物体打击</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38"/>
              <w:widowControl/>
              <w:snapToGrid w:val="0"/>
              <w:spacing w:line="240" w:lineRule="auto"/>
              <w:ind w:firstLine="0" w:firstLineChars="0"/>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2</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玻璃门窗</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玻璃门窗破损，窗户限位器失效、老人失误可能导致高处坠落。</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高处坠落</w:t>
            </w:r>
          </w:p>
        </w:tc>
      </w:tr>
    </w:tbl>
    <w:p>
      <w:pPr>
        <w:pStyle w:val="81"/>
        <w:spacing w:before="156" w:after="156"/>
        <w:rPr>
          <w:rFonts w:ascii="宋体" w:hAnsi="宋体" w:eastAsia="宋体"/>
        </w:rPr>
      </w:pPr>
      <w:r>
        <w:rPr>
          <w:rFonts w:hint="eastAsia"/>
        </w:rPr>
        <w:t>表A.1  安全风险源辨识建议清单</w:t>
      </w:r>
      <w:r>
        <w:rPr>
          <w:rFonts w:hint="eastAsia" w:ascii="宋体" w:hAnsi="宋体" w:eastAsia="宋体"/>
        </w:rPr>
        <w:t>（续）</w:t>
      </w:r>
    </w:p>
    <w:tbl>
      <w:tblPr>
        <w:tblStyle w:val="29"/>
        <w:tblW w:w="5000" w:type="pct"/>
        <w:jc w:val="center"/>
        <w:tblLayout w:type="autofit"/>
        <w:tblCellMar>
          <w:top w:w="0" w:type="dxa"/>
          <w:left w:w="0" w:type="dxa"/>
          <w:bottom w:w="0" w:type="dxa"/>
          <w:right w:w="0" w:type="dxa"/>
        </w:tblCellMar>
      </w:tblPr>
      <w:tblGrid>
        <w:gridCol w:w="970"/>
        <w:gridCol w:w="1389"/>
        <w:gridCol w:w="1614"/>
        <w:gridCol w:w="4125"/>
        <w:gridCol w:w="1286"/>
      </w:tblGrid>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序号</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场所/位置</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风险源描述</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风险类型</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3</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生活用房</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厕所、浴室</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人在如厕、沐浴时不慎跌倒摔伤。</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4</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床</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老人从床上坠落</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5</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紧急呼叫系统</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老人床头、卫生间紧急呼叫系统没有或无法正常使用</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6</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老人</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 xml:space="preserve">误食过期或变质食品，用餐时可能发生烫伤、噎食等情况。 </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7</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老人</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老人之间发生冲突，或老人与养老机构服务人员发生冲突，造成伤人。</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其他伤害（打伤）</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8</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医疗室</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酒精、装修材料、家具等可燃物、电缆</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酒精、装修材料、可燃家具等遇火源（电器短路、电弧、明火等）可能导致火灾。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9</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尖锐器械、药品</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管理不严格，可能发生老人拿走使用、误食等造成伤害</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0</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娱乐室、多功能厅等活动场所</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大客流</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活动时人群聚集，活动场地狭窄，或者场地设施不稳固、老年人稳定能力差等导致人群拥挤踩踏，以及老人走失。</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其他伤害（踩踏）</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1</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展板、展架</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活动中展板、展架等摆放位置不当、不稳固等导致展架倒塌，砸到老人。</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物体打击</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2</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吊顶灯具等设备、家具</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设备、设施固定不牢固或意外造成掉落可能导致人员伤亡。</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物体打击</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3</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洗涤间</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洗衣机、甩干机、烘干机、电熨斗</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设备防护装置损坏、失效或拆除，人员接触运转部位导致机械伤害。</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机械伤害</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4</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高温部位</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蒸汽管道、阀门漏气，接触烘干机、熨烫机等高温部位造成灼烫。</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灼烫</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5</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用电设备</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清洗区域潮湿环境下可能导致电器漏电。</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触电</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6</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物资仓库</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酒精等易燃物、物资可燃物</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易燃易爆品具有自燃性或可燃物遇火源（电器短路、电弧作用下）可能导致其起火。</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火灾、其他伤害（拥挤、踩踏）</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7</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消毒物品</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消毒液等渗漏，可能导致人受伤、物品污染</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受伤、污染</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8</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堆放商品或放置储存柜</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储存商品的储存柜倒塌可能导致人员砸伤。</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物体打击</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9</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施工现场</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电焊机、乙炔、氧气等</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电焊机故障造成起火、触电，焊渣飞溅导致烫伤、火灾，乙炔、氧气等易燃易爆气体可能导致泄漏而爆炸、起火。</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火灾、其他爆炸、灼烫。</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0</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登高作业</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在2m以上高空作业时防护设备缺陷或无防护措施可能导致发生高处坠落事故。</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高处坠落</w:t>
            </w:r>
          </w:p>
        </w:tc>
      </w:tr>
    </w:tbl>
    <w:p>
      <w:pPr>
        <w:pStyle w:val="81"/>
        <w:spacing w:before="156" w:after="156"/>
        <w:rPr>
          <w:rFonts w:hint="eastAsia"/>
        </w:rPr>
      </w:pPr>
    </w:p>
    <w:p>
      <w:pPr>
        <w:pStyle w:val="81"/>
        <w:spacing w:before="156" w:after="156"/>
        <w:rPr>
          <w:rFonts w:hint="eastAsia"/>
        </w:rPr>
      </w:pPr>
    </w:p>
    <w:p>
      <w:pPr>
        <w:pStyle w:val="81"/>
        <w:spacing w:before="156" w:after="156"/>
        <w:rPr>
          <w:rFonts w:ascii="宋体" w:hAnsi="宋体" w:eastAsia="宋体"/>
        </w:rPr>
      </w:pPr>
      <w:r>
        <w:rPr>
          <w:rFonts w:hint="eastAsia"/>
        </w:rPr>
        <w:t>表A.1  安全风险源辨识建议清单</w:t>
      </w:r>
      <w:r>
        <w:rPr>
          <w:rFonts w:hint="eastAsia" w:ascii="宋体" w:hAnsi="宋体" w:eastAsia="宋体"/>
        </w:rPr>
        <w:t>（续）</w:t>
      </w:r>
    </w:p>
    <w:tbl>
      <w:tblPr>
        <w:tblStyle w:val="29"/>
        <w:tblW w:w="5000" w:type="pct"/>
        <w:jc w:val="center"/>
        <w:tblLayout w:type="autofit"/>
        <w:tblCellMar>
          <w:top w:w="0" w:type="dxa"/>
          <w:left w:w="0" w:type="dxa"/>
          <w:bottom w:w="0" w:type="dxa"/>
          <w:right w:w="0" w:type="dxa"/>
        </w:tblCellMar>
      </w:tblPr>
      <w:tblGrid>
        <w:gridCol w:w="970"/>
        <w:gridCol w:w="1389"/>
        <w:gridCol w:w="1614"/>
        <w:gridCol w:w="4125"/>
        <w:gridCol w:w="1286"/>
      </w:tblGrid>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序号</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场所/位置</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风险源描述</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风险类型</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1</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施工现场</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临时用电作业</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临时活动场所、施工现场临时电气线路敷设不规范、无剩余电流动作保护装置、接地保护不良，可能引发触电、火灾。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触电、火灾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2</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有限空间作业</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有限空间作业个体防护装备、气体检测仪失效、或未按程序进行施工，可能引发中毒、窒息。</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中毒与窒息</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3</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绿化施工</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绿篱机、花枝剪等机械使用不当或缺失防护装置，导致皮带轮、齿轮、刀片等擦伤周围人员。农药导致人中毒。</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机械伤害、中毒</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4</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变配电室（间）</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变压器、配电柜、电缆、可燃物等</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电缆、可燃物因短路、过负荷等可能导致电缆火灾。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5</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灭火气体</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灭火系统误动作（控制失效或阀门缺陷）而气体喷放可能导致人员窒息。</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中毒、窒息</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6</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电</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在操作、检修时由于电气设备故障引起触电事故。</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触电</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7</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电</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变配电室绝缘胶垫不完整、失效，安全工器具损坏、失效，操作人员使用时导致触电。</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触电</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8</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开关</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开关超负荷运行，接点接触不良，未定期清扫灰尘而发热燃烧，导致火灾。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9</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监控、信息机房</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计算机组、电气设备等</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设备长时间运行而电器元件发热高温可能导致火灾。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0</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计算机组</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UPS过载保护装置失灵，主机超负荷线路过热导致起火。</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1</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配电柜、动力电缆</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工作人员在操作、检修时由于电气设备故障或操作不当可能导致触电事故。</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触电</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2</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灭火气体</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灭火系统误动作（控制失效或阀门缺陷）而气体喷放可能导致人员窒息。</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中毒和窒息</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3</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空调机组</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登高设施</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维修时登高设施有缺陷，无栏杆、脚固定不稳，造成人员坠落。</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高处坠落</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4</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灭火系统气瓶间</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高压气瓶</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气体灭火气瓶设备失效或安全阀失效等超压可能导致爆炸、中毒窒息。</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容器爆炸、中毒与窒息</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5</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维修工具设备</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手持电动工具、移动电气设备</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手持电动工具、移动电气设备的绝缘装置、漏电保护装置等缺失或与使用场所不匹配，可能造成触电。</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触电</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6</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运动的设备</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使用工具设备时操作不当，带齿轮、传动带、刀具的设备无有效安全防护装置，导致人员伤害。</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其他伤害（擦伤）</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7</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砂轮、手电钻、电锤等</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用电线路绝缘层损坏或老化引起火花，引燃周边易燃物造成火灾。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bl>
    <w:p>
      <w:pPr>
        <w:pStyle w:val="81"/>
        <w:spacing w:before="156" w:after="156"/>
      </w:pPr>
      <w:r>
        <w:br w:type="page"/>
      </w:r>
    </w:p>
    <w:p>
      <w:pPr>
        <w:pStyle w:val="81"/>
        <w:spacing w:before="156" w:after="156"/>
        <w:rPr>
          <w:rFonts w:ascii="宋体" w:hAnsi="宋体" w:eastAsia="宋体"/>
        </w:rPr>
      </w:pPr>
      <w:r>
        <w:rPr>
          <w:rFonts w:hint="eastAsia"/>
        </w:rPr>
        <w:t>表A.1  安全风险源辨识建议清单</w:t>
      </w:r>
      <w:r>
        <w:rPr>
          <w:rFonts w:hint="eastAsia" w:ascii="宋体" w:hAnsi="宋体" w:eastAsia="宋体"/>
        </w:rPr>
        <w:t>（续）</w:t>
      </w:r>
    </w:p>
    <w:tbl>
      <w:tblPr>
        <w:tblStyle w:val="29"/>
        <w:tblW w:w="5000" w:type="pct"/>
        <w:jc w:val="center"/>
        <w:tblLayout w:type="autofit"/>
        <w:tblCellMar>
          <w:top w:w="0" w:type="dxa"/>
          <w:left w:w="0" w:type="dxa"/>
          <w:bottom w:w="0" w:type="dxa"/>
          <w:right w:w="0" w:type="dxa"/>
        </w:tblCellMar>
      </w:tblPr>
      <w:tblGrid>
        <w:gridCol w:w="970"/>
        <w:gridCol w:w="1389"/>
        <w:gridCol w:w="1614"/>
        <w:gridCol w:w="4125"/>
        <w:gridCol w:w="1286"/>
      </w:tblGrid>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序号</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场所/位置</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风险源描述</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sz w:val="18"/>
                <w:szCs w:val="18"/>
              </w:rPr>
            </w:pPr>
            <w:r>
              <w:rPr>
                <w:rFonts w:hint="eastAsia" w:ascii="宋体" w:hAnsi="宋体" w:cs="宋体"/>
                <w:kern w:val="0"/>
                <w:sz w:val="18"/>
                <w:szCs w:val="18"/>
              </w:rPr>
              <w:t>风险类型</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8</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电动车充电场所</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充电桩、电动车</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充电桩、电动车蓄电池因线路故障或高温天气而燃烧、爆炸。</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火灾、其他爆炸</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9</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办公区（室）</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装修材料、家具等可燃物</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装修材料、可燃家具等遇火源（电气短路、电弧、明火）、高温（电暖炉等）可能导致火灾。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0</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大功率电器</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电烤箱、电暖炉等大功率电器使用不当或线路故障导致起火。</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1</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档案室</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明火</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可燃物遇明火导致起火。</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2</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灭火气体</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灭火系统误动作（控制失效或阀门缺陷）而气体喷放可能导致人员窒息。</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中毒和窒息　</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3</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用电场所</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电气线路、插板</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电气线路敷设不规范、接地保护不良，可能引发火灾、触电；私拉乱接电线电缆、插板过负荷受热可能引发火灾。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触电、火灾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4</w:t>
            </w:r>
          </w:p>
        </w:tc>
        <w:tc>
          <w:tcPr>
            <w:tcW w:w="7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康复活动场所、餐饮场所等覆盖消防设施场所</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 xml:space="preserve">消防设施 </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消防设施运转不良或失效，发生火灾时不能及时报警或扑救。</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5</w:t>
            </w:r>
          </w:p>
        </w:tc>
        <w:tc>
          <w:tcPr>
            <w:tcW w:w="740"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员工宿舍</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大功率电器</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电水壶、电暖炉等大功率电器使用不当或线路故障导致起火。</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6</w:t>
            </w:r>
          </w:p>
        </w:tc>
        <w:tc>
          <w:tcPr>
            <w:tcW w:w="740" w:type="pct"/>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装修材料、家具等可燃物、电缆</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装修材料、可燃家具等遇火源（电器短路、电弧、明火等）可能导致火灾。</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r>
        <w:tblPrEx>
          <w:tblCellMar>
            <w:top w:w="0" w:type="dxa"/>
            <w:left w:w="0" w:type="dxa"/>
            <w:bottom w:w="0" w:type="dxa"/>
            <w:right w:w="0" w:type="dxa"/>
          </w:tblCellMar>
        </w:tblPrEx>
        <w:trPr>
          <w:cantSplit/>
          <w:trHeight w:val="400" w:hRule="atLeast"/>
          <w:jc w:val="center"/>
        </w:trPr>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7</w:t>
            </w:r>
          </w:p>
        </w:tc>
        <w:tc>
          <w:tcPr>
            <w:tcW w:w="740"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高温照明灯具</w:t>
            </w:r>
          </w:p>
        </w:tc>
        <w:tc>
          <w:tcPr>
            <w:tcW w:w="21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left"/>
              <w:textAlignment w:val="center"/>
              <w:rPr>
                <w:rFonts w:ascii="宋体" w:hAnsi="宋体" w:cs="宋体"/>
                <w:kern w:val="0"/>
                <w:sz w:val="18"/>
                <w:szCs w:val="18"/>
              </w:rPr>
            </w:pPr>
            <w:r>
              <w:rPr>
                <w:rFonts w:hint="eastAsia" w:ascii="宋体" w:hAnsi="宋体" w:cs="宋体"/>
                <w:kern w:val="0"/>
                <w:sz w:val="18"/>
                <w:szCs w:val="18"/>
              </w:rPr>
              <w:t>高温灯具发生短路过载等故障，可能导致附近可燃物燃烧。</w:t>
            </w:r>
          </w:p>
        </w:tc>
        <w:tc>
          <w:tcPr>
            <w:tcW w:w="6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hAnsi="宋体" w:cs="宋体"/>
                <w:kern w:val="0"/>
                <w:sz w:val="18"/>
                <w:szCs w:val="18"/>
              </w:rPr>
            </w:pPr>
            <w:r>
              <w:rPr>
                <w:rFonts w:hint="eastAsia" w:ascii="宋体" w:hAnsi="宋体" w:cs="宋体"/>
                <w:kern w:val="0"/>
                <w:sz w:val="18"/>
                <w:szCs w:val="18"/>
              </w:rPr>
              <w:t>火灾</w:t>
            </w:r>
          </w:p>
        </w:tc>
      </w:tr>
    </w:tbl>
    <w:p>
      <w:pPr>
        <w:pStyle w:val="60"/>
        <w:ind w:firstLine="420"/>
        <w:sectPr>
          <w:pgSz w:w="11906" w:h="16838"/>
          <w:pgMar w:top="2410" w:right="1134" w:bottom="1134" w:left="1134" w:header="1418" w:footer="1134" w:gutter="284"/>
          <w:cols w:space="425" w:num="1"/>
          <w:formProt w:val="0"/>
          <w:docGrid w:type="lines" w:linePitch="312" w:charSpace="0"/>
        </w:sectPr>
      </w:pPr>
    </w:p>
    <w:p>
      <w:pPr>
        <w:pStyle w:val="80"/>
        <w:numPr>
          <w:ilvl w:val="0"/>
          <w:numId w:val="2"/>
        </w:numPr>
        <w:spacing w:before="78" w:after="156"/>
      </w:pPr>
      <w:bookmarkStart w:id="94" w:name="_Toc144037894"/>
      <w:r>
        <w:rPr>
          <w:rFonts w:hint="eastAsia"/>
        </w:rPr>
        <w:t>附录B</w:t>
      </w:r>
      <w:r>
        <w:br w:type="textWrapping"/>
      </w:r>
      <w:bookmarkStart w:id="95" w:name="_Toc140776993"/>
      <w:r>
        <w:rPr>
          <w:rFonts w:hint="eastAsia"/>
        </w:rPr>
        <w:t>（资料性）</w:t>
      </w:r>
      <w:r>
        <w:br w:type="textWrapping"/>
      </w:r>
      <w:r>
        <w:rPr>
          <w:rFonts w:hint="eastAsia"/>
        </w:rPr>
        <w:t>应急预案体系建议清单</w:t>
      </w:r>
      <w:bookmarkEnd w:id="94"/>
      <w:bookmarkEnd w:id="95"/>
    </w:p>
    <w:p>
      <w:pPr>
        <w:pStyle w:val="60"/>
        <w:ind w:firstLine="420"/>
      </w:pPr>
      <w:r>
        <w:rPr>
          <w:rFonts w:hint="eastAsia"/>
        </w:rPr>
        <w:t>表B.1给出养老服务机构应急预案体系建议清单。</w:t>
      </w:r>
    </w:p>
    <w:p>
      <w:pPr>
        <w:pStyle w:val="81"/>
        <w:spacing w:before="156" w:after="156"/>
      </w:pPr>
      <w:r>
        <w:rPr>
          <w:rFonts w:hint="eastAsia"/>
        </w:rPr>
        <w:t>表B.1  应急预案体系建议清单</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bCs/>
                <w:sz w:val="18"/>
                <w:szCs w:val="18"/>
              </w:rPr>
            </w:pPr>
            <w:r>
              <w:rPr>
                <w:rFonts w:hint="eastAsia" w:ascii="宋体" w:hAnsi="宋体"/>
                <w:bCs/>
                <w:sz w:val="18"/>
                <w:szCs w:val="18"/>
              </w:rPr>
              <w:t>预案分类</w:t>
            </w:r>
          </w:p>
        </w:tc>
        <w:tc>
          <w:tcPr>
            <w:tcW w:w="3713" w:type="pct"/>
            <w:tcBorders>
              <w:top w:val="single" w:color="auto" w:sz="4" w:space="0"/>
              <w:left w:val="single" w:color="auto" w:sz="4" w:space="0"/>
              <w:bottom w:val="single" w:color="auto" w:sz="4" w:space="0"/>
              <w:right w:val="single" w:color="auto" w:sz="4" w:space="0"/>
            </w:tcBorders>
          </w:tcPr>
          <w:p>
            <w:pPr>
              <w:snapToGrid w:val="0"/>
              <w:spacing w:line="240" w:lineRule="auto"/>
              <w:jc w:val="center"/>
              <w:rPr>
                <w:rFonts w:ascii="宋体" w:hAnsi="宋体"/>
                <w:bCs/>
                <w:sz w:val="18"/>
                <w:szCs w:val="18"/>
              </w:rPr>
            </w:pPr>
            <w:r>
              <w:rPr>
                <w:rFonts w:hint="eastAsia" w:ascii="宋体" w:hAnsi="宋体"/>
                <w:bCs/>
                <w:sz w:val="18"/>
                <w:szCs w:val="18"/>
              </w:rPr>
              <w:t>应急预案名称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18"/>
                <w:szCs w:val="18"/>
              </w:rPr>
            </w:pPr>
            <w:r>
              <w:rPr>
                <w:rFonts w:hint="eastAsia" w:ascii="宋体" w:hAnsi="宋体"/>
                <w:sz w:val="18"/>
                <w:szCs w:val="18"/>
              </w:rPr>
              <w:t>综合应急预案</w:t>
            </w:r>
          </w:p>
        </w:tc>
        <w:tc>
          <w:tcPr>
            <w:tcW w:w="3713" w:type="pct"/>
            <w:tcBorders>
              <w:top w:val="single" w:color="auto" w:sz="4" w:space="0"/>
              <w:left w:val="single" w:color="auto" w:sz="4" w:space="0"/>
              <w:bottom w:val="single" w:color="auto" w:sz="4" w:space="0"/>
              <w:right w:val="single" w:color="auto" w:sz="4" w:space="0"/>
            </w:tcBorders>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养老服务机构综合应急预案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87" w:type="pct"/>
            <w:vMerge w:val="restart"/>
            <w:tcBorders>
              <w:top w:val="single" w:color="auto" w:sz="4" w:space="0"/>
              <w:left w:val="single" w:color="auto" w:sz="4" w:space="0"/>
              <w:right w:val="single" w:color="auto" w:sz="4" w:space="0"/>
            </w:tcBorders>
            <w:vAlign w:val="center"/>
          </w:tcPr>
          <w:p>
            <w:pPr>
              <w:snapToGrid w:val="0"/>
              <w:spacing w:line="240" w:lineRule="auto"/>
              <w:jc w:val="center"/>
              <w:rPr>
                <w:rFonts w:ascii="宋体" w:hAnsi="宋体"/>
                <w:sz w:val="18"/>
                <w:szCs w:val="18"/>
              </w:rPr>
            </w:pPr>
            <w:r>
              <w:rPr>
                <w:rFonts w:hint="eastAsia" w:ascii="宋体" w:hAnsi="宋体"/>
                <w:sz w:val="18"/>
                <w:szCs w:val="18"/>
              </w:rPr>
              <w:t>专项应急预案</w:t>
            </w:r>
          </w:p>
          <w:p>
            <w:pPr>
              <w:snapToGrid w:val="0"/>
              <w:spacing w:line="240" w:lineRule="auto"/>
              <w:jc w:val="center"/>
              <w:rPr>
                <w:rFonts w:ascii="宋体" w:hAnsi="宋体"/>
                <w:sz w:val="18"/>
                <w:szCs w:val="18"/>
              </w:rPr>
            </w:pPr>
            <w:r>
              <w:rPr>
                <w:rFonts w:hint="eastAsia" w:ascii="宋体" w:hAnsi="宋体"/>
                <w:sz w:val="18"/>
                <w:szCs w:val="18"/>
              </w:rPr>
              <w:t>（或现场处置方案）</w:t>
            </w:r>
          </w:p>
        </w:tc>
        <w:tc>
          <w:tcPr>
            <w:tcW w:w="3713" w:type="pct"/>
            <w:tcBorders>
              <w:top w:val="single" w:color="auto" w:sz="4" w:space="0"/>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极端天气应急预案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防汛抗洪应急预案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地震灾害应急预案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灭火和疏散应急预案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电梯故障应急预案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燃气事故应急预案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大面积停电应急预案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施工现场突发事件应急预案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锅炉/压力锅/钢瓶爆炸应急预案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建筑/构筑物突发事件应急预案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跑漏水事故应急预案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充电设施火灾应急预案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触电等生产安全事故应急预案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医疗废物流失、泄露、扩散和意外事故应急预案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有限空间作业事故应急预案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食品安全事件应急预案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7" w:type="pct"/>
            <w:vMerge w:val="continue"/>
            <w:tcBorders>
              <w:left w:val="single" w:color="auto" w:sz="4" w:space="0"/>
              <w:right w:val="single" w:color="auto" w:sz="4" w:space="0"/>
            </w:tcBorders>
            <w:vAlign w:val="center"/>
          </w:tcPr>
          <w:p>
            <w:pPr>
              <w:snapToGrid w:val="0"/>
              <w:spacing w:line="240" w:lineRule="auto"/>
              <w:jc w:val="center"/>
              <w:rPr>
                <w:rFonts w:ascii="宋体" w:hAnsi="宋体"/>
                <w:sz w:val="18"/>
                <w:szCs w:val="18"/>
              </w:rPr>
            </w:pPr>
          </w:p>
        </w:tc>
        <w:tc>
          <w:tcPr>
            <w:tcW w:w="3713" w:type="pct"/>
            <w:tcBorders>
              <w:left w:val="single" w:color="auto" w:sz="4" w:space="0"/>
              <w:right w:val="single" w:color="auto" w:sz="4" w:space="0"/>
            </w:tcBorders>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饮用水安全事件应急预案</w:t>
            </w:r>
          </w:p>
        </w:tc>
      </w:tr>
    </w:tbl>
    <w:p>
      <w:pPr>
        <w:pStyle w:val="169"/>
        <w:numPr>
          <w:ilvl w:val="0"/>
          <w:numId w:val="0"/>
        </w:numPr>
        <w:sectPr>
          <w:pgSz w:w="11906" w:h="16838"/>
          <w:pgMar w:top="2410" w:right="1134" w:bottom="1134" w:left="1134" w:header="1418" w:footer="1134" w:gutter="284"/>
          <w:cols w:space="425" w:num="1"/>
          <w:formProt w:val="0"/>
          <w:docGrid w:type="lines" w:linePitch="312" w:charSpace="0"/>
        </w:sectPr>
      </w:pPr>
    </w:p>
    <w:p>
      <w:pPr>
        <w:pStyle w:val="80"/>
        <w:numPr>
          <w:ilvl w:val="0"/>
          <w:numId w:val="2"/>
        </w:numPr>
        <w:spacing w:before="78" w:after="156"/>
      </w:pPr>
      <w:bookmarkStart w:id="96" w:name="_Toc144037895"/>
      <w:r>
        <w:rPr>
          <w:rFonts w:hint="eastAsia"/>
        </w:rPr>
        <w:t>附录C</w:t>
      </w:r>
      <w:r>
        <w:br w:type="textWrapping"/>
      </w:r>
      <w:r>
        <w:rPr>
          <w:rFonts w:hint="eastAsia"/>
        </w:rPr>
        <w:t>（资料性）</w:t>
      </w:r>
      <w:r>
        <w:br w:type="textWrapping"/>
      </w:r>
      <w:r>
        <w:rPr>
          <w:rFonts w:hint="eastAsia"/>
        </w:rPr>
        <w:t>应急物资配置建议清单</w:t>
      </w:r>
      <w:bookmarkEnd w:id="96"/>
    </w:p>
    <w:p>
      <w:pPr>
        <w:ind w:firstLine="420" w:firstLineChars="200"/>
        <w:rPr>
          <w:rFonts w:ascii="宋体" w:hAnsi="宋体"/>
        </w:rPr>
      </w:pPr>
      <w:r>
        <w:rPr>
          <w:rFonts w:hint="eastAsia" w:ascii="宋体" w:hAnsi="宋体"/>
        </w:rPr>
        <w:t>表C.1给出养老服务机构应急物资配置建议清单。</w:t>
      </w:r>
    </w:p>
    <w:p>
      <w:pPr>
        <w:pStyle w:val="81"/>
        <w:spacing w:before="156" w:after="156"/>
      </w:pPr>
      <w:r>
        <w:rPr>
          <w:rFonts w:hint="eastAsia"/>
        </w:rPr>
        <w:t>表C.1  应急物资配置建议清单</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968"/>
        <w:gridCol w:w="1614"/>
        <w:gridCol w:w="6020"/>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序号</w:t>
            </w:r>
          </w:p>
        </w:tc>
        <w:tc>
          <w:tcPr>
            <w:tcW w:w="843"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应急物资类型</w:t>
            </w:r>
          </w:p>
        </w:tc>
        <w:tc>
          <w:tcPr>
            <w:tcW w:w="3145"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应急物资名称</w:t>
            </w:r>
          </w:p>
        </w:tc>
        <w:tc>
          <w:tcPr>
            <w:tcW w:w="506"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 w:hRule="atLeast"/>
        </w:trPr>
        <w:tc>
          <w:tcPr>
            <w:tcW w:w="506" w:type="pct"/>
            <w:vMerge w:val="restart"/>
            <w:shd w:val="clear" w:color="auto" w:fill="auto"/>
            <w:noWrap/>
            <w:vAlign w:val="center"/>
          </w:tcPr>
          <w:p>
            <w:pPr>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3" w:type="pct"/>
            <w:vMerge w:val="restart"/>
            <w:shd w:val="clear" w:color="auto" w:fill="auto"/>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生活物资类</w:t>
            </w: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饮用水</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应急食品（罐头、方便面、压缩饼干等）</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纸尿布、卫生纸、湿巾</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2"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个人卫生用品</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个人洗护用品</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床垫</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毛毯</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0" w:hRule="atLeast"/>
        </w:trPr>
        <w:tc>
          <w:tcPr>
            <w:tcW w:w="506" w:type="pct"/>
            <w:vMerge w:val="restart"/>
            <w:shd w:val="clear" w:color="auto" w:fill="auto"/>
            <w:noWrap/>
            <w:vAlign w:val="center"/>
          </w:tcPr>
          <w:p>
            <w:pPr>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43"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工程抢险类</w:t>
            </w: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手动破拆工具组</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发电机</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消防斧</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绝缘剪断钳</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铁铤</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多功能挠钩</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绝缘鞋</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绝缘手套</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43" w:type="pct"/>
            <w:vMerge w:val="restart"/>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通信类</w:t>
            </w: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通信指挥系统</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便携式对讲机</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43" w:type="pct"/>
            <w:vMerge w:val="restart"/>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消防类</w:t>
            </w: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灭火毯</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呼吸面罩</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灭火床单、被套</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43" w:type="pct"/>
            <w:vMerge w:val="restart"/>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疏散类</w:t>
            </w: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应急广播</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担架</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轮椅</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推床</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sz w:val="18"/>
                <w:szCs w:val="18"/>
              </w:rPr>
              <w:t>逃生绳</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疏散滑梯</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43" w:type="pct"/>
            <w:vMerge w:val="restart"/>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防汛类</w:t>
            </w: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抽水泵</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沙袋</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雨衣</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 w:hRule="atLeast"/>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雨鞋</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双</w:t>
            </w:r>
          </w:p>
        </w:tc>
      </w:tr>
    </w:tbl>
    <w:p>
      <w:pPr>
        <w:pStyle w:val="81"/>
        <w:spacing w:before="156" w:after="156"/>
        <w:rPr>
          <w:rFonts w:ascii="宋体" w:hAnsi="宋体" w:eastAsia="宋体"/>
        </w:rPr>
      </w:pPr>
      <w:r>
        <w:rPr>
          <w:rFonts w:hint="eastAsia"/>
        </w:rPr>
        <w:t>表C.1  应急物资配置建议清单</w:t>
      </w:r>
      <w:r>
        <w:rPr>
          <w:rFonts w:hint="eastAsia" w:ascii="宋体" w:hAnsi="宋体" w:eastAsia="宋体"/>
        </w:rPr>
        <w:t>（续）</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968"/>
        <w:gridCol w:w="1614"/>
        <w:gridCol w:w="6020"/>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序号</w:t>
            </w:r>
          </w:p>
        </w:tc>
        <w:tc>
          <w:tcPr>
            <w:tcW w:w="843"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应急物资类型</w:t>
            </w:r>
          </w:p>
        </w:tc>
        <w:tc>
          <w:tcPr>
            <w:tcW w:w="3145"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应急物资名称</w:t>
            </w:r>
          </w:p>
        </w:tc>
        <w:tc>
          <w:tcPr>
            <w:tcW w:w="506"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bCs/>
                <w:color w:val="000000"/>
                <w:kern w:val="0"/>
                <w:sz w:val="18"/>
                <w:szCs w:val="18"/>
              </w:rPr>
              <w:t>6</w:t>
            </w:r>
          </w:p>
        </w:tc>
        <w:tc>
          <w:tcPr>
            <w:tcW w:w="843"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color w:val="000000"/>
                <w:kern w:val="0"/>
                <w:sz w:val="18"/>
                <w:szCs w:val="18"/>
              </w:rPr>
              <w:t>防汛类</w:t>
            </w:r>
          </w:p>
        </w:tc>
        <w:tc>
          <w:tcPr>
            <w:tcW w:w="3145"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color w:val="000000"/>
                <w:kern w:val="0"/>
                <w:sz w:val="18"/>
                <w:szCs w:val="18"/>
              </w:rPr>
              <w:t>铁锹</w:t>
            </w:r>
          </w:p>
        </w:tc>
        <w:tc>
          <w:tcPr>
            <w:tcW w:w="506"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color w:val="000000"/>
                <w:kern w:val="0"/>
                <w:sz w:val="18"/>
                <w:szCs w:val="18"/>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restar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color w:val="000000"/>
                <w:kern w:val="0"/>
                <w:sz w:val="18"/>
                <w:szCs w:val="18"/>
              </w:rPr>
              <w:t>7</w:t>
            </w:r>
          </w:p>
        </w:tc>
        <w:tc>
          <w:tcPr>
            <w:tcW w:w="843" w:type="pct"/>
            <w:vMerge w:val="restar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color w:val="000000"/>
                <w:kern w:val="0"/>
                <w:sz w:val="18"/>
                <w:szCs w:val="18"/>
              </w:rPr>
              <w:t>警戒类</w:t>
            </w:r>
          </w:p>
        </w:tc>
        <w:tc>
          <w:tcPr>
            <w:tcW w:w="3145"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color w:val="000000"/>
                <w:kern w:val="0"/>
                <w:sz w:val="18"/>
                <w:szCs w:val="18"/>
              </w:rPr>
              <w:t>警戒标志杆</w:t>
            </w:r>
          </w:p>
        </w:tc>
        <w:tc>
          <w:tcPr>
            <w:tcW w:w="506" w:type="pct"/>
            <w:shd w:val="clear" w:color="auto" w:fill="auto"/>
            <w:noWrap/>
            <w:vAlign w:val="center"/>
          </w:tcPr>
          <w:p>
            <w:pPr>
              <w:widowControl/>
              <w:adjustRightInd/>
              <w:spacing w:line="240" w:lineRule="auto"/>
              <w:contextualSpacing/>
              <w:jc w:val="center"/>
              <w:rPr>
                <w:rFonts w:ascii="宋体" w:hAnsi="宋体" w:cs="宋体"/>
                <w:bCs/>
                <w:color w:val="000000"/>
                <w:kern w:val="0"/>
                <w:sz w:val="18"/>
                <w:szCs w:val="18"/>
              </w:rPr>
            </w:pPr>
            <w:r>
              <w:rPr>
                <w:rFonts w:hint="eastAsia" w:ascii="宋体" w:hAnsi="宋体" w:cs="宋体"/>
                <w:color w:val="000000"/>
                <w:kern w:val="0"/>
                <w:sz w:val="18"/>
                <w:szCs w:val="18"/>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隔离警示带</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手持扩音器</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843"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照明类</w:t>
            </w: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手电筒</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头灯</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843" w:type="pct"/>
            <w:vMerge w:val="restar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医疗救护类</w:t>
            </w: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紧急药箱</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口罩</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sz w:val="18"/>
                <w:szCs w:val="18"/>
              </w:rPr>
              <w:t>全自动体外除颤器（AED）</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0" w:hRule="atLeast"/>
          <w:tblHeader/>
        </w:trPr>
        <w:tc>
          <w:tcPr>
            <w:tcW w:w="506"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843" w:type="pct"/>
            <w:vMerge w:val="continue"/>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p>
        </w:tc>
        <w:tc>
          <w:tcPr>
            <w:tcW w:w="3145" w:type="pct"/>
            <w:shd w:val="clear" w:color="auto" w:fill="auto"/>
            <w:noWrap/>
            <w:vAlign w:val="center"/>
          </w:tcPr>
          <w:p>
            <w:pPr>
              <w:widowControl/>
              <w:adjustRightInd/>
              <w:spacing w:line="240" w:lineRule="auto"/>
              <w:contextualSpacing/>
              <w:jc w:val="center"/>
              <w:rPr>
                <w:rFonts w:ascii="宋体" w:hAnsi="宋体"/>
                <w:sz w:val="18"/>
                <w:szCs w:val="18"/>
              </w:rPr>
            </w:pPr>
            <w:r>
              <w:rPr>
                <w:rFonts w:hint="eastAsia" w:ascii="宋体" w:hAnsi="宋体" w:cs="宋体"/>
                <w:color w:val="000000"/>
                <w:kern w:val="0"/>
                <w:sz w:val="18"/>
                <w:szCs w:val="18"/>
              </w:rPr>
              <w:t>消杀药品</w:t>
            </w:r>
          </w:p>
        </w:tc>
        <w:tc>
          <w:tcPr>
            <w:tcW w:w="506" w:type="pct"/>
            <w:shd w:val="clear" w:color="auto" w:fill="auto"/>
            <w:noWrap/>
            <w:vAlign w:val="center"/>
          </w:tcPr>
          <w:p>
            <w:pPr>
              <w:widowControl/>
              <w:adjustRightInd/>
              <w:spacing w:line="240" w:lineRule="auto"/>
              <w:contextualSpacing/>
              <w:jc w:val="center"/>
              <w:rPr>
                <w:rFonts w:ascii="宋体" w:hAnsi="宋体" w:cs="宋体"/>
                <w:color w:val="000000"/>
                <w:kern w:val="0"/>
                <w:sz w:val="18"/>
                <w:szCs w:val="18"/>
              </w:rPr>
            </w:pPr>
            <w:r>
              <w:rPr>
                <w:rFonts w:hint="eastAsia" w:ascii="宋体" w:hAnsi="宋体" w:cs="宋体"/>
                <w:color w:val="000000"/>
                <w:kern w:val="0"/>
                <w:sz w:val="18"/>
                <w:szCs w:val="18"/>
              </w:rPr>
              <w:t>份</w:t>
            </w:r>
          </w:p>
        </w:tc>
      </w:tr>
    </w:tbl>
    <w:p>
      <w:pPr>
        <w:pStyle w:val="81"/>
        <w:spacing w:before="156" w:after="156"/>
      </w:pPr>
    </w:p>
    <w:p>
      <w:pPr>
        <w:pStyle w:val="60"/>
        <w:ind w:firstLine="420"/>
        <w:sectPr>
          <w:pgSz w:w="11906" w:h="16838"/>
          <w:pgMar w:top="2410" w:right="1134" w:bottom="1134" w:left="1134" w:header="1418" w:footer="1134" w:gutter="284"/>
          <w:cols w:space="425" w:num="1"/>
          <w:formProt w:val="0"/>
          <w:docGrid w:type="lines" w:linePitch="312" w:charSpace="0"/>
        </w:sectPr>
      </w:pPr>
    </w:p>
    <w:p>
      <w:pPr>
        <w:pStyle w:val="67"/>
        <w:spacing w:before="124" w:after="156"/>
      </w:pPr>
      <w:bookmarkStart w:id="97" w:name="_Toc132271696"/>
      <w:bookmarkStart w:id="98" w:name="_Toc144037896"/>
      <w:bookmarkStart w:id="99" w:name="_Toc140776995"/>
      <w:r>
        <w:rPr>
          <w:rFonts w:hint="eastAsia"/>
          <w:spacing w:val="105"/>
        </w:rPr>
        <w:t>参考文</w:t>
      </w:r>
      <w:r>
        <w:rPr>
          <w:rFonts w:hint="eastAsia"/>
        </w:rPr>
        <w:t>献</w:t>
      </w:r>
      <w:bookmarkEnd w:id="97"/>
      <w:bookmarkEnd w:id="98"/>
      <w:bookmarkEnd w:id="99"/>
    </w:p>
    <w:p>
      <w:pPr>
        <w:pStyle w:val="238"/>
        <w:numPr>
          <w:ilvl w:val="0"/>
          <w:numId w:val="40"/>
        </w:numPr>
        <w:autoSpaceDE w:val="0"/>
        <w:autoSpaceDN w:val="0"/>
        <w:spacing w:line="240" w:lineRule="auto"/>
        <w:ind w:firstLineChars="0"/>
        <w:jc w:val="left"/>
        <w:rPr>
          <w:rFonts w:ascii="宋体" w:cs="宋体"/>
          <w:kern w:val="0"/>
        </w:rPr>
      </w:pPr>
      <w:bookmarkStart w:id="100" w:name="_Hlk144101977"/>
      <w:r>
        <w:rPr>
          <w:rFonts w:ascii="宋体" w:cs="宋体"/>
          <w:kern w:val="0"/>
        </w:rPr>
        <w:t xml:space="preserve">GB 2893 </w:t>
      </w:r>
      <w:r>
        <w:rPr>
          <w:rFonts w:hint="eastAsia" w:ascii="宋体" w:cs="宋体"/>
          <w:kern w:val="0"/>
        </w:rPr>
        <w:t>安全色</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 2894 </w:t>
      </w:r>
      <w:r>
        <w:rPr>
          <w:rFonts w:hint="eastAsia" w:ascii="宋体" w:cs="宋体"/>
          <w:kern w:val="0"/>
        </w:rPr>
        <w:t>安全标志及其使用导则</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 6441 </w:t>
      </w:r>
      <w:r>
        <w:rPr>
          <w:rFonts w:hint="eastAsia" w:ascii="宋体" w:cs="宋体"/>
          <w:kern w:val="0"/>
        </w:rPr>
        <w:t>单位职工伤亡事故分类标准</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 6442 </w:t>
      </w:r>
      <w:r>
        <w:rPr>
          <w:rFonts w:hint="eastAsia" w:ascii="宋体" w:cs="宋体"/>
          <w:kern w:val="0"/>
        </w:rPr>
        <w:t>单位职工伤亡事故调查分析规则</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 13495 </w:t>
      </w:r>
      <w:r>
        <w:rPr>
          <w:rFonts w:hint="eastAsia" w:ascii="宋体" w:cs="宋体"/>
          <w:kern w:val="0"/>
        </w:rPr>
        <w:t>消防安全标志</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 25201 </w:t>
      </w:r>
      <w:r>
        <w:rPr>
          <w:rFonts w:hint="eastAsia" w:ascii="宋体" w:cs="宋体"/>
          <w:kern w:val="0"/>
        </w:rPr>
        <w:t>建筑消防设施的维护管理</w:t>
      </w:r>
    </w:p>
    <w:p>
      <w:pPr>
        <w:pStyle w:val="60"/>
        <w:numPr>
          <w:ilvl w:val="0"/>
          <w:numId w:val="40"/>
        </w:numPr>
        <w:ind w:firstLineChars="0"/>
      </w:pPr>
      <w:r>
        <w:rPr>
          <w:rFonts w:hint="eastAsia"/>
        </w:rPr>
        <w:t>GB</w:t>
      </w:r>
      <w:r>
        <w:t xml:space="preserve"> </w:t>
      </w:r>
      <w:r>
        <w:rPr>
          <w:rFonts w:hint="eastAsia"/>
        </w:rPr>
        <w:t>25506</w:t>
      </w:r>
      <w:r>
        <w:t xml:space="preserve">  </w:t>
      </w:r>
      <w:r>
        <w:rPr>
          <w:rFonts w:hint="eastAsia"/>
        </w:rPr>
        <w:t>消防控制室通用技术要求</w:t>
      </w:r>
    </w:p>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GB</w:t>
      </w:r>
      <w:r>
        <w:rPr>
          <w:rFonts w:ascii="宋体" w:cs="宋体"/>
          <w:kern w:val="0"/>
        </w:rPr>
        <w:t xml:space="preserve"> </w:t>
      </w:r>
      <w:r>
        <w:rPr>
          <w:rFonts w:hint="eastAsia" w:ascii="宋体" w:cs="宋体"/>
          <w:kern w:val="0"/>
        </w:rPr>
        <w:t>31654</w:t>
      </w:r>
      <w:r>
        <w:rPr>
          <w:rFonts w:ascii="宋体" w:cs="宋体"/>
          <w:kern w:val="0"/>
        </w:rPr>
        <w:t xml:space="preserve"> </w:t>
      </w:r>
      <w:r>
        <w:rPr>
          <w:rFonts w:hint="eastAsia" w:ascii="宋体" w:cs="宋体"/>
          <w:kern w:val="0"/>
        </w:rPr>
        <w:t>餐饮服务通用卫生规范</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GB/T 13861 </w:t>
      </w:r>
      <w:r>
        <w:rPr>
          <w:rFonts w:hint="eastAsia" w:ascii="宋体" w:cs="宋体"/>
          <w:kern w:val="0"/>
        </w:rPr>
        <w:t>生产过程危险和有害因素分类与代码</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GB/T 13869 </w:t>
      </w:r>
      <w:r>
        <w:rPr>
          <w:rFonts w:hint="eastAsia" w:ascii="宋体" w:cs="宋体"/>
          <w:kern w:val="0"/>
        </w:rPr>
        <w:t>用电安全导则</w:t>
      </w:r>
      <w:r>
        <w:rPr>
          <w:rFonts w:ascii="宋体" w:cs="宋体"/>
          <w:kern w:val="0"/>
        </w:rPr>
        <w:t xml:space="preserve"> </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 15630 </w:t>
      </w:r>
      <w:r>
        <w:rPr>
          <w:rFonts w:hint="eastAsia" w:ascii="宋体" w:cs="宋体"/>
          <w:kern w:val="0"/>
        </w:rPr>
        <w:t>消防安全标志设置要求</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 17945 </w:t>
      </w:r>
      <w:r>
        <w:rPr>
          <w:rFonts w:hint="eastAsia" w:ascii="宋体" w:cs="宋体"/>
          <w:kern w:val="0"/>
        </w:rPr>
        <w:t>消防应急照明和疏散指示系统</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GB/T 23694 </w:t>
      </w:r>
      <w:r>
        <w:rPr>
          <w:rFonts w:hint="eastAsia" w:ascii="宋体" w:cs="宋体"/>
          <w:kern w:val="0"/>
        </w:rPr>
        <w:t>风险管理术语</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GB/T 24353 </w:t>
      </w:r>
      <w:r>
        <w:rPr>
          <w:rFonts w:hint="eastAsia" w:ascii="宋体" w:cs="宋体"/>
          <w:kern w:val="0"/>
        </w:rPr>
        <w:t>风险管理原则与实施指南</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GB/T 27921 </w:t>
      </w:r>
      <w:r>
        <w:rPr>
          <w:rFonts w:hint="eastAsia" w:ascii="宋体" w:cs="宋体"/>
          <w:kern w:val="0"/>
        </w:rPr>
        <w:t>风险管理风险评估技术</w:t>
      </w:r>
    </w:p>
    <w:p>
      <w:pPr>
        <w:pStyle w:val="60"/>
        <w:numPr>
          <w:ilvl w:val="0"/>
          <w:numId w:val="40"/>
        </w:numPr>
        <w:ind w:firstLineChars="0"/>
      </w:pPr>
      <w:r>
        <w:rPr>
          <w:rFonts w:hint="eastAsia"/>
        </w:rPr>
        <w:t>GB/T 29639</w:t>
      </w:r>
      <w:r>
        <w:t xml:space="preserve">  </w:t>
      </w:r>
      <w:r>
        <w:rPr>
          <w:rFonts w:hint="eastAsia"/>
        </w:rPr>
        <w:t>生产经营单位生产安全事故应急预案编制导则</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GB/T 33000 </w:t>
      </w:r>
      <w:r>
        <w:rPr>
          <w:rFonts w:hint="eastAsia" w:ascii="宋体" w:cs="宋体"/>
          <w:kern w:val="0"/>
        </w:rPr>
        <w:t>企业安全生产标准化基本规范</w:t>
      </w:r>
    </w:p>
    <w:p>
      <w:pPr>
        <w:pStyle w:val="60"/>
        <w:numPr>
          <w:ilvl w:val="0"/>
          <w:numId w:val="40"/>
        </w:numPr>
        <w:ind w:firstLineChars="0"/>
      </w:pPr>
      <w:r>
        <w:rPr>
          <w:rFonts w:hint="eastAsia"/>
        </w:rPr>
        <w:t>GB/T 36742  气象灾害防御重点单位气象安全保障规范</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GB/T 38209 </w:t>
      </w:r>
      <w:r>
        <w:rPr>
          <w:rFonts w:hint="eastAsia" w:ascii="宋体" w:cs="宋体"/>
          <w:kern w:val="0"/>
        </w:rPr>
        <w:t>公共安全演练指南</w:t>
      </w:r>
    </w:p>
    <w:p>
      <w:pPr>
        <w:pStyle w:val="60"/>
        <w:numPr>
          <w:ilvl w:val="0"/>
          <w:numId w:val="40"/>
        </w:numPr>
        <w:ind w:firstLineChars="0"/>
      </w:pPr>
      <w:r>
        <w:rPr>
          <w:rFonts w:hint="eastAsia"/>
        </w:rPr>
        <w:t>GB/T</w:t>
      </w:r>
      <w:r>
        <w:t xml:space="preserve"> </w:t>
      </w:r>
      <w:r>
        <w:rPr>
          <w:rFonts w:hint="eastAsia"/>
        </w:rPr>
        <w:t>38315</w:t>
      </w:r>
      <w:r>
        <w:t xml:space="preserve">  </w:t>
      </w:r>
      <w:r>
        <w:rPr>
          <w:rFonts w:hint="eastAsia"/>
        </w:rPr>
        <w:t>社会单位灭火和应急疏散预案编制及实施导则</w:t>
      </w:r>
    </w:p>
    <w:p>
      <w:pPr>
        <w:pStyle w:val="60"/>
        <w:numPr>
          <w:ilvl w:val="0"/>
          <w:numId w:val="40"/>
        </w:numPr>
        <w:ind w:firstLineChars="0"/>
      </w:pPr>
      <w:r>
        <w:rPr>
          <w:rFonts w:hint="eastAsia"/>
        </w:rPr>
        <w:t>GB/T</w:t>
      </w:r>
      <w:r>
        <w:t xml:space="preserve"> </w:t>
      </w:r>
      <w:r>
        <w:rPr>
          <w:rFonts w:hint="eastAsia"/>
        </w:rPr>
        <w:t>38600</w:t>
      </w:r>
      <w:r>
        <w:t xml:space="preserve">  </w:t>
      </w:r>
      <w:r>
        <w:rPr>
          <w:rFonts w:hint="eastAsia"/>
        </w:rPr>
        <w:t>养老机构服务安全基本规范</w:t>
      </w:r>
    </w:p>
    <w:p>
      <w:pPr>
        <w:pStyle w:val="60"/>
        <w:numPr>
          <w:ilvl w:val="0"/>
          <w:numId w:val="40"/>
        </w:numPr>
        <w:ind w:firstLineChars="0"/>
      </w:pPr>
      <w:r>
        <w:t xml:space="preserve">GB/T 40248  </w:t>
      </w:r>
      <w:r>
        <w:rPr>
          <w:rStyle w:val="237"/>
        </w:rPr>
        <w:t>人员密集场所消防安全管理</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AQ 8001 </w:t>
      </w:r>
      <w:r>
        <w:rPr>
          <w:rFonts w:hint="eastAsia" w:ascii="宋体" w:cs="宋体"/>
          <w:kern w:val="0"/>
        </w:rPr>
        <w:t>安全评价通则</w:t>
      </w:r>
    </w:p>
    <w:p>
      <w:pPr>
        <w:pStyle w:val="60"/>
        <w:numPr>
          <w:ilvl w:val="0"/>
          <w:numId w:val="40"/>
        </w:numPr>
        <w:ind w:firstLineChars="0"/>
      </w:pPr>
      <w:r>
        <w:t>AQ/T 9007</w:t>
      </w:r>
      <w:r>
        <w:rPr>
          <w:rFonts w:hint="eastAsia"/>
        </w:rPr>
        <w:t xml:space="preserve"> </w:t>
      </w:r>
      <w:r>
        <w:t xml:space="preserve"> </w:t>
      </w:r>
      <w:r>
        <w:rPr>
          <w:rFonts w:hint="eastAsia"/>
        </w:rPr>
        <w:t>生产安全事故应急演练基本规范</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 xml:space="preserve">AQ/T 9009 </w:t>
      </w:r>
      <w:r>
        <w:rPr>
          <w:rFonts w:hint="eastAsia" w:ascii="宋体" w:cs="宋体"/>
          <w:kern w:val="0"/>
        </w:rPr>
        <w:t>生产安全事故应急演练评估规范</w:t>
      </w:r>
    </w:p>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JGJ</w:t>
      </w:r>
      <w:r>
        <w:rPr>
          <w:rFonts w:ascii="宋体" w:cs="宋体"/>
          <w:kern w:val="0"/>
        </w:rPr>
        <w:t xml:space="preserve"> </w:t>
      </w:r>
      <w:r>
        <w:rPr>
          <w:rFonts w:hint="eastAsia" w:ascii="宋体" w:cs="宋体"/>
          <w:kern w:val="0"/>
        </w:rPr>
        <w:t>450</w:t>
      </w:r>
      <w:r>
        <w:rPr>
          <w:rFonts w:ascii="宋体" w:cs="宋体"/>
          <w:kern w:val="0"/>
        </w:rPr>
        <w:t xml:space="preserve"> </w:t>
      </w:r>
      <w:r>
        <w:rPr>
          <w:rFonts w:hint="eastAsia" w:ascii="宋体" w:cs="宋体"/>
          <w:kern w:val="0"/>
        </w:rPr>
        <w:t>老年人照料设施建筑设计标准</w:t>
      </w:r>
    </w:p>
    <w:p>
      <w:pPr>
        <w:pStyle w:val="60"/>
        <w:numPr>
          <w:ilvl w:val="0"/>
          <w:numId w:val="40"/>
        </w:numPr>
        <w:ind w:firstLineChars="0"/>
      </w:pPr>
      <w:r>
        <w:rPr>
          <w:rFonts w:hint="eastAsia"/>
        </w:rPr>
        <w:t>MT/Z</w:t>
      </w:r>
      <w:r>
        <w:t xml:space="preserve"> </w:t>
      </w:r>
      <w:r>
        <w:rPr>
          <w:rFonts w:hint="eastAsia"/>
        </w:rPr>
        <w:t>032</w:t>
      </w:r>
      <w:r>
        <w:t xml:space="preserve">  </w:t>
      </w:r>
      <w:r>
        <w:rPr>
          <w:rFonts w:hint="eastAsia"/>
        </w:rPr>
        <w:t>养老机构安全管理</w:t>
      </w:r>
    </w:p>
    <w:p>
      <w:pPr>
        <w:pStyle w:val="60"/>
        <w:numPr>
          <w:ilvl w:val="0"/>
          <w:numId w:val="40"/>
        </w:numPr>
        <w:ind w:firstLineChars="0"/>
      </w:pPr>
      <w:r>
        <w:rPr>
          <w:rFonts w:hint="eastAsia"/>
        </w:rPr>
        <w:t>DB11/T</w:t>
      </w:r>
      <w:r>
        <w:t xml:space="preserve"> </w:t>
      </w:r>
      <w:r>
        <w:rPr>
          <w:rFonts w:hint="eastAsia"/>
        </w:rPr>
        <w:t>535</w:t>
      </w:r>
      <w:r>
        <w:t xml:space="preserve">  </w:t>
      </w:r>
      <w:r>
        <w:rPr>
          <w:rFonts w:hint="eastAsia"/>
        </w:rPr>
        <w:t>社会福利机构安全管理规范</w:t>
      </w:r>
    </w:p>
    <w:p>
      <w:pPr>
        <w:pStyle w:val="60"/>
        <w:numPr>
          <w:ilvl w:val="0"/>
          <w:numId w:val="40"/>
        </w:numPr>
        <w:ind w:firstLineChars="0"/>
      </w:pPr>
      <w:bookmarkStart w:id="101" w:name="_Hlk142901139"/>
      <w:r>
        <w:rPr>
          <w:rFonts w:hint="eastAsia"/>
        </w:rPr>
        <w:t>DB11/T 945  建设工程施工现场安全防护、场容卫生及消防保卫标准</w:t>
      </w:r>
    </w:p>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DB11</w:t>
      </w:r>
      <w:r>
        <w:rPr>
          <w:rFonts w:ascii="宋体" w:cs="宋体"/>
          <w:kern w:val="0"/>
        </w:rPr>
        <w:t xml:space="preserve">/T 1624 </w:t>
      </w:r>
      <w:r>
        <w:rPr>
          <w:rFonts w:hint="eastAsia" w:ascii="宋体" w:cs="宋体"/>
          <w:kern w:val="0"/>
        </w:rPr>
        <w:t>电动自行车停放场所防火设计标准</w:t>
      </w:r>
    </w:p>
    <w:p>
      <w:pPr>
        <w:pStyle w:val="60"/>
        <w:numPr>
          <w:ilvl w:val="0"/>
          <w:numId w:val="40"/>
        </w:numPr>
        <w:ind w:firstLineChars="0"/>
      </w:pPr>
      <w:r>
        <w:rPr>
          <w:rFonts w:hint="eastAsia"/>
        </w:rPr>
        <w:t>DB11/T</w:t>
      </w:r>
      <w:r>
        <w:t xml:space="preserve"> </w:t>
      </w:r>
      <w:r>
        <w:rPr>
          <w:rFonts w:hint="eastAsia"/>
        </w:rPr>
        <w:t>2103.2</w:t>
      </w:r>
      <w:r>
        <w:t xml:space="preserve">  </w:t>
      </w:r>
      <w:r>
        <w:rPr>
          <w:rFonts w:hint="eastAsia"/>
        </w:rPr>
        <w:t>社会单位和重点场所消防安全管理规范 第2部分：养老机构</w:t>
      </w:r>
    </w:p>
    <w:bookmarkEnd w:id="101"/>
    <w:p>
      <w:pPr>
        <w:pStyle w:val="60"/>
        <w:numPr>
          <w:ilvl w:val="0"/>
          <w:numId w:val="40"/>
        </w:numPr>
        <w:ind w:firstLineChars="0"/>
      </w:pPr>
      <w:r>
        <w:rPr>
          <w:rFonts w:hint="eastAsia"/>
        </w:rPr>
        <w:t>DB</w:t>
      </w:r>
      <w:r>
        <w:t xml:space="preserve">11/T 2104 </w:t>
      </w:r>
      <w:r>
        <w:rPr>
          <w:rFonts w:hint="eastAsia"/>
        </w:rPr>
        <w:t>消防控制室火警处置规范</w:t>
      </w:r>
    </w:p>
    <w:p>
      <w:pPr>
        <w:pStyle w:val="238"/>
        <w:numPr>
          <w:ilvl w:val="0"/>
          <w:numId w:val="40"/>
        </w:numPr>
        <w:autoSpaceDE w:val="0"/>
        <w:autoSpaceDN w:val="0"/>
        <w:spacing w:line="240" w:lineRule="auto"/>
        <w:ind w:firstLineChars="0"/>
        <w:jc w:val="left"/>
        <w:rPr>
          <w:rFonts w:ascii="宋体" w:cs="宋体"/>
          <w:kern w:val="0"/>
        </w:rPr>
      </w:pPr>
      <w:r>
        <w:rPr>
          <w:rFonts w:ascii="宋体" w:cs="宋体"/>
          <w:kern w:val="0"/>
        </w:rPr>
        <w:t>ISO 22300 Security and resilience-Vocabulary</w:t>
      </w:r>
    </w:p>
    <w:bookmarkEnd w:id="100"/>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生产安全事故应急预案管理办法（国家安全生产监督管理总局令第</w:t>
      </w:r>
      <w:r>
        <w:rPr>
          <w:rFonts w:ascii="宋体" w:cs="宋体"/>
          <w:kern w:val="0"/>
        </w:rPr>
        <w:t>88</w:t>
      </w:r>
      <w:r>
        <w:rPr>
          <w:rFonts w:hint="eastAsia" w:ascii="宋体" w:cs="宋体"/>
          <w:kern w:val="0"/>
        </w:rPr>
        <w:t>号）</w:t>
      </w:r>
    </w:p>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关于印发消防安全责任制实施办法的通知（国办发〔2017〕87号）</w:t>
      </w:r>
    </w:p>
    <w:p>
      <w:pPr>
        <w:pStyle w:val="238"/>
        <w:numPr>
          <w:ilvl w:val="0"/>
          <w:numId w:val="40"/>
        </w:numPr>
        <w:autoSpaceDE w:val="0"/>
        <w:autoSpaceDN w:val="0"/>
        <w:spacing w:line="240" w:lineRule="auto"/>
        <w:ind w:firstLineChars="0"/>
        <w:jc w:val="left"/>
        <w:rPr>
          <w:rFonts w:ascii="宋体" w:cs="宋体"/>
          <w:kern w:val="0"/>
        </w:rPr>
      </w:pPr>
      <w:r>
        <w:rPr>
          <w:rFonts w:hint="eastAsia"/>
        </w:rPr>
        <w:t>关于印发《消防安全重点单位微型消防站建设标准（试行）》、《社区微型消防站建设标准（试行）》的通知（公消〔2015〕301号）</w:t>
      </w:r>
    </w:p>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北京市民政局 北京市市场监督管理局 北京市消防救援总队关于规范社会福利机构消防和食品安全管理档案的通知（京民福发〔2021〕73号）</w:t>
      </w:r>
    </w:p>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北京市民政局 北京市公安局《关于印发社会福利机构消防安全标准化管理规定的通知（京民福发〔2014〕258号）</w:t>
      </w:r>
    </w:p>
    <w:p>
      <w:pPr>
        <w:pStyle w:val="238"/>
        <w:numPr>
          <w:ilvl w:val="0"/>
          <w:numId w:val="40"/>
        </w:numPr>
        <w:autoSpaceDE w:val="0"/>
        <w:autoSpaceDN w:val="0"/>
        <w:spacing w:line="240" w:lineRule="auto"/>
        <w:ind w:firstLineChars="0"/>
        <w:jc w:val="left"/>
        <w:rPr>
          <w:rFonts w:ascii="宋体" w:cs="宋体"/>
          <w:kern w:val="0"/>
        </w:rPr>
      </w:pPr>
      <w:r>
        <w:rPr>
          <w:rFonts w:hint="eastAsia"/>
        </w:rPr>
        <w:t>北京市消防救援总队关于进一步加强和规范消防控制室管理的通知（京消〔</w:t>
      </w:r>
      <w:r>
        <w:t>2021</w:t>
      </w:r>
      <w:r>
        <w:rPr>
          <w:rFonts w:hint="eastAsia"/>
        </w:rPr>
        <w:t>〕</w:t>
      </w:r>
      <w:r>
        <w:t>274</w:t>
      </w:r>
      <w:r>
        <w:rPr>
          <w:rFonts w:hint="eastAsia"/>
        </w:rPr>
        <w:t>号）</w:t>
      </w:r>
      <w:r>
        <w:t xml:space="preserve"> </w:t>
      </w:r>
    </w:p>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《养老机构管理办法》（民政部令第66号）</w:t>
      </w:r>
    </w:p>
    <w:p>
      <w:pPr>
        <w:pStyle w:val="232"/>
        <w:numPr>
          <w:ilvl w:val="0"/>
          <w:numId w:val="40"/>
        </w:numPr>
        <w:rPr>
          <w:sz w:val="21"/>
          <w:szCs w:val="21"/>
        </w:rPr>
      </w:pPr>
      <w:r>
        <w:rPr>
          <w:rFonts w:hint="eastAsia"/>
          <w:sz w:val="21"/>
          <w:szCs w:val="21"/>
        </w:rPr>
        <w:t>《北京市养老服务专项规划</w:t>
      </w:r>
      <w:r>
        <w:rPr>
          <w:sz w:val="21"/>
          <w:szCs w:val="21"/>
        </w:rPr>
        <w:t xml:space="preserve"> </w:t>
      </w:r>
      <w:r>
        <w:rPr>
          <w:rFonts w:hint="eastAsia"/>
          <w:sz w:val="21"/>
          <w:szCs w:val="21"/>
        </w:rPr>
        <w:t>》（</w:t>
      </w:r>
      <w:r>
        <w:rPr>
          <w:sz w:val="21"/>
          <w:szCs w:val="21"/>
        </w:rPr>
        <w:t>2021</w:t>
      </w:r>
      <w:r>
        <w:rPr>
          <w:rFonts w:hint="eastAsia"/>
          <w:sz w:val="21"/>
          <w:szCs w:val="21"/>
        </w:rPr>
        <w:t>年</w:t>
      </w:r>
      <w:r>
        <w:rPr>
          <w:sz w:val="21"/>
          <w:szCs w:val="21"/>
        </w:rPr>
        <w:t>—2035</w:t>
      </w:r>
      <w:r>
        <w:rPr>
          <w:rFonts w:hint="eastAsia"/>
          <w:sz w:val="21"/>
          <w:szCs w:val="21"/>
        </w:rPr>
        <w:t>年）</w:t>
      </w:r>
      <w:r>
        <w:rPr>
          <w:sz w:val="21"/>
          <w:szCs w:val="21"/>
        </w:rPr>
        <w:t xml:space="preserve"> </w:t>
      </w:r>
    </w:p>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《养老机构等级划分与评定》国家标准实施指南（2023版）</w:t>
      </w:r>
    </w:p>
    <w:p>
      <w:pPr>
        <w:pStyle w:val="238"/>
        <w:numPr>
          <w:ilvl w:val="0"/>
          <w:numId w:val="40"/>
        </w:numPr>
        <w:autoSpaceDE w:val="0"/>
        <w:autoSpaceDN w:val="0"/>
        <w:spacing w:line="240" w:lineRule="auto"/>
        <w:ind w:firstLineChars="0"/>
        <w:jc w:val="left"/>
        <w:rPr>
          <w:rFonts w:ascii="宋体" w:cs="宋体"/>
          <w:kern w:val="0"/>
        </w:rPr>
      </w:pPr>
      <w:bookmarkStart w:id="102" w:name="_Hlk142901165"/>
      <w:r>
        <w:rPr>
          <w:rFonts w:hint="eastAsia" w:ascii="宋体" w:cs="宋体"/>
          <w:kern w:val="0"/>
        </w:rPr>
        <w:t>民政部 国家消防救援局关于印发《养老机构消防安全管理规定》的通知(民发〔2023〕37号)</w:t>
      </w:r>
    </w:p>
    <w:bookmarkEnd w:id="102"/>
    <w:p>
      <w:pPr>
        <w:pStyle w:val="238"/>
        <w:numPr>
          <w:ilvl w:val="0"/>
          <w:numId w:val="40"/>
        </w:numPr>
        <w:autoSpaceDE w:val="0"/>
        <w:autoSpaceDN w:val="0"/>
        <w:spacing w:line="240" w:lineRule="auto"/>
        <w:ind w:firstLineChars="0"/>
        <w:jc w:val="left"/>
        <w:rPr>
          <w:rFonts w:ascii="宋体" w:cs="宋体"/>
          <w:kern w:val="0"/>
        </w:rPr>
      </w:pPr>
      <w:r>
        <w:rPr>
          <w:rFonts w:hint="eastAsia" w:ascii="宋体" w:cs="宋体"/>
          <w:kern w:val="0"/>
        </w:rPr>
        <w:t>北京市民政局关于印发《北京市养老机构服务质量星级评定管理办法（试行）》的通知（ 京民养老〔202</w:t>
      </w:r>
      <w:r>
        <w:rPr>
          <w:rFonts w:ascii="宋体" w:cs="宋体"/>
          <w:kern w:val="0"/>
        </w:rPr>
        <w:t>2</w:t>
      </w:r>
      <w:r>
        <w:rPr>
          <w:rFonts w:hint="eastAsia" w:ascii="宋体" w:cs="宋体"/>
          <w:kern w:val="0"/>
        </w:rPr>
        <w:t>〕 248 号）</w:t>
      </w:r>
    </w:p>
    <w:p>
      <w:pPr>
        <w:pStyle w:val="238"/>
        <w:autoSpaceDE w:val="0"/>
        <w:autoSpaceDN w:val="0"/>
        <w:spacing w:line="240" w:lineRule="auto"/>
        <w:ind w:left="582" w:firstLine="0" w:firstLineChars="0"/>
        <w:jc w:val="left"/>
        <w:rPr>
          <w:rFonts w:ascii="宋体" w:cs="宋体"/>
          <w:kern w:val="0"/>
        </w:rPr>
      </w:pPr>
    </w:p>
    <w:p>
      <w:pPr>
        <w:pStyle w:val="238"/>
        <w:autoSpaceDE w:val="0"/>
        <w:autoSpaceDN w:val="0"/>
        <w:spacing w:line="240" w:lineRule="auto"/>
        <w:ind w:left="582" w:firstLine="0" w:firstLineChars="0"/>
        <w:jc w:val="left"/>
        <w:rPr>
          <w:rFonts w:ascii="宋体" w:cs="宋体"/>
          <w:kern w:val="0"/>
        </w:rPr>
      </w:pPr>
    </w:p>
    <w:p>
      <w:pPr>
        <w:pStyle w:val="60"/>
        <w:ind w:firstLine="0" w:firstLineChars="0"/>
        <w:jc w:val="center"/>
      </w:pPr>
      <w:bookmarkStart w:id="103" w:name="BookMark8"/>
      <w:r>
        <w:rPr>
          <w:rFonts w:hint="eastAsia"/>
        </w:rPr>
        <w:drawing>
          <wp:inline distT="0" distB="0" distL="0" distR="0">
            <wp:extent cx="1485900" cy="317500"/>
            <wp:effectExtent l="0" t="0" r="0" b="6350"/>
            <wp:docPr id="9408084" name="图片 1"/>
            <wp:cNvGraphicFramePr/>
            <a:graphic xmlns:a="http://schemas.openxmlformats.org/drawingml/2006/main">
              <a:graphicData uri="http://schemas.openxmlformats.org/drawingml/2006/picture">
                <pic:pic xmlns:pic="http://schemas.openxmlformats.org/drawingml/2006/picture">
                  <pic:nvPicPr>
                    <pic:cNvPr id="9408084" name="图片 1"/>
                    <pic:cNvPicPr/>
                  </pic:nvPicPr>
                  <pic:blipFill>
                    <a:blip r:embed="rId1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03"/>
    </w:p>
    <w:p>
      <w:pPr>
        <w:pStyle w:val="238"/>
        <w:autoSpaceDE w:val="0"/>
        <w:autoSpaceDN w:val="0"/>
        <w:spacing w:line="240" w:lineRule="auto"/>
        <w:ind w:left="582" w:firstLine="0" w:firstLineChars="0"/>
        <w:jc w:val="left"/>
        <w:rPr>
          <w:rFonts w:ascii="宋体" w:cs="宋体"/>
          <w:kern w:val="0"/>
        </w:rPr>
      </w:pPr>
    </w:p>
    <w:bookmarkEnd w:id="21"/>
    <w:p>
      <w:pPr>
        <w:pStyle w:val="203"/>
      </w:pPr>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56D1E57"/>
    <w:multiLevelType w:val="multilevel"/>
    <w:tmpl w:val="156D1E57"/>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51A2674"/>
    <w:multiLevelType w:val="multilevel"/>
    <w:tmpl w:val="451A2674"/>
    <w:lvl w:ilvl="0" w:tentative="0">
      <w:start w:val="1"/>
      <w:numFmt w:val="decimal"/>
      <w:lvlText w:val="[%1]"/>
      <w:lvlJc w:val="left"/>
      <w:pPr>
        <w:ind w:left="582"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9"/>
      <w:suff w:val="nothing"/>
      <w:lvlText w:val="%1%2.%3.%4　"/>
      <w:lvlJc w:val="left"/>
      <w:pPr>
        <w:ind w:left="992" w:firstLine="0"/>
      </w:pPr>
      <w:rPr>
        <w:rFonts w:hint="eastAsia" w:ascii="黑体" w:eastAsia="黑体"/>
        <w:b w:val="0"/>
        <w:i w:val="0"/>
        <w:sz w:val="21"/>
      </w:rPr>
    </w:lvl>
    <w:lvl w:ilvl="4" w:tentative="0">
      <w:start w:val="1"/>
      <w:numFmt w:val="decimal"/>
      <w:pStyle w:val="98"/>
      <w:suff w:val="nothing"/>
      <w:lvlText w:val="%1%2.%3.%4.%5　"/>
      <w:lvlJc w:val="left"/>
      <w:pPr>
        <w:ind w:left="2977"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8650488"/>
    <w:multiLevelType w:val="multilevel"/>
    <w:tmpl w:val="7865048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28"/>
  </w:num>
  <w:num w:numId="3">
    <w:abstractNumId w:val="5"/>
  </w:num>
  <w:num w:numId="4">
    <w:abstractNumId w:val="15"/>
  </w:num>
  <w:num w:numId="5">
    <w:abstractNumId w:val="9"/>
  </w:num>
  <w:num w:numId="6">
    <w:abstractNumId w:val="3"/>
  </w:num>
  <w:num w:numId="7">
    <w:abstractNumId w:val="10"/>
  </w:num>
  <w:num w:numId="8">
    <w:abstractNumId w:val="18"/>
  </w:num>
  <w:num w:numId="9">
    <w:abstractNumId w:val="26"/>
  </w:num>
  <w:num w:numId="10">
    <w:abstractNumId w:val="12"/>
  </w:num>
  <w:num w:numId="11">
    <w:abstractNumId w:val="13"/>
  </w:num>
  <w:num w:numId="12">
    <w:abstractNumId w:val="8"/>
  </w:num>
  <w:num w:numId="13">
    <w:abstractNumId w:val="21"/>
  </w:num>
  <w:num w:numId="14">
    <w:abstractNumId w:val="23"/>
  </w:num>
  <w:num w:numId="15">
    <w:abstractNumId w:val="19"/>
  </w:num>
  <w:num w:numId="16">
    <w:abstractNumId w:val="30"/>
  </w:num>
  <w:num w:numId="17">
    <w:abstractNumId w:val="17"/>
  </w:num>
  <w:num w:numId="18">
    <w:abstractNumId w:val="1"/>
  </w:num>
  <w:num w:numId="19">
    <w:abstractNumId w:val="11"/>
  </w:num>
  <w:num w:numId="20">
    <w:abstractNumId w:val="31"/>
  </w:num>
  <w:num w:numId="21">
    <w:abstractNumId w:val="22"/>
  </w:num>
  <w:num w:numId="22">
    <w:abstractNumId w:val="6"/>
  </w:num>
  <w:num w:numId="23">
    <w:abstractNumId w:val="27"/>
  </w:num>
  <w:num w:numId="24">
    <w:abstractNumId w:val="29"/>
  </w:num>
  <w:num w:numId="25">
    <w:abstractNumId w:val="2"/>
  </w:num>
  <w:num w:numId="26">
    <w:abstractNumId w:val="4"/>
  </w:num>
  <w:num w:numId="27">
    <w:abstractNumId w:val="16"/>
  </w:num>
  <w:num w:numId="28">
    <w:abstractNumId w:val="25"/>
  </w:num>
  <w:num w:numId="29">
    <w:abstractNumId w:val="24"/>
  </w:num>
  <w:num w:numId="30">
    <w:abstractNumId w:val="2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6F"/>
    <w:rsid w:val="0000040A"/>
    <w:rsid w:val="00000A94"/>
    <w:rsid w:val="00001972"/>
    <w:rsid w:val="00001D9A"/>
    <w:rsid w:val="00007B3A"/>
    <w:rsid w:val="000107E0"/>
    <w:rsid w:val="00010F33"/>
    <w:rsid w:val="00011FDE"/>
    <w:rsid w:val="0001278D"/>
    <w:rsid w:val="00012FFD"/>
    <w:rsid w:val="00013B81"/>
    <w:rsid w:val="00014162"/>
    <w:rsid w:val="00014340"/>
    <w:rsid w:val="00016A9C"/>
    <w:rsid w:val="00022184"/>
    <w:rsid w:val="00022762"/>
    <w:rsid w:val="000238E0"/>
    <w:rsid w:val="000249DB"/>
    <w:rsid w:val="0002595E"/>
    <w:rsid w:val="00027C86"/>
    <w:rsid w:val="000303C3"/>
    <w:rsid w:val="000331D3"/>
    <w:rsid w:val="00033D13"/>
    <w:rsid w:val="000346A5"/>
    <w:rsid w:val="000359C3"/>
    <w:rsid w:val="00035A7D"/>
    <w:rsid w:val="00035EAC"/>
    <w:rsid w:val="000365ED"/>
    <w:rsid w:val="00036F1B"/>
    <w:rsid w:val="0004249A"/>
    <w:rsid w:val="00043282"/>
    <w:rsid w:val="00044286"/>
    <w:rsid w:val="00045708"/>
    <w:rsid w:val="0004646E"/>
    <w:rsid w:val="00047F28"/>
    <w:rsid w:val="000503AA"/>
    <w:rsid w:val="000506A1"/>
    <w:rsid w:val="000515DD"/>
    <w:rsid w:val="0005265A"/>
    <w:rsid w:val="00053528"/>
    <w:rsid w:val="000539DD"/>
    <w:rsid w:val="00053BD3"/>
    <w:rsid w:val="000556ED"/>
    <w:rsid w:val="00055FE2"/>
    <w:rsid w:val="0005616F"/>
    <w:rsid w:val="00060C2E"/>
    <w:rsid w:val="00061033"/>
    <w:rsid w:val="000619E9"/>
    <w:rsid w:val="00061F5B"/>
    <w:rsid w:val="000622D4"/>
    <w:rsid w:val="0006357D"/>
    <w:rsid w:val="00067F1E"/>
    <w:rsid w:val="00070526"/>
    <w:rsid w:val="00071CC0"/>
    <w:rsid w:val="00072EFC"/>
    <w:rsid w:val="000731E5"/>
    <w:rsid w:val="00073C8C"/>
    <w:rsid w:val="000753C4"/>
    <w:rsid w:val="00077B64"/>
    <w:rsid w:val="00080395"/>
    <w:rsid w:val="00080A1C"/>
    <w:rsid w:val="00080E77"/>
    <w:rsid w:val="00082317"/>
    <w:rsid w:val="00083129"/>
    <w:rsid w:val="00083D2C"/>
    <w:rsid w:val="0008685F"/>
    <w:rsid w:val="00086AA1"/>
    <w:rsid w:val="00087A77"/>
    <w:rsid w:val="00087D9B"/>
    <w:rsid w:val="00090CA6"/>
    <w:rsid w:val="00092B8A"/>
    <w:rsid w:val="00092FB0"/>
    <w:rsid w:val="000934C5"/>
    <w:rsid w:val="0009370E"/>
    <w:rsid w:val="00093D25"/>
    <w:rsid w:val="00093DAB"/>
    <w:rsid w:val="00094D32"/>
    <w:rsid w:val="00094D73"/>
    <w:rsid w:val="000968F4"/>
    <w:rsid w:val="00096D63"/>
    <w:rsid w:val="000A0B60"/>
    <w:rsid w:val="000A0EB8"/>
    <w:rsid w:val="000A1125"/>
    <w:rsid w:val="000A19FC"/>
    <w:rsid w:val="000A296B"/>
    <w:rsid w:val="000A4AFE"/>
    <w:rsid w:val="000A7311"/>
    <w:rsid w:val="000B0347"/>
    <w:rsid w:val="000B060F"/>
    <w:rsid w:val="000B1592"/>
    <w:rsid w:val="000B1EA7"/>
    <w:rsid w:val="000B1FF2"/>
    <w:rsid w:val="000B3CDA"/>
    <w:rsid w:val="000B47F0"/>
    <w:rsid w:val="000B6A0B"/>
    <w:rsid w:val="000B7770"/>
    <w:rsid w:val="000B7A8A"/>
    <w:rsid w:val="000C0F6C"/>
    <w:rsid w:val="000C11DB"/>
    <w:rsid w:val="000C1492"/>
    <w:rsid w:val="000C2FBD"/>
    <w:rsid w:val="000C4B41"/>
    <w:rsid w:val="000C57D6"/>
    <w:rsid w:val="000C6362"/>
    <w:rsid w:val="000C7666"/>
    <w:rsid w:val="000C7718"/>
    <w:rsid w:val="000D0A9C"/>
    <w:rsid w:val="000D1795"/>
    <w:rsid w:val="000D1DCF"/>
    <w:rsid w:val="000D2F16"/>
    <w:rsid w:val="000D329A"/>
    <w:rsid w:val="000D4B9C"/>
    <w:rsid w:val="000D4EB6"/>
    <w:rsid w:val="000D71BC"/>
    <w:rsid w:val="000D753B"/>
    <w:rsid w:val="000D7A94"/>
    <w:rsid w:val="000E1C0F"/>
    <w:rsid w:val="000E3351"/>
    <w:rsid w:val="000E4C9E"/>
    <w:rsid w:val="000E522D"/>
    <w:rsid w:val="000E6FD7"/>
    <w:rsid w:val="000E76E2"/>
    <w:rsid w:val="000F06E1"/>
    <w:rsid w:val="000F0E3C"/>
    <w:rsid w:val="000F17D3"/>
    <w:rsid w:val="000F19D5"/>
    <w:rsid w:val="000F3BA3"/>
    <w:rsid w:val="000F4AEA"/>
    <w:rsid w:val="000F55BA"/>
    <w:rsid w:val="000F633F"/>
    <w:rsid w:val="000F67E9"/>
    <w:rsid w:val="00104926"/>
    <w:rsid w:val="00104EDC"/>
    <w:rsid w:val="00112268"/>
    <w:rsid w:val="00113316"/>
    <w:rsid w:val="00113B1E"/>
    <w:rsid w:val="0011452E"/>
    <w:rsid w:val="001169FD"/>
    <w:rsid w:val="0011700A"/>
    <w:rsid w:val="0011711C"/>
    <w:rsid w:val="0012059C"/>
    <w:rsid w:val="00122626"/>
    <w:rsid w:val="00122A35"/>
    <w:rsid w:val="00124E4F"/>
    <w:rsid w:val="001260B7"/>
    <w:rsid w:val="001265CB"/>
    <w:rsid w:val="0012692A"/>
    <w:rsid w:val="001321C6"/>
    <w:rsid w:val="001325C4"/>
    <w:rsid w:val="00132EA2"/>
    <w:rsid w:val="00133010"/>
    <w:rsid w:val="001338EE"/>
    <w:rsid w:val="00133AAE"/>
    <w:rsid w:val="00135323"/>
    <w:rsid w:val="001356C4"/>
    <w:rsid w:val="00136A07"/>
    <w:rsid w:val="00141114"/>
    <w:rsid w:val="00142969"/>
    <w:rsid w:val="001446C2"/>
    <w:rsid w:val="001457E7"/>
    <w:rsid w:val="00145D9D"/>
    <w:rsid w:val="00146388"/>
    <w:rsid w:val="001522A6"/>
    <w:rsid w:val="001529E5"/>
    <w:rsid w:val="0015326C"/>
    <w:rsid w:val="00153C7E"/>
    <w:rsid w:val="00154E2B"/>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F13"/>
    <w:rsid w:val="0017340B"/>
    <w:rsid w:val="00173FB1"/>
    <w:rsid w:val="00176DFD"/>
    <w:rsid w:val="00184C9A"/>
    <w:rsid w:val="001852C9"/>
    <w:rsid w:val="00190087"/>
    <w:rsid w:val="001913C4"/>
    <w:rsid w:val="0019348F"/>
    <w:rsid w:val="00193A07"/>
    <w:rsid w:val="00194C95"/>
    <w:rsid w:val="00195C34"/>
    <w:rsid w:val="00196A40"/>
    <w:rsid w:val="00196EF5"/>
    <w:rsid w:val="001A1A53"/>
    <w:rsid w:val="001A234A"/>
    <w:rsid w:val="001A280A"/>
    <w:rsid w:val="001A4CF3"/>
    <w:rsid w:val="001B06E8"/>
    <w:rsid w:val="001B2197"/>
    <w:rsid w:val="001B2275"/>
    <w:rsid w:val="001B479F"/>
    <w:rsid w:val="001B71D0"/>
    <w:rsid w:val="001B71EE"/>
    <w:rsid w:val="001B7DC7"/>
    <w:rsid w:val="001C01AF"/>
    <w:rsid w:val="001C04A8"/>
    <w:rsid w:val="001C1556"/>
    <w:rsid w:val="001C1AA4"/>
    <w:rsid w:val="001C2C03"/>
    <w:rsid w:val="001C42F7"/>
    <w:rsid w:val="001C49E5"/>
    <w:rsid w:val="001C680C"/>
    <w:rsid w:val="001C7FEA"/>
    <w:rsid w:val="001D0499"/>
    <w:rsid w:val="001D0BBE"/>
    <w:rsid w:val="001D0ED4"/>
    <w:rsid w:val="001D212F"/>
    <w:rsid w:val="001D2492"/>
    <w:rsid w:val="001D29D7"/>
    <w:rsid w:val="001D2DE7"/>
    <w:rsid w:val="001D411C"/>
    <w:rsid w:val="001E1B6A"/>
    <w:rsid w:val="001E2484"/>
    <w:rsid w:val="001E3CC4"/>
    <w:rsid w:val="001E4882"/>
    <w:rsid w:val="001E5203"/>
    <w:rsid w:val="001E73AB"/>
    <w:rsid w:val="001E76C7"/>
    <w:rsid w:val="001F092D"/>
    <w:rsid w:val="001F1164"/>
    <w:rsid w:val="001F143A"/>
    <w:rsid w:val="001F1605"/>
    <w:rsid w:val="001F2508"/>
    <w:rsid w:val="001F41D7"/>
    <w:rsid w:val="001F4816"/>
    <w:rsid w:val="001F4EE9"/>
    <w:rsid w:val="001F69B4"/>
    <w:rsid w:val="001F6BA5"/>
    <w:rsid w:val="001F6E33"/>
    <w:rsid w:val="001F77C7"/>
    <w:rsid w:val="00200183"/>
    <w:rsid w:val="00200333"/>
    <w:rsid w:val="0020107D"/>
    <w:rsid w:val="00202AA4"/>
    <w:rsid w:val="002031F7"/>
    <w:rsid w:val="002040E6"/>
    <w:rsid w:val="0020527B"/>
    <w:rsid w:val="00205962"/>
    <w:rsid w:val="00205F2C"/>
    <w:rsid w:val="00207873"/>
    <w:rsid w:val="00210392"/>
    <w:rsid w:val="00210B15"/>
    <w:rsid w:val="0021179B"/>
    <w:rsid w:val="002142EA"/>
    <w:rsid w:val="002156F2"/>
    <w:rsid w:val="002204BB"/>
    <w:rsid w:val="00221B79"/>
    <w:rsid w:val="00221C6B"/>
    <w:rsid w:val="00222650"/>
    <w:rsid w:val="00223E90"/>
    <w:rsid w:val="002253A1"/>
    <w:rsid w:val="00225CF8"/>
    <w:rsid w:val="0022794E"/>
    <w:rsid w:val="00232EE4"/>
    <w:rsid w:val="00233D64"/>
    <w:rsid w:val="002345D9"/>
    <w:rsid w:val="0023482A"/>
    <w:rsid w:val="002359CB"/>
    <w:rsid w:val="002419BB"/>
    <w:rsid w:val="00243540"/>
    <w:rsid w:val="0024497B"/>
    <w:rsid w:val="0024515B"/>
    <w:rsid w:val="00246021"/>
    <w:rsid w:val="002464B9"/>
    <w:rsid w:val="0024666E"/>
    <w:rsid w:val="00246FB3"/>
    <w:rsid w:val="00247F52"/>
    <w:rsid w:val="00250B25"/>
    <w:rsid w:val="00250BBE"/>
    <w:rsid w:val="002515C2"/>
    <w:rsid w:val="0025194F"/>
    <w:rsid w:val="002524EA"/>
    <w:rsid w:val="00252A4B"/>
    <w:rsid w:val="00252E8F"/>
    <w:rsid w:val="00256F7E"/>
    <w:rsid w:val="0026148A"/>
    <w:rsid w:val="0026228E"/>
    <w:rsid w:val="00262696"/>
    <w:rsid w:val="00263D25"/>
    <w:rsid w:val="002643C3"/>
    <w:rsid w:val="00264A0C"/>
    <w:rsid w:val="00266EEB"/>
    <w:rsid w:val="00267EF4"/>
    <w:rsid w:val="00270A55"/>
    <w:rsid w:val="00270CB8"/>
    <w:rsid w:val="00272B08"/>
    <w:rsid w:val="00272F3E"/>
    <w:rsid w:val="002738A2"/>
    <w:rsid w:val="002745A8"/>
    <w:rsid w:val="002777FA"/>
    <w:rsid w:val="00281BB8"/>
    <w:rsid w:val="00281E9E"/>
    <w:rsid w:val="00282405"/>
    <w:rsid w:val="00285170"/>
    <w:rsid w:val="00285361"/>
    <w:rsid w:val="0028724B"/>
    <w:rsid w:val="00287FB5"/>
    <w:rsid w:val="00292D60"/>
    <w:rsid w:val="00293B30"/>
    <w:rsid w:val="00294D34"/>
    <w:rsid w:val="00294E3B"/>
    <w:rsid w:val="002960FA"/>
    <w:rsid w:val="00296193"/>
    <w:rsid w:val="00296C66"/>
    <w:rsid w:val="00296EBE"/>
    <w:rsid w:val="002974D2"/>
    <w:rsid w:val="002974E3"/>
    <w:rsid w:val="002A084B"/>
    <w:rsid w:val="002A1260"/>
    <w:rsid w:val="002A1589"/>
    <w:rsid w:val="002A1608"/>
    <w:rsid w:val="002A25DC"/>
    <w:rsid w:val="002A3AAB"/>
    <w:rsid w:val="002A4CEA"/>
    <w:rsid w:val="002A5977"/>
    <w:rsid w:val="002A5A13"/>
    <w:rsid w:val="002A757F"/>
    <w:rsid w:val="002A7F44"/>
    <w:rsid w:val="002B03E5"/>
    <w:rsid w:val="002B0C40"/>
    <w:rsid w:val="002B1966"/>
    <w:rsid w:val="002B4508"/>
    <w:rsid w:val="002B5779"/>
    <w:rsid w:val="002B7332"/>
    <w:rsid w:val="002B7F51"/>
    <w:rsid w:val="002C09E7"/>
    <w:rsid w:val="002C12E8"/>
    <w:rsid w:val="002C1E06"/>
    <w:rsid w:val="002C1E1C"/>
    <w:rsid w:val="002C3F07"/>
    <w:rsid w:val="002C4F16"/>
    <w:rsid w:val="002C5278"/>
    <w:rsid w:val="002C6F79"/>
    <w:rsid w:val="002C7EBB"/>
    <w:rsid w:val="002D06C1"/>
    <w:rsid w:val="002D1EEC"/>
    <w:rsid w:val="002D3E6B"/>
    <w:rsid w:val="002D42B5"/>
    <w:rsid w:val="002D4F1A"/>
    <w:rsid w:val="002D56BB"/>
    <w:rsid w:val="002D6C51"/>
    <w:rsid w:val="002D6EC6"/>
    <w:rsid w:val="002D79AC"/>
    <w:rsid w:val="002D7A5B"/>
    <w:rsid w:val="002E039D"/>
    <w:rsid w:val="002E23E8"/>
    <w:rsid w:val="002E2F10"/>
    <w:rsid w:val="002E4D5A"/>
    <w:rsid w:val="002E60B8"/>
    <w:rsid w:val="002E6326"/>
    <w:rsid w:val="002E74FE"/>
    <w:rsid w:val="002F30E0"/>
    <w:rsid w:val="002F35E4"/>
    <w:rsid w:val="002F3730"/>
    <w:rsid w:val="002F38E1"/>
    <w:rsid w:val="002F7AF6"/>
    <w:rsid w:val="00300368"/>
    <w:rsid w:val="00300E63"/>
    <w:rsid w:val="00302F5F"/>
    <w:rsid w:val="0030441D"/>
    <w:rsid w:val="00306063"/>
    <w:rsid w:val="003119AC"/>
    <w:rsid w:val="00313B85"/>
    <w:rsid w:val="00315481"/>
    <w:rsid w:val="00317988"/>
    <w:rsid w:val="00320374"/>
    <w:rsid w:val="003204B5"/>
    <w:rsid w:val="00321448"/>
    <w:rsid w:val="003221B4"/>
    <w:rsid w:val="0032258D"/>
    <w:rsid w:val="00322E62"/>
    <w:rsid w:val="0032465A"/>
    <w:rsid w:val="00324D13"/>
    <w:rsid w:val="00324D2A"/>
    <w:rsid w:val="00324EDD"/>
    <w:rsid w:val="0032659C"/>
    <w:rsid w:val="00330FC1"/>
    <w:rsid w:val="003315A4"/>
    <w:rsid w:val="00331660"/>
    <w:rsid w:val="0033166F"/>
    <w:rsid w:val="003331E4"/>
    <w:rsid w:val="00333DDC"/>
    <w:rsid w:val="00334499"/>
    <w:rsid w:val="003348DC"/>
    <w:rsid w:val="00336C64"/>
    <w:rsid w:val="00337162"/>
    <w:rsid w:val="0034194F"/>
    <w:rsid w:val="00344605"/>
    <w:rsid w:val="00345672"/>
    <w:rsid w:val="003474AA"/>
    <w:rsid w:val="00350512"/>
    <w:rsid w:val="00350D1D"/>
    <w:rsid w:val="003510BF"/>
    <w:rsid w:val="00352C83"/>
    <w:rsid w:val="003615D2"/>
    <w:rsid w:val="00362E97"/>
    <w:rsid w:val="00363EAB"/>
    <w:rsid w:val="0036429C"/>
    <w:rsid w:val="00364A53"/>
    <w:rsid w:val="00365323"/>
    <w:rsid w:val="003654CB"/>
    <w:rsid w:val="00365AA9"/>
    <w:rsid w:val="00365F86"/>
    <w:rsid w:val="00365F87"/>
    <w:rsid w:val="003661D6"/>
    <w:rsid w:val="00366E89"/>
    <w:rsid w:val="003705F4"/>
    <w:rsid w:val="00370D58"/>
    <w:rsid w:val="00371316"/>
    <w:rsid w:val="00372622"/>
    <w:rsid w:val="00375132"/>
    <w:rsid w:val="00375BA3"/>
    <w:rsid w:val="00376713"/>
    <w:rsid w:val="00381815"/>
    <w:rsid w:val="003819AF"/>
    <w:rsid w:val="00381D50"/>
    <w:rsid w:val="003820E9"/>
    <w:rsid w:val="00382DE7"/>
    <w:rsid w:val="00384FFC"/>
    <w:rsid w:val="00386BFE"/>
    <w:rsid w:val="003872FC"/>
    <w:rsid w:val="00387A56"/>
    <w:rsid w:val="00387ADC"/>
    <w:rsid w:val="00390020"/>
    <w:rsid w:val="003903D6"/>
    <w:rsid w:val="00390EE6"/>
    <w:rsid w:val="0039118F"/>
    <w:rsid w:val="00392AD7"/>
    <w:rsid w:val="003938D9"/>
    <w:rsid w:val="00393B46"/>
    <w:rsid w:val="00394376"/>
    <w:rsid w:val="003943FF"/>
    <w:rsid w:val="00395700"/>
    <w:rsid w:val="00395C38"/>
    <w:rsid w:val="003974EB"/>
    <w:rsid w:val="003977DC"/>
    <w:rsid w:val="00397CC5"/>
    <w:rsid w:val="003A1582"/>
    <w:rsid w:val="003A27DD"/>
    <w:rsid w:val="003A4077"/>
    <w:rsid w:val="003A480F"/>
    <w:rsid w:val="003B09AD"/>
    <w:rsid w:val="003B1F18"/>
    <w:rsid w:val="003B5BF0"/>
    <w:rsid w:val="003B60BF"/>
    <w:rsid w:val="003B644B"/>
    <w:rsid w:val="003B6BE3"/>
    <w:rsid w:val="003C010C"/>
    <w:rsid w:val="003C0A6C"/>
    <w:rsid w:val="003C1468"/>
    <w:rsid w:val="003C14F8"/>
    <w:rsid w:val="003C1574"/>
    <w:rsid w:val="003C2C3F"/>
    <w:rsid w:val="003C5A43"/>
    <w:rsid w:val="003C65DC"/>
    <w:rsid w:val="003D0519"/>
    <w:rsid w:val="003D0FF6"/>
    <w:rsid w:val="003D2420"/>
    <w:rsid w:val="003D262C"/>
    <w:rsid w:val="003D2C10"/>
    <w:rsid w:val="003D6D61"/>
    <w:rsid w:val="003D7389"/>
    <w:rsid w:val="003E067A"/>
    <w:rsid w:val="003E091D"/>
    <w:rsid w:val="003E18A2"/>
    <w:rsid w:val="003E1C53"/>
    <w:rsid w:val="003E2A69"/>
    <w:rsid w:val="003E2D49"/>
    <w:rsid w:val="003E2FD4"/>
    <w:rsid w:val="003E49F6"/>
    <w:rsid w:val="003E4DA7"/>
    <w:rsid w:val="003E660F"/>
    <w:rsid w:val="003E7D14"/>
    <w:rsid w:val="003F0841"/>
    <w:rsid w:val="003F23D3"/>
    <w:rsid w:val="003F3F08"/>
    <w:rsid w:val="003F401F"/>
    <w:rsid w:val="003F49F1"/>
    <w:rsid w:val="003F6272"/>
    <w:rsid w:val="003F764C"/>
    <w:rsid w:val="00400E72"/>
    <w:rsid w:val="00401400"/>
    <w:rsid w:val="00403A32"/>
    <w:rsid w:val="00404869"/>
    <w:rsid w:val="00405884"/>
    <w:rsid w:val="00407D39"/>
    <w:rsid w:val="004113F4"/>
    <w:rsid w:val="0041477A"/>
    <w:rsid w:val="004167A3"/>
    <w:rsid w:val="004224E1"/>
    <w:rsid w:val="00424C62"/>
    <w:rsid w:val="00432DAA"/>
    <w:rsid w:val="00434305"/>
    <w:rsid w:val="00435DF7"/>
    <w:rsid w:val="004403FB"/>
    <w:rsid w:val="0044083F"/>
    <w:rsid w:val="00441AE7"/>
    <w:rsid w:val="00445574"/>
    <w:rsid w:val="0044567E"/>
    <w:rsid w:val="004467FB"/>
    <w:rsid w:val="0045112E"/>
    <w:rsid w:val="00452D6B"/>
    <w:rsid w:val="0045405F"/>
    <w:rsid w:val="00454484"/>
    <w:rsid w:val="0045517B"/>
    <w:rsid w:val="00460FD9"/>
    <w:rsid w:val="00462751"/>
    <w:rsid w:val="00462B1C"/>
    <w:rsid w:val="00463B77"/>
    <w:rsid w:val="00463C7B"/>
    <w:rsid w:val="004644A6"/>
    <w:rsid w:val="004659BD"/>
    <w:rsid w:val="00467F3A"/>
    <w:rsid w:val="00470775"/>
    <w:rsid w:val="004746B1"/>
    <w:rsid w:val="0047583F"/>
    <w:rsid w:val="004759DE"/>
    <w:rsid w:val="00475C64"/>
    <w:rsid w:val="00475DE8"/>
    <w:rsid w:val="00481C44"/>
    <w:rsid w:val="00482AA2"/>
    <w:rsid w:val="00484936"/>
    <w:rsid w:val="00485C89"/>
    <w:rsid w:val="00486BE3"/>
    <w:rsid w:val="004905E4"/>
    <w:rsid w:val="00490689"/>
    <w:rsid w:val="00490A89"/>
    <w:rsid w:val="00490AB4"/>
    <w:rsid w:val="00492F02"/>
    <w:rsid w:val="004939AE"/>
    <w:rsid w:val="0049411B"/>
    <w:rsid w:val="00495772"/>
    <w:rsid w:val="004A0323"/>
    <w:rsid w:val="004A12DF"/>
    <w:rsid w:val="004A17E6"/>
    <w:rsid w:val="004A1BA8"/>
    <w:rsid w:val="004A3297"/>
    <w:rsid w:val="004A4B57"/>
    <w:rsid w:val="004A63FA"/>
    <w:rsid w:val="004A6C6F"/>
    <w:rsid w:val="004B0272"/>
    <w:rsid w:val="004B2701"/>
    <w:rsid w:val="004B2E1B"/>
    <w:rsid w:val="004B3AA8"/>
    <w:rsid w:val="004B3E93"/>
    <w:rsid w:val="004B6F4A"/>
    <w:rsid w:val="004C1B7F"/>
    <w:rsid w:val="004C1FBC"/>
    <w:rsid w:val="004C3F1D"/>
    <w:rsid w:val="004C458D"/>
    <w:rsid w:val="004C4779"/>
    <w:rsid w:val="004C7556"/>
    <w:rsid w:val="004C7991"/>
    <w:rsid w:val="004C7E8B"/>
    <w:rsid w:val="004C7E9D"/>
    <w:rsid w:val="004C7F67"/>
    <w:rsid w:val="004D076D"/>
    <w:rsid w:val="004D0EF1"/>
    <w:rsid w:val="004D2253"/>
    <w:rsid w:val="004D32FB"/>
    <w:rsid w:val="004D4406"/>
    <w:rsid w:val="004D75C8"/>
    <w:rsid w:val="004D7C42"/>
    <w:rsid w:val="004E0465"/>
    <w:rsid w:val="004E0543"/>
    <w:rsid w:val="004E127B"/>
    <w:rsid w:val="004E159D"/>
    <w:rsid w:val="004E1C0A"/>
    <w:rsid w:val="004E2B06"/>
    <w:rsid w:val="004E30C5"/>
    <w:rsid w:val="004E4AA5"/>
    <w:rsid w:val="004E4AEE"/>
    <w:rsid w:val="004E59E3"/>
    <w:rsid w:val="004E67C0"/>
    <w:rsid w:val="004E684F"/>
    <w:rsid w:val="004E7EEF"/>
    <w:rsid w:val="004F070A"/>
    <w:rsid w:val="004F0E75"/>
    <w:rsid w:val="004F3087"/>
    <w:rsid w:val="004F391A"/>
    <w:rsid w:val="004F3CFB"/>
    <w:rsid w:val="004F4C43"/>
    <w:rsid w:val="004F5700"/>
    <w:rsid w:val="004F6456"/>
    <w:rsid w:val="004F696E"/>
    <w:rsid w:val="004F6C71"/>
    <w:rsid w:val="00501139"/>
    <w:rsid w:val="00501816"/>
    <w:rsid w:val="0050363E"/>
    <w:rsid w:val="005039BC"/>
    <w:rsid w:val="005043BB"/>
    <w:rsid w:val="00504A3D"/>
    <w:rsid w:val="00504ADE"/>
    <w:rsid w:val="00505767"/>
    <w:rsid w:val="00506F0F"/>
    <w:rsid w:val="005073F0"/>
    <w:rsid w:val="00510A7B"/>
    <w:rsid w:val="00512F6E"/>
    <w:rsid w:val="00513038"/>
    <w:rsid w:val="00514174"/>
    <w:rsid w:val="00516088"/>
    <w:rsid w:val="00516B0B"/>
    <w:rsid w:val="005220EC"/>
    <w:rsid w:val="00523F95"/>
    <w:rsid w:val="00524D65"/>
    <w:rsid w:val="00525B16"/>
    <w:rsid w:val="00525BD9"/>
    <w:rsid w:val="00533D04"/>
    <w:rsid w:val="00534804"/>
    <w:rsid w:val="00534BDF"/>
    <w:rsid w:val="005354EA"/>
    <w:rsid w:val="0053585F"/>
    <w:rsid w:val="00535EC4"/>
    <w:rsid w:val="00535ED9"/>
    <w:rsid w:val="0053692B"/>
    <w:rsid w:val="00540B03"/>
    <w:rsid w:val="00540E5F"/>
    <w:rsid w:val="00541853"/>
    <w:rsid w:val="00543BDA"/>
    <w:rsid w:val="005441CC"/>
    <w:rsid w:val="005479DA"/>
    <w:rsid w:val="00547BCC"/>
    <w:rsid w:val="0055013B"/>
    <w:rsid w:val="00551F6F"/>
    <w:rsid w:val="00554FA2"/>
    <w:rsid w:val="00555044"/>
    <w:rsid w:val="00557C7E"/>
    <w:rsid w:val="00561475"/>
    <w:rsid w:val="00563D28"/>
    <w:rsid w:val="0056487B"/>
    <w:rsid w:val="00564FB9"/>
    <w:rsid w:val="0056554D"/>
    <w:rsid w:val="00565E1D"/>
    <w:rsid w:val="00566966"/>
    <w:rsid w:val="0056791D"/>
    <w:rsid w:val="00573D9E"/>
    <w:rsid w:val="005801E3"/>
    <w:rsid w:val="0058083D"/>
    <w:rsid w:val="00581802"/>
    <w:rsid w:val="005836A8"/>
    <w:rsid w:val="0058409C"/>
    <w:rsid w:val="00584262"/>
    <w:rsid w:val="00585967"/>
    <w:rsid w:val="00586630"/>
    <w:rsid w:val="00587ADD"/>
    <w:rsid w:val="005902E3"/>
    <w:rsid w:val="0059042E"/>
    <w:rsid w:val="00591510"/>
    <w:rsid w:val="00591E27"/>
    <w:rsid w:val="00594219"/>
    <w:rsid w:val="00596160"/>
    <w:rsid w:val="005966C0"/>
    <w:rsid w:val="005966E2"/>
    <w:rsid w:val="00596B00"/>
    <w:rsid w:val="00597007"/>
    <w:rsid w:val="005A0966"/>
    <w:rsid w:val="005A11B7"/>
    <w:rsid w:val="005A25B1"/>
    <w:rsid w:val="005A260B"/>
    <w:rsid w:val="005A2689"/>
    <w:rsid w:val="005A38F1"/>
    <w:rsid w:val="005A4A1B"/>
    <w:rsid w:val="005A62FE"/>
    <w:rsid w:val="005A6B6C"/>
    <w:rsid w:val="005A7830"/>
    <w:rsid w:val="005A7F58"/>
    <w:rsid w:val="005A7FCE"/>
    <w:rsid w:val="005B0F3F"/>
    <w:rsid w:val="005B1E60"/>
    <w:rsid w:val="005B4903"/>
    <w:rsid w:val="005B51CE"/>
    <w:rsid w:val="005B5885"/>
    <w:rsid w:val="005B5CD7"/>
    <w:rsid w:val="005B6CD6"/>
    <w:rsid w:val="005B6CF6"/>
    <w:rsid w:val="005B73C7"/>
    <w:rsid w:val="005B7422"/>
    <w:rsid w:val="005C16A6"/>
    <w:rsid w:val="005C29B8"/>
    <w:rsid w:val="005C3F6A"/>
    <w:rsid w:val="005C4009"/>
    <w:rsid w:val="005C5F21"/>
    <w:rsid w:val="005C7156"/>
    <w:rsid w:val="005D0C75"/>
    <w:rsid w:val="005D2B9E"/>
    <w:rsid w:val="005D4171"/>
    <w:rsid w:val="005D47EC"/>
    <w:rsid w:val="005D6A95"/>
    <w:rsid w:val="005D6B2C"/>
    <w:rsid w:val="005D6D9C"/>
    <w:rsid w:val="005E2335"/>
    <w:rsid w:val="005E34CA"/>
    <w:rsid w:val="005E3BC5"/>
    <w:rsid w:val="005E3C18"/>
    <w:rsid w:val="005E6812"/>
    <w:rsid w:val="005E7881"/>
    <w:rsid w:val="005E78E0"/>
    <w:rsid w:val="005F0D9C"/>
    <w:rsid w:val="005F284E"/>
    <w:rsid w:val="005F4712"/>
    <w:rsid w:val="005F7A06"/>
    <w:rsid w:val="006015CE"/>
    <w:rsid w:val="006024CC"/>
    <w:rsid w:val="00603D82"/>
    <w:rsid w:val="006046DE"/>
    <w:rsid w:val="00604784"/>
    <w:rsid w:val="00606419"/>
    <w:rsid w:val="006077D3"/>
    <w:rsid w:val="00607D29"/>
    <w:rsid w:val="00612952"/>
    <w:rsid w:val="00614CC1"/>
    <w:rsid w:val="00615A9D"/>
    <w:rsid w:val="00617387"/>
    <w:rsid w:val="006205D6"/>
    <w:rsid w:val="006252D8"/>
    <w:rsid w:val="006259BC"/>
    <w:rsid w:val="0062636B"/>
    <w:rsid w:val="006313AA"/>
    <w:rsid w:val="00632182"/>
    <w:rsid w:val="00632AE0"/>
    <w:rsid w:val="00633C17"/>
    <w:rsid w:val="006348CB"/>
    <w:rsid w:val="00634D9E"/>
    <w:rsid w:val="00636357"/>
    <w:rsid w:val="00636E3E"/>
    <w:rsid w:val="00637654"/>
    <w:rsid w:val="006379F7"/>
    <w:rsid w:val="00637E4D"/>
    <w:rsid w:val="00640620"/>
    <w:rsid w:val="00641A1F"/>
    <w:rsid w:val="006422D3"/>
    <w:rsid w:val="00645904"/>
    <w:rsid w:val="00647DBF"/>
    <w:rsid w:val="00651ACB"/>
    <w:rsid w:val="00651C47"/>
    <w:rsid w:val="00652AB2"/>
    <w:rsid w:val="00653FED"/>
    <w:rsid w:val="00654EC0"/>
    <w:rsid w:val="0065525B"/>
    <w:rsid w:val="0065540C"/>
    <w:rsid w:val="00655D4F"/>
    <w:rsid w:val="00656D29"/>
    <w:rsid w:val="00657598"/>
    <w:rsid w:val="00657B6B"/>
    <w:rsid w:val="006640E5"/>
    <w:rsid w:val="006646F1"/>
    <w:rsid w:val="00664929"/>
    <w:rsid w:val="00664F62"/>
    <w:rsid w:val="006655E1"/>
    <w:rsid w:val="00671437"/>
    <w:rsid w:val="00672060"/>
    <w:rsid w:val="00672BFD"/>
    <w:rsid w:val="006750BD"/>
    <w:rsid w:val="00675AE6"/>
    <w:rsid w:val="006768C5"/>
    <w:rsid w:val="006770F4"/>
    <w:rsid w:val="00677336"/>
    <w:rsid w:val="00677A84"/>
    <w:rsid w:val="0068026D"/>
    <w:rsid w:val="0068073D"/>
    <w:rsid w:val="00680A27"/>
    <w:rsid w:val="00680E90"/>
    <w:rsid w:val="006816A4"/>
    <w:rsid w:val="006819B8"/>
    <w:rsid w:val="006840A6"/>
    <w:rsid w:val="006850CD"/>
    <w:rsid w:val="006850FE"/>
    <w:rsid w:val="00685AAB"/>
    <w:rsid w:val="00692F34"/>
    <w:rsid w:val="00695D22"/>
    <w:rsid w:val="006979C2"/>
    <w:rsid w:val="006A07AA"/>
    <w:rsid w:val="006A25E5"/>
    <w:rsid w:val="006A2B46"/>
    <w:rsid w:val="006A336D"/>
    <w:rsid w:val="006A37B9"/>
    <w:rsid w:val="006A7F5B"/>
    <w:rsid w:val="006B2672"/>
    <w:rsid w:val="006B489C"/>
    <w:rsid w:val="006B54BF"/>
    <w:rsid w:val="006B5F44"/>
    <w:rsid w:val="006B5F90"/>
    <w:rsid w:val="006B62E4"/>
    <w:rsid w:val="006C1BBA"/>
    <w:rsid w:val="006C2079"/>
    <w:rsid w:val="006C5A62"/>
    <w:rsid w:val="006C5D68"/>
    <w:rsid w:val="006C6976"/>
    <w:rsid w:val="006C6DD0"/>
    <w:rsid w:val="006D04EA"/>
    <w:rsid w:val="006D1257"/>
    <w:rsid w:val="006D1353"/>
    <w:rsid w:val="006D16C4"/>
    <w:rsid w:val="006D2C99"/>
    <w:rsid w:val="006D3E96"/>
    <w:rsid w:val="006D4515"/>
    <w:rsid w:val="006D4BB1"/>
    <w:rsid w:val="006D6593"/>
    <w:rsid w:val="006D7523"/>
    <w:rsid w:val="006E1CFD"/>
    <w:rsid w:val="006E23EA"/>
    <w:rsid w:val="006E38A6"/>
    <w:rsid w:val="006E4482"/>
    <w:rsid w:val="006F03A8"/>
    <w:rsid w:val="006F1333"/>
    <w:rsid w:val="006F1447"/>
    <w:rsid w:val="006F14A8"/>
    <w:rsid w:val="006F2ACA"/>
    <w:rsid w:val="006F2ADC"/>
    <w:rsid w:val="006F2BFE"/>
    <w:rsid w:val="006F31E9"/>
    <w:rsid w:val="006F55A5"/>
    <w:rsid w:val="006F6284"/>
    <w:rsid w:val="007000B2"/>
    <w:rsid w:val="007002C5"/>
    <w:rsid w:val="00704387"/>
    <w:rsid w:val="00705C2B"/>
    <w:rsid w:val="00706EEB"/>
    <w:rsid w:val="00707669"/>
    <w:rsid w:val="00711CBA"/>
    <w:rsid w:val="00711FB5"/>
    <w:rsid w:val="0071296B"/>
    <w:rsid w:val="00712A01"/>
    <w:rsid w:val="00714F58"/>
    <w:rsid w:val="00721FF5"/>
    <w:rsid w:val="00722FBF"/>
    <w:rsid w:val="00722FC2"/>
    <w:rsid w:val="00723257"/>
    <w:rsid w:val="00724879"/>
    <w:rsid w:val="00724E1B"/>
    <w:rsid w:val="00725949"/>
    <w:rsid w:val="00726F29"/>
    <w:rsid w:val="00727CBD"/>
    <w:rsid w:val="00727FA2"/>
    <w:rsid w:val="007322D9"/>
    <w:rsid w:val="00732BC0"/>
    <w:rsid w:val="00734106"/>
    <w:rsid w:val="007348FB"/>
    <w:rsid w:val="00735641"/>
    <w:rsid w:val="0073720F"/>
    <w:rsid w:val="00737796"/>
    <w:rsid w:val="0074165C"/>
    <w:rsid w:val="00742C35"/>
    <w:rsid w:val="007432CA"/>
    <w:rsid w:val="007439EB"/>
    <w:rsid w:val="00743CB4"/>
    <w:rsid w:val="00743E21"/>
    <w:rsid w:val="00743F0A"/>
    <w:rsid w:val="007444E8"/>
    <w:rsid w:val="00744AAF"/>
    <w:rsid w:val="0074548E"/>
    <w:rsid w:val="00745773"/>
    <w:rsid w:val="00746800"/>
    <w:rsid w:val="007472F5"/>
    <w:rsid w:val="007501A8"/>
    <w:rsid w:val="00750D61"/>
    <w:rsid w:val="00750EE1"/>
    <w:rsid w:val="00752B4D"/>
    <w:rsid w:val="00755402"/>
    <w:rsid w:val="00755F78"/>
    <w:rsid w:val="00756B26"/>
    <w:rsid w:val="00756EDF"/>
    <w:rsid w:val="00757177"/>
    <w:rsid w:val="007600E3"/>
    <w:rsid w:val="00762DDA"/>
    <w:rsid w:val="00765C43"/>
    <w:rsid w:val="00765EFB"/>
    <w:rsid w:val="0076620A"/>
    <w:rsid w:val="007671CA"/>
    <w:rsid w:val="00767C61"/>
    <w:rsid w:val="0077008A"/>
    <w:rsid w:val="00773C1F"/>
    <w:rsid w:val="00774749"/>
    <w:rsid w:val="00774DA4"/>
    <w:rsid w:val="00776599"/>
    <w:rsid w:val="0078114B"/>
    <w:rsid w:val="00781DD2"/>
    <w:rsid w:val="0078295F"/>
    <w:rsid w:val="00783ECF"/>
    <w:rsid w:val="0078413A"/>
    <w:rsid w:val="00786601"/>
    <w:rsid w:val="00787C59"/>
    <w:rsid w:val="007946CE"/>
    <w:rsid w:val="007959E8"/>
    <w:rsid w:val="00795E9C"/>
    <w:rsid w:val="00796027"/>
    <w:rsid w:val="007A0521"/>
    <w:rsid w:val="007A2E12"/>
    <w:rsid w:val="007A3475"/>
    <w:rsid w:val="007A41C8"/>
    <w:rsid w:val="007A54CE"/>
    <w:rsid w:val="007A54DE"/>
    <w:rsid w:val="007A59EB"/>
    <w:rsid w:val="007A6FD9"/>
    <w:rsid w:val="007A7FFA"/>
    <w:rsid w:val="007B04EB"/>
    <w:rsid w:val="007B0D4F"/>
    <w:rsid w:val="007B19AF"/>
    <w:rsid w:val="007B269E"/>
    <w:rsid w:val="007B5A3D"/>
    <w:rsid w:val="007B5B95"/>
    <w:rsid w:val="007B68EA"/>
    <w:rsid w:val="007B7453"/>
    <w:rsid w:val="007C1E8B"/>
    <w:rsid w:val="007C2D89"/>
    <w:rsid w:val="007C3BCE"/>
    <w:rsid w:val="007C4593"/>
    <w:rsid w:val="007C5309"/>
    <w:rsid w:val="007C6069"/>
    <w:rsid w:val="007D06C4"/>
    <w:rsid w:val="007D1352"/>
    <w:rsid w:val="007D2508"/>
    <w:rsid w:val="007D346A"/>
    <w:rsid w:val="007D6518"/>
    <w:rsid w:val="007D76BD"/>
    <w:rsid w:val="007E0BF1"/>
    <w:rsid w:val="007E2B88"/>
    <w:rsid w:val="007E3FC4"/>
    <w:rsid w:val="007E4795"/>
    <w:rsid w:val="007E48B6"/>
    <w:rsid w:val="007F0ED8"/>
    <w:rsid w:val="007F0F63"/>
    <w:rsid w:val="007F1546"/>
    <w:rsid w:val="007F55C2"/>
    <w:rsid w:val="007F5ECE"/>
    <w:rsid w:val="007F6ED1"/>
    <w:rsid w:val="007F75CE"/>
    <w:rsid w:val="0080003A"/>
    <w:rsid w:val="008013A4"/>
    <w:rsid w:val="00802797"/>
    <w:rsid w:val="008027CE"/>
    <w:rsid w:val="00802F42"/>
    <w:rsid w:val="0080336C"/>
    <w:rsid w:val="00803B71"/>
    <w:rsid w:val="00804383"/>
    <w:rsid w:val="00804BB7"/>
    <w:rsid w:val="00804D41"/>
    <w:rsid w:val="00810257"/>
    <w:rsid w:val="008104F5"/>
    <w:rsid w:val="00811072"/>
    <w:rsid w:val="00811369"/>
    <w:rsid w:val="00815419"/>
    <w:rsid w:val="008163C8"/>
    <w:rsid w:val="008164A1"/>
    <w:rsid w:val="00817325"/>
    <w:rsid w:val="008209E6"/>
    <w:rsid w:val="00821821"/>
    <w:rsid w:val="00823303"/>
    <w:rsid w:val="008233B2"/>
    <w:rsid w:val="00823A9F"/>
    <w:rsid w:val="00823C85"/>
    <w:rsid w:val="00825089"/>
    <w:rsid w:val="00825138"/>
    <w:rsid w:val="008269DD"/>
    <w:rsid w:val="008274C1"/>
    <w:rsid w:val="00830621"/>
    <w:rsid w:val="0083348C"/>
    <w:rsid w:val="008373D3"/>
    <w:rsid w:val="00840617"/>
    <w:rsid w:val="00840F84"/>
    <w:rsid w:val="00842A47"/>
    <w:rsid w:val="00843C13"/>
    <w:rsid w:val="008454F8"/>
    <w:rsid w:val="0085173A"/>
    <w:rsid w:val="00854270"/>
    <w:rsid w:val="00856316"/>
    <w:rsid w:val="008603CE"/>
    <w:rsid w:val="0086172C"/>
    <w:rsid w:val="00861A0A"/>
    <w:rsid w:val="008620FC"/>
    <w:rsid w:val="008626AA"/>
    <w:rsid w:val="008627A5"/>
    <w:rsid w:val="008632C7"/>
    <w:rsid w:val="00863E05"/>
    <w:rsid w:val="00865ACA"/>
    <w:rsid w:val="00865D28"/>
    <w:rsid w:val="00865F85"/>
    <w:rsid w:val="00866CE5"/>
    <w:rsid w:val="00867586"/>
    <w:rsid w:val="00867B02"/>
    <w:rsid w:val="00867C10"/>
    <w:rsid w:val="00870439"/>
    <w:rsid w:val="00870841"/>
    <w:rsid w:val="00870DA1"/>
    <w:rsid w:val="008725BE"/>
    <w:rsid w:val="00872693"/>
    <w:rsid w:val="008742B7"/>
    <w:rsid w:val="00876238"/>
    <w:rsid w:val="0088182F"/>
    <w:rsid w:val="00883F93"/>
    <w:rsid w:val="00884DB3"/>
    <w:rsid w:val="00885A9D"/>
    <w:rsid w:val="008864F6"/>
    <w:rsid w:val="0089049D"/>
    <w:rsid w:val="008928C9"/>
    <w:rsid w:val="008930CB"/>
    <w:rsid w:val="008938DC"/>
    <w:rsid w:val="00893FD1"/>
    <w:rsid w:val="00894836"/>
    <w:rsid w:val="00895172"/>
    <w:rsid w:val="00895680"/>
    <w:rsid w:val="008958AF"/>
    <w:rsid w:val="00896DFF"/>
    <w:rsid w:val="0089762C"/>
    <w:rsid w:val="0089794F"/>
    <w:rsid w:val="008A1893"/>
    <w:rsid w:val="008A3215"/>
    <w:rsid w:val="008A38A8"/>
    <w:rsid w:val="008A57E6"/>
    <w:rsid w:val="008A6F0C"/>
    <w:rsid w:val="008A6F81"/>
    <w:rsid w:val="008A769A"/>
    <w:rsid w:val="008B0C9C"/>
    <w:rsid w:val="008B166D"/>
    <w:rsid w:val="008B17F4"/>
    <w:rsid w:val="008B3615"/>
    <w:rsid w:val="008B41ED"/>
    <w:rsid w:val="008B4AC4"/>
    <w:rsid w:val="008B50C8"/>
    <w:rsid w:val="008B51B6"/>
    <w:rsid w:val="008B5281"/>
    <w:rsid w:val="008B5A7A"/>
    <w:rsid w:val="008B676B"/>
    <w:rsid w:val="008B75E7"/>
    <w:rsid w:val="008B78EE"/>
    <w:rsid w:val="008B7E05"/>
    <w:rsid w:val="008C08C1"/>
    <w:rsid w:val="008C1797"/>
    <w:rsid w:val="008C219C"/>
    <w:rsid w:val="008C3762"/>
    <w:rsid w:val="008C475E"/>
    <w:rsid w:val="008C619A"/>
    <w:rsid w:val="008D0CE8"/>
    <w:rsid w:val="008D2D1D"/>
    <w:rsid w:val="008D453D"/>
    <w:rsid w:val="008D53AD"/>
    <w:rsid w:val="008D562B"/>
    <w:rsid w:val="008D5733"/>
    <w:rsid w:val="008D5DED"/>
    <w:rsid w:val="008D622B"/>
    <w:rsid w:val="008D666C"/>
    <w:rsid w:val="008D7B54"/>
    <w:rsid w:val="008E0C9D"/>
    <w:rsid w:val="008E1257"/>
    <w:rsid w:val="008E1648"/>
    <w:rsid w:val="008E1B3E"/>
    <w:rsid w:val="008E2319"/>
    <w:rsid w:val="008E4BB6"/>
    <w:rsid w:val="008E5518"/>
    <w:rsid w:val="008E5E36"/>
    <w:rsid w:val="008E6782"/>
    <w:rsid w:val="008E6A84"/>
    <w:rsid w:val="008E7B06"/>
    <w:rsid w:val="008F0CDC"/>
    <w:rsid w:val="008F17A3"/>
    <w:rsid w:val="008F181F"/>
    <w:rsid w:val="008F1CA0"/>
    <w:rsid w:val="008F1ED3"/>
    <w:rsid w:val="008F23A5"/>
    <w:rsid w:val="008F4C29"/>
    <w:rsid w:val="008F70BD"/>
    <w:rsid w:val="008F788F"/>
    <w:rsid w:val="008F7EA2"/>
    <w:rsid w:val="00902722"/>
    <w:rsid w:val="009027BC"/>
    <w:rsid w:val="009044EA"/>
    <w:rsid w:val="009062E6"/>
    <w:rsid w:val="00911BE5"/>
    <w:rsid w:val="00913CA9"/>
    <w:rsid w:val="009145AE"/>
    <w:rsid w:val="009146CE"/>
    <w:rsid w:val="00914CA7"/>
    <w:rsid w:val="00914E76"/>
    <w:rsid w:val="00915C3E"/>
    <w:rsid w:val="009161A8"/>
    <w:rsid w:val="009213E7"/>
    <w:rsid w:val="0092302E"/>
    <w:rsid w:val="0092361A"/>
    <w:rsid w:val="009245F5"/>
    <w:rsid w:val="009249EC"/>
    <w:rsid w:val="009273B3"/>
    <w:rsid w:val="009305B5"/>
    <w:rsid w:val="00932510"/>
    <w:rsid w:val="009345CD"/>
    <w:rsid w:val="00936D86"/>
    <w:rsid w:val="009429D5"/>
    <w:rsid w:val="00942A3C"/>
    <w:rsid w:val="00942A89"/>
    <w:rsid w:val="00942BF1"/>
    <w:rsid w:val="00944364"/>
    <w:rsid w:val="00945180"/>
    <w:rsid w:val="00945428"/>
    <w:rsid w:val="00945E7B"/>
    <w:rsid w:val="0094607B"/>
    <w:rsid w:val="00953604"/>
    <w:rsid w:val="0095496B"/>
    <w:rsid w:val="00954E51"/>
    <w:rsid w:val="009610DC"/>
    <w:rsid w:val="00961490"/>
    <w:rsid w:val="0096381A"/>
    <w:rsid w:val="00965E04"/>
    <w:rsid w:val="00966DCC"/>
    <w:rsid w:val="009674AD"/>
    <w:rsid w:val="00970CDC"/>
    <w:rsid w:val="00973A9C"/>
    <w:rsid w:val="00977010"/>
    <w:rsid w:val="00977D02"/>
    <w:rsid w:val="009809BB"/>
    <w:rsid w:val="0098364B"/>
    <w:rsid w:val="009911AF"/>
    <w:rsid w:val="00991875"/>
    <w:rsid w:val="00991F92"/>
    <w:rsid w:val="00992111"/>
    <w:rsid w:val="00992985"/>
    <w:rsid w:val="00993889"/>
    <w:rsid w:val="009947FB"/>
    <w:rsid w:val="0099551B"/>
    <w:rsid w:val="00995734"/>
    <w:rsid w:val="00997BF1"/>
    <w:rsid w:val="009A089C"/>
    <w:rsid w:val="009A118E"/>
    <w:rsid w:val="009A21CD"/>
    <w:rsid w:val="009A278C"/>
    <w:rsid w:val="009A2BC2"/>
    <w:rsid w:val="009A42C1"/>
    <w:rsid w:val="009A5429"/>
    <w:rsid w:val="009A72AD"/>
    <w:rsid w:val="009B09E0"/>
    <w:rsid w:val="009B0BC5"/>
    <w:rsid w:val="009B1247"/>
    <w:rsid w:val="009B16BC"/>
    <w:rsid w:val="009B6029"/>
    <w:rsid w:val="009B6971"/>
    <w:rsid w:val="009C2719"/>
    <w:rsid w:val="009C27F1"/>
    <w:rsid w:val="009C2E54"/>
    <w:rsid w:val="009C3152"/>
    <w:rsid w:val="009C4CFA"/>
    <w:rsid w:val="009C4DE4"/>
    <w:rsid w:val="009C5070"/>
    <w:rsid w:val="009D0D74"/>
    <w:rsid w:val="009D0E19"/>
    <w:rsid w:val="009D112C"/>
    <w:rsid w:val="009D3EB7"/>
    <w:rsid w:val="009D47FA"/>
    <w:rsid w:val="009D4C5B"/>
    <w:rsid w:val="009D50D2"/>
    <w:rsid w:val="009D53C1"/>
    <w:rsid w:val="009D6BCA"/>
    <w:rsid w:val="009E0F62"/>
    <w:rsid w:val="009E4A58"/>
    <w:rsid w:val="009E50BD"/>
    <w:rsid w:val="009E5A2D"/>
    <w:rsid w:val="009E5AB2"/>
    <w:rsid w:val="009E5FBD"/>
    <w:rsid w:val="009E6219"/>
    <w:rsid w:val="009E7498"/>
    <w:rsid w:val="009F03B3"/>
    <w:rsid w:val="009F0D40"/>
    <w:rsid w:val="00A0096C"/>
    <w:rsid w:val="00A00D55"/>
    <w:rsid w:val="00A01757"/>
    <w:rsid w:val="00A01EFF"/>
    <w:rsid w:val="00A028C0"/>
    <w:rsid w:val="00A02BAE"/>
    <w:rsid w:val="00A06A6B"/>
    <w:rsid w:val="00A07E47"/>
    <w:rsid w:val="00A129D0"/>
    <w:rsid w:val="00A12C33"/>
    <w:rsid w:val="00A138BA"/>
    <w:rsid w:val="00A14C8E"/>
    <w:rsid w:val="00A153D9"/>
    <w:rsid w:val="00A15F09"/>
    <w:rsid w:val="00A169B6"/>
    <w:rsid w:val="00A17F57"/>
    <w:rsid w:val="00A2271D"/>
    <w:rsid w:val="00A237D5"/>
    <w:rsid w:val="00A259CD"/>
    <w:rsid w:val="00A30EFC"/>
    <w:rsid w:val="00A31984"/>
    <w:rsid w:val="00A32B1C"/>
    <w:rsid w:val="00A32D73"/>
    <w:rsid w:val="00A3367B"/>
    <w:rsid w:val="00A351C1"/>
    <w:rsid w:val="00A3597D"/>
    <w:rsid w:val="00A36DD1"/>
    <w:rsid w:val="00A37564"/>
    <w:rsid w:val="00A4006C"/>
    <w:rsid w:val="00A40091"/>
    <w:rsid w:val="00A4030F"/>
    <w:rsid w:val="00A41C79"/>
    <w:rsid w:val="00A41CB5"/>
    <w:rsid w:val="00A42CDF"/>
    <w:rsid w:val="00A4452E"/>
    <w:rsid w:val="00A4472C"/>
    <w:rsid w:val="00A44E69"/>
    <w:rsid w:val="00A4661E"/>
    <w:rsid w:val="00A518F7"/>
    <w:rsid w:val="00A51CB8"/>
    <w:rsid w:val="00A55729"/>
    <w:rsid w:val="00A55BD6"/>
    <w:rsid w:val="00A55D50"/>
    <w:rsid w:val="00A57142"/>
    <w:rsid w:val="00A60585"/>
    <w:rsid w:val="00A60F1A"/>
    <w:rsid w:val="00A6134F"/>
    <w:rsid w:val="00A61D37"/>
    <w:rsid w:val="00A6245A"/>
    <w:rsid w:val="00A648CD"/>
    <w:rsid w:val="00A6537A"/>
    <w:rsid w:val="00A65A67"/>
    <w:rsid w:val="00A67866"/>
    <w:rsid w:val="00A67C3D"/>
    <w:rsid w:val="00A67CAB"/>
    <w:rsid w:val="00A70B07"/>
    <w:rsid w:val="00A723F8"/>
    <w:rsid w:val="00A730DE"/>
    <w:rsid w:val="00A77CCB"/>
    <w:rsid w:val="00A83D8D"/>
    <w:rsid w:val="00A8446B"/>
    <w:rsid w:val="00A8473F"/>
    <w:rsid w:val="00A862D6"/>
    <w:rsid w:val="00A8715E"/>
    <w:rsid w:val="00A901E7"/>
    <w:rsid w:val="00A9295B"/>
    <w:rsid w:val="00A92FB6"/>
    <w:rsid w:val="00A93B09"/>
    <w:rsid w:val="00A94247"/>
    <w:rsid w:val="00A952D7"/>
    <w:rsid w:val="00A9571F"/>
    <w:rsid w:val="00A963F7"/>
    <w:rsid w:val="00A96AD8"/>
    <w:rsid w:val="00AA052C"/>
    <w:rsid w:val="00AA1E45"/>
    <w:rsid w:val="00AA2414"/>
    <w:rsid w:val="00AA3F99"/>
    <w:rsid w:val="00AA4286"/>
    <w:rsid w:val="00AA456B"/>
    <w:rsid w:val="00AA57F5"/>
    <w:rsid w:val="00AA672E"/>
    <w:rsid w:val="00AA6EC9"/>
    <w:rsid w:val="00AB3CCB"/>
    <w:rsid w:val="00AB3DDA"/>
    <w:rsid w:val="00AB41D5"/>
    <w:rsid w:val="00AB4741"/>
    <w:rsid w:val="00AB6309"/>
    <w:rsid w:val="00AB6C5F"/>
    <w:rsid w:val="00AB7129"/>
    <w:rsid w:val="00AC0DAF"/>
    <w:rsid w:val="00AC27A6"/>
    <w:rsid w:val="00AC2D32"/>
    <w:rsid w:val="00AC30F7"/>
    <w:rsid w:val="00AC334F"/>
    <w:rsid w:val="00AC3A5A"/>
    <w:rsid w:val="00AC4D95"/>
    <w:rsid w:val="00AC5DF4"/>
    <w:rsid w:val="00AC7CDF"/>
    <w:rsid w:val="00AD0438"/>
    <w:rsid w:val="00AD074B"/>
    <w:rsid w:val="00AD0AEF"/>
    <w:rsid w:val="00AD0C73"/>
    <w:rsid w:val="00AD1049"/>
    <w:rsid w:val="00AD11B7"/>
    <w:rsid w:val="00AD1A94"/>
    <w:rsid w:val="00AD1C05"/>
    <w:rsid w:val="00AD4126"/>
    <w:rsid w:val="00AD421C"/>
    <w:rsid w:val="00AD44FA"/>
    <w:rsid w:val="00AE070A"/>
    <w:rsid w:val="00AE101C"/>
    <w:rsid w:val="00AE27B3"/>
    <w:rsid w:val="00AE37E5"/>
    <w:rsid w:val="00AE4A27"/>
    <w:rsid w:val="00AE5EB4"/>
    <w:rsid w:val="00AE7F7C"/>
    <w:rsid w:val="00AF0C18"/>
    <w:rsid w:val="00AF47C5"/>
    <w:rsid w:val="00AF4EA9"/>
    <w:rsid w:val="00AF5398"/>
    <w:rsid w:val="00B049AF"/>
    <w:rsid w:val="00B04E39"/>
    <w:rsid w:val="00B05AFE"/>
    <w:rsid w:val="00B07242"/>
    <w:rsid w:val="00B10534"/>
    <w:rsid w:val="00B113DB"/>
    <w:rsid w:val="00B11D8A"/>
    <w:rsid w:val="00B12981"/>
    <w:rsid w:val="00B147DD"/>
    <w:rsid w:val="00B1488B"/>
    <w:rsid w:val="00B150F9"/>
    <w:rsid w:val="00B15644"/>
    <w:rsid w:val="00B156FD"/>
    <w:rsid w:val="00B1591C"/>
    <w:rsid w:val="00B15F5C"/>
    <w:rsid w:val="00B21F61"/>
    <w:rsid w:val="00B23BF2"/>
    <w:rsid w:val="00B23DF2"/>
    <w:rsid w:val="00B25E1B"/>
    <w:rsid w:val="00B261F1"/>
    <w:rsid w:val="00B265BC"/>
    <w:rsid w:val="00B27D15"/>
    <w:rsid w:val="00B31FB1"/>
    <w:rsid w:val="00B33906"/>
    <w:rsid w:val="00B33952"/>
    <w:rsid w:val="00B33C5E"/>
    <w:rsid w:val="00B342F4"/>
    <w:rsid w:val="00B34369"/>
    <w:rsid w:val="00B34DC2"/>
    <w:rsid w:val="00B378E5"/>
    <w:rsid w:val="00B41E0D"/>
    <w:rsid w:val="00B4346D"/>
    <w:rsid w:val="00B440F4"/>
    <w:rsid w:val="00B447A5"/>
    <w:rsid w:val="00B4654C"/>
    <w:rsid w:val="00B47293"/>
    <w:rsid w:val="00B473B6"/>
    <w:rsid w:val="00B478C5"/>
    <w:rsid w:val="00B50ABD"/>
    <w:rsid w:val="00B50E50"/>
    <w:rsid w:val="00B51687"/>
    <w:rsid w:val="00B52120"/>
    <w:rsid w:val="00B5227A"/>
    <w:rsid w:val="00B542C6"/>
    <w:rsid w:val="00B54ABC"/>
    <w:rsid w:val="00B54DDE"/>
    <w:rsid w:val="00B56FBE"/>
    <w:rsid w:val="00B60506"/>
    <w:rsid w:val="00B60ACF"/>
    <w:rsid w:val="00B62B58"/>
    <w:rsid w:val="00B65149"/>
    <w:rsid w:val="00B65A44"/>
    <w:rsid w:val="00B66567"/>
    <w:rsid w:val="00B66F52"/>
    <w:rsid w:val="00B66FE5"/>
    <w:rsid w:val="00B67406"/>
    <w:rsid w:val="00B70800"/>
    <w:rsid w:val="00B72880"/>
    <w:rsid w:val="00B73895"/>
    <w:rsid w:val="00B758BF"/>
    <w:rsid w:val="00B77EC8"/>
    <w:rsid w:val="00B827A6"/>
    <w:rsid w:val="00B82B50"/>
    <w:rsid w:val="00B831CE"/>
    <w:rsid w:val="00B84CBF"/>
    <w:rsid w:val="00B850EE"/>
    <w:rsid w:val="00B86301"/>
    <w:rsid w:val="00B86677"/>
    <w:rsid w:val="00B87131"/>
    <w:rsid w:val="00B9253F"/>
    <w:rsid w:val="00B939B1"/>
    <w:rsid w:val="00B9471E"/>
    <w:rsid w:val="00B96CB8"/>
    <w:rsid w:val="00B96D40"/>
    <w:rsid w:val="00B97386"/>
    <w:rsid w:val="00BA263B"/>
    <w:rsid w:val="00BA42B2"/>
    <w:rsid w:val="00BA58D4"/>
    <w:rsid w:val="00BA5B9E"/>
    <w:rsid w:val="00BA6017"/>
    <w:rsid w:val="00BA651E"/>
    <w:rsid w:val="00BA76D6"/>
    <w:rsid w:val="00BA7C9A"/>
    <w:rsid w:val="00BB5F8F"/>
    <w:rsid w:val="00BB657A"/>
    <w:rsid w:val="00BC1A4E"/>
    <w:rsid w:val="00BC5DC7"/>
    <w:rsid w:val="00BC62FA"/>
    <w:rsid w:val="00BC6A4B"/>
    <w:rsid w:val="00BC6B8B"/>
    <w:rsid w:val="00BC73D8"/>
    <w:rsid w:val="00BD0C0B"/>
    <w:rsid w:val="00BD1B30"/>
    <w:rsid w:val="00BD52D7"/>
    <w:rsid w:val="00BD5AD2"/>
    <w:rsid w:val="00BD626D"/>
    <w:rsid w:val="00BE22F3"/>
    <w:rsid w:val="00BE5AC8"/>
    <w:rsid w:val="00BE5B52"/>
    <w:rsid w:val="00BE6FDC"/>
    <w:rsid w:val="00BE7B8D"/>
    <w:rsid w:val="00BF0993"/>
    <w:rsid w:val="00BF10A9"/>
    <w:rsid w:val="00BF1703"/>
    <w:rsid w:val="00BF231C"/>
    <w:rsid w:val="00BF3D6D"/>
    <w:rsid w:val="00BF51E5"/>
    <w:rsid w:val="00BF74A6"/>
    <w:rsid w:val="00C013AD"/>
    <w:rsid w:val="00C016B1"/>
    <w:rsid w:val="00C04904"/>
    <w:rsid w:val="00C04E85"/>
    <w:rsid w:val="00C056B3"/>
    <w:rsid w:val="00C06220"/>
    <w:rsid w:val="00C069A7"/>
    <w:rsid w:val="00C103E5"/>
    <w:rsid w:val="00C11FD8"/>
    <w:rsid w:val="00C132E5"/>
    <w:rsid w:val="00C13319"/>
    <w:rsid w:val="00C13EE9"/>
    <w:rsid w:val="00C15CF3"/>
    <w:rsid w:val="00C21540"/>
    <w:rsid w:val="00C21906"/>
    <w:rsid w:val="00C21952"/>
    <w:rsid w:val="00C21BFA"/>
    <w:rsid w:val="00C22148"/>
    <w:rsid w:val="00C232CF"/>
    <w:rsid w:val="00C24C8D"/>
    <w:rsid w:val="00C25FE2"/>
    <w:rsid w:val="00C26B53"/>
    <w:rsid w:val="00C279B2"/>
    <w:rsid w:val="00C31921"/>
    <w:rsid w:val="00C33BB5"/>
    <w:rsid w:val="00C33E50"/>
    <w:rsid w:val="00C34C20"/>
    <w:rsid w:val="00C35A3E"/>
    <w:rsid w:val="00C35B48"/>
    <w:rsid w:val="00C36CC2"/>
    <w:rsid w:val="00C42130"/>
    <w:rsid w:val="00C423A4"/>
    <w:rsid w:val="00C4371A"/>
    <w:rsid w:val="00C44247"/>
    <w:rsid w:val="00C44AF3"/>
    <w:rsid w:val="00C44BF5"/>
    <w:rsid w:val="00C45B70"/>
    <w:rsid w:val="00C45F92"/>
    <w:rsid w:val="00C47424"/>
    <w:rsid w:val="00C506CC"/>
    <w:rsid w:val="00C521D6"/>
    <w:rsid w:val="00C55232"/>
    <w:rsid w:val="00C553A4"/>
    <w:rsid w:val="00C55A06"/>
    <w:rsid w:val="00C55D03"/>
    <w:rsid w:val="00C601BC"/>
    <w:rsid w:val="00C62A6D"/>
    <w:rsid w:val="00C6329F"/>
    <w:rsid w:val="00C63340"/>
    <w:rsid w:val="00C643F9"/>
    <w:rsid w:val="00C64E95"/>
    <w:rsid w:val="00C71372"/>
    <w:rsid w:val="00C72410"/>
    <w:rsid w:val="00C7287F"/>
    <w:rsid w:val="00C7528E"/>
    <w:rsid w:val="00C80CB8"/>
    <w:rsid w:val="00C819F8"/>
    <w:rsid w:val="00C8248C"/>
    <w:rsid w:val="00C8393B"/>
    <w:rsid w:val="00C83DE5"/>
    <w:rsid w:val="00C84E33"/>
    <w:rsid w:val="00C8502D"/>
    <w:rsid w:val="00C86D6F"/>
    <w:rsid w:val="00C905FC"/>
    <w:rsid w:val="00C92D03"/>
    <w:rsid w:val="00C9319C"/>
    <w:rsid w:val="00C94237"/>
    <w:rsid w:val="00C942E7"/>
    <w:rsid w:val="00C9435D"/>
    <w:rsid w:val="00C94DF2"/>
    <w:rsid w:val="00C95C15"/>
    <w:rsid w:val="00C96741"/>
    <w:rsid w:val="00CA1E1A"/>
    <w:rsid w:val="00CA2D1B"/>
    <w:rsid w:val="00CA375D"/>
    <w:rsid w:val="00CA3EA6"/>
    <w:rsid w:val="00CA61DC"/>
    <w:rsid w:val="00CA64CC"/>
    <w:rsid w:val="00CA662A"/>
    <w:rsid w:val="00CA6A16"/>
    <w:rsid w:val="00CA7AFD"/>
    <w:rsid w:val="00CA7C3C"/>
    <w:rsid w:val="00CB00F7"/>
    <w:rsid w:val="00CB0189"/>
    <w:rsid w:val="00CB0BA2"/>
    <w:rsid w:val="00CB1A42"/>
    <w:rsid w:val="00CB1B0C"/>
    <w:rsid w:val="00CB2C0B"/>
    <w:rsid w:val="00CB517D"/>
    <w:rsid w:val="00CC038D"/>
    <w:rsid w:val="00CC08DB"/>
    <w:rsid w:val="00CC14C9"/>
    <w:rsid w:val="00CC39FF"/>
    <w:rsid w:val="00CC3C2F"/>
    <w:rsid w:val="00CC4AC8"/>
    <w:rsid w:val="00CC5233"/>
    <w:rsid w:val="00CC5DE6"/>
    <w:rsid w:val="00CC5FD3"/>
    <w:rsid w:val="00CC6E4E"/>
    <w:rsid w:val="00CC6FE8"/>
    <w:rsid w:val="00CC7202"/>
    <w:rsid w:val="00CC7F7D"/>
    <w:rsid w:val="00CD206C"/>
    <w:rsid w:val="00CD2808"/>
    <w:rsid w:val="00CD28BF"/>
    <w:rsid w:val="00CD4092"/>
    <w:rsid w:val="00CD4A20"/>
    <w:rsid w:val="00CD50A1"/>
    <w:rsid w:val="00CD519E"/>
    <w:rsid w:val="00CD75F2"/>
    <w:rsid w:val="00CD7A2B"/>
    <w:rsid w:val="00CE0C4F"/>
    <w:rsid w:val="00CE30EA"/>
    <w:rsid w:val="00CE3892"/>
    <w:rsid w:val="00CE4FAA"/>
    <w:rsid w:val="00CE578B"/>
    <w:rsid w:val="00CF048A"/>
    <w:rsid w:val="00CF155A"/>
    <w:rsid w:val="00CF27E5"/>
    <w:rsid w:val="00CF2947"/>
    <w:rsid w:val="00CF3A03"/>
    <w:rsid w:val="00CF4721"/>
    <w:rsid w:val="00CF686F"/>
    <w:rsid w:val="00CF6E60"/>
    <w:rsid w:val="00CF7BCA"/>
    <w:rsid w:val="00D008FD"/>
    <w:rsid w:val="00D0321C"/>
    <w:rsid w:val="00D035EC"/>
    <w:rsid w:val="00D06904"/>
    <w:rsid w:val="00D06AB1"/>
    <w:rsid w:val="00D072ED"/>
    <w:rsid w:val="00D078DF"/>
    <w:rsid w:val="00D07A16"/>
    <w:rsid w:val="00D1067E"/>
    <w:rsid w:val="00D10F50"/>
    <w:rsid w:val="00D11272"/>
    <w:rsid w:val="00D126F5"/>
    <w:rsid w:val="00D12990"/>
    <w:rsid w:val="00D1489E"/>
    <w:rsid w:val="00D20737"/>
    <w:rsid w:val="00D21C89"/>
    <w:rsid w:val="00D21E81"/>
    <w:rsid w:val="00D221C4"/>
    <w:rsid w:val="00D223DE"/>
    <w:rsid w:val="00D25E37"/>
    <w:rsid w:val="00D2661A"/>
    <w:rsid w:val="00D26759"/>
    <w:rsid w:val="00D27582"/>
    <w:rsid w:val="00D27EC4"/>
    <w:rsid w:val="00D3165D"/>
    <w:rsid w:val="00D32719"/>
    <w:rsid w:val="00D33333"/>
    <w:rsid w:val="00D33457"/>
    <w:rsid w:val="00D352A2"/>
    <w:rsid w:val="00D3738F"/>
    <w:rsid w:val="00D40FF1"/>
    <w:rsid w:val="00D4162B"/>
    <w:rsid w:val="00D42C7C"/>
    <w:rsid w:val="00D4514F"/>
    <w:rsid w:val="00D451E2"/>
    <w:rsid w:val="00D45E89"/>
    <w:rsid w:val="00D45E8D"/>
    <w:rsid w:val="00D46372"/>
    <w:rsid w:val="00D466AE"/>
    <w:rsid w:val="00D4734F"/>
    <w:rsid w:val="00D51614"/>
    <w:rsid w:val="00D51BF3"/>
    <w:rsid w:val="00D53977"/>
    <w:rsid w:val="00D66846"/>
    <w:rsid w:val="00D675FB"/>
    <w:rsid w:val="00D71F25"/>
    <w:rsid w:val="00D72A9C"/>
    <w:rsid w:val="00D7655F"/>
    <w:rsid w:val="00D77031"/>
    <w:rsid w:val="00D776D1"/>
    <w:rsid w:val="00D84941"/>
    <w:rsid w:val="00D84FA1"/>
    <w:rsid w:val="00D851F0"/>
    <w:rsid w:val="00D86DB7"/>
    <w:rsid w:val="00D87977"/>
    <w:rsid w:val="00D90ACF"/>
    <w:rsid w:val="00D926D0"/>
    <w:rsid w:val="00D93030"/>
    <w:rsid w:val="00D950E1"/>
    <w:rsid w:val="00D952A6"/>
    <w:rsid w:val="00D97F99"/>
    <w:rsid w:val="00DA1DBE"/>
    <w:rsid w:val="00DA1E08"/>
    <w:rsid w:val="00DA24F8"/>
    <w:rsid w:val="00DA28E8"/>
    <w:rsid w:val="00DA38D3"/>
    <w:rsid w:val="00DA3932"/>
    <w:rsid w:val="00DA3AA8"/>
    <w:rsid w:val="00DA3AFC"/>
    <w:rsid w:val="00DA5A3E"/>
    <w:rsid w:val="00DA64F8"/>
    <w:rsid w:val="00DA677D"/>
    <w:rsid w:val="00DA6C15"/>
    <w:rsid w:val="00DB0258"/>
    <w:rsid w:val="00DB2871"/>
    <w:rsid w:val="00DB32D7"/>
    <w:rsid w:val="00DB38EE"/>
    <w:rsid w:val="00DB498B"/>
    <w:rsid w:val="00DB66CA"/>
    <w:rsid w:val="00DB6BCA"/>
    <w:rsid w:val="00DB6F46"/>
    <w:rsid w:val="00DB73F7"/>
    <w:rsid w:val="00DB7B07"/>
    <w:rsid w:val="00DC0321"/>
    <w:rsid w:val="00DC3067"/>
    <w:rsid w:val="00DC370B"/>
    <w:rsid w:val="00DC5B90"/>
    <w:rsid w:val="00DD00FF"/>
    <w:rsid w:val="00DD0619"/>
    <w:rsid w:val="00DD07FB"/>
    <w:rsid w:val="00DD25C6"/>
    <w:rsid w:val="00DD2C08"/>
    <w:rsid w:val="00DD4FE5"/>
    <w:rsid w:val="00DD54B0"/>
    <w:rsid w:val="00DD57EE"/>
    <w:rsid w:val="00DD6BCC"/>
    <w:rsid w:val="00DD7E0E"/>
    <w:rsid w:val="00DE0A4B"/>
    <w:rsid w:val="00DE2410"/>
    <w:rsid w:val="00DE2939"/>
    <w:rsid w:val="00DE33E1"/>
    <w:rsid w:val="00DE4F2E"/>
    <w:rsid w:val="00DE6137"/>
    <w:rsid w:val="00DE6E81"/>
    <w:rsid w:val="00DE703F"/>
    <w:rsid w:val="00DE7595"/>
    <w:rsid w:val="00DF1961"/>
    <w:rsid w:val="00DF44DE"/>
    <w:rsid w:val="00DF50B1"/>
    <w:rsid w:val="00DF5F11"/>
    <w:rsid w:val="00E002A2"/>
    <w:rsid w:val="00E01138"/>
    <w:rsid w:val="00E02DFB"/>
    <w:rsid w:val="00E030F9"/>
    <w:rsid w:val="00E0311A"/>
    <w:rsid w:val="00E03138"/>
    <w:rsid w:val="00E05737"/>
    <w:rsid w:val="00E06404"/>
    <w:rsid w:val="00E06A35"/>
    <w:rsid w:val="00E06FB0"/>
    <w:rsid w:val="00E11A85"/>
    <w:rsid w:val="00E12495"/>
    <w:rsid w:val="00E14082"/>
    <w:rsid w:val="00E15CCD"/>
    <w:rsid w:val="00E202EF"/>
    <w:rsid w:val="00E210B5"/>
    <w:rsid w:val="00E21580"/>
    <w:rsid w:val="00E23D99"/>
    <w:rsid w:val="00E2552F"/>
    <w:rsid w:val="00E27E2E"/>
    <w:rsid w:val="00E3137A"/>
    <w:rsid w:val="00E32CCF"/>
    <w:rsid w:val="00E32E66"/>
    <w:rsid w:val="00E34A98"/>
    <w:rsid w:val="00E35D1E"/>
    <w:rsid w:val="00E364F9"/>
    <w:rsid w:val="00E365FA"/>
    <w:rsid w:val="00E36789"/>
    <w:rsid w:val="00E44A83"/>
    <w:rsid w:val="00E502C1"/>
    <w:rsid w:val="00E502DD"/>
    <w:rsid w:val="00E509CB"/>
    <w:rsid w:val="00E50D3A"/>
    <w:rsid w:val="00E51387"/>
    <w:rsid w:val="00E51E68"/>
    <w:rsid w:val="00E52EFD"/>
    <w:rsid w:val="00E5408A"/>
    <w:rsid w:val="00E56800"/>
    <w:rsid w:val="00E60B34"/>
    <w:rsid w:val="00E60C63"/>
    <w:rsid w:val="00E62152"/>
    <w:rsid w:val="00E62FF9"/>
    <w:rsid w:val="00E635D6"/>
    <w:rsid w:val="00E639BC"/>
    <w:rsid w:val="00E664CC"/>
    <w:rsid w:val="00E67C4B"/>
    <w:rsid w:val="00E70388"/>
    <w:rsid w:val="00E70F92"/>
    <w:rsid w:val="00E71998"/>
    <w:rsid w:val="00E74C54"/>
    <w:rsid w:val="00E74CA2"/>
    <w:rsid w:val="00E75564"/>
    <w:rsid w:val="00E77A03"/>
    <w:rsid w:val="00E806EB"/>
    <w:rsid w:val="00E822E8"/>
    <w:rsid w:val="00E82554"/>
    <w:rsid w:val="00E82606"/>
    <w:rsid w:val="00E8291A"/>
    <w:rsid w:val="00E846C8"/>
    <w:rsid w:val="00E84957"/>
    <w:rsid w:val="00E84A55"/>
    <w:rsid w:val="00E85BEC"/>
    <w:rsid w:val="00E85BFF"/>
    <w:rsid w:val="00E90391"/>
    <w:rsid w:val="00E906C2"/>
    <w:rsid w:val="00E9311F"/>
    <w:rsid w:val="00E934D1"/>
    <w:rsid w:val="00E94AF0"/>
    <w:rsid w:val="00E95D13"/>
    <w:rsid w:val="00E95DD3"/>
    <w:rsid w:val="00E969D5"/>
    <w:rsid w:val="00EA510D"/>
    <w:rsid w:val="00EA58D1"/>
    <w:rsid w:val="00EA61BC"/>
    <w:rsid w:val="00EA681A"/>
    <w:rsid w:val="00EA735B"/>
    <w:rsid w:val="00EB17DE"/>
    <w:rsid w:val="00EB1E69"/>
    <w:rsid w:val="00EB2086"/>
    <w:rsid w:val="00EB21A5"/>
    <w:rsid w:val="00EB33EA"/>
    <w:rsid w:val="00EB5EDF"/>
    <w:rsid w:val="00EB60FE"/>
    <w:rsid w:val="00EB74DB"/>
    <w:rsid w:val="00EC5359"/>
    <w:rsid w:val="00EC562A"/>
    <w:rsid w:val="00ED067A"/>
    <w:rsid w:val="00ED20AE"/>
    <w:rsid w:val="00ED2B50"/>
    <w:rsid w:val="00ED4061"/>
    <w:rsid w:val="00ED5E53"/>
    <w:rsid w:val="00ED7187"/>
    <w:rsid w:val="00EE0350"/>
    <w:rsid w:val="00EE0719"/>
    <w:rsid w:val="00EE0E80"/>
    <w:rsid w:val="00EE1E35"/>
    <w:rsid w:val="00EE4EAC"/>
    <w:rsid w:val="00EE54A6"/>
    <w:rsid w:val="00EE55F0"/>
    <w:rsid w:val="00EE613F"/>
    <w:rsid w:val="00EE7295"/>
    <w:rsid w:val="00EE7869"/>
    <w:rsid w:val="00EF054A"/>
    <w:rsid w:val="00EF14DB"/>
    <w:rsid w:val="00EF1D47"/>
    <w:rsid w:val="00EF301C"/>
    <w:rsid w:val="00EF3235"/>
    <w:rsid w:val="00EF6236"/>
    <w:rsid w:val="00EF7E72"/>
    <w:rsid w:val="00F00085"/>
    <w:rsid w:val="00F001FD"/>
    <w:rsid w:val="00F02247"/>
    <w:rsid w:val="00F02BCF"/>
    <w:rsid w:val="00F06D37"/>
    <w:rsid w:val="00F07B9D"/>
    <w:rsid w:val="00F11586"/>
    <w:rsid w:val="00F1183B"/>
    <w:rsid w:val="00F11C9F"/>
    <w:rsid w:val="00F12263"/>
    <w:rsid w:val="00F1409D"/>
    <w:rsid w:val="00F14214"/>
    <w:rsid w:val="00F157A9"/>
    <w:rsid w:val="00F23AC3"/>
    <w:rsid w:val="00F2591E"/>
    <w:rsid w:val="00F25BB6"/>
    <w:rsid w:val="00F26B7E"/>
    <w:rsid w:val="00F27A3B"/>
    <w:rsid w:val="00F27CC3"/>
    <w:rsid w:val="00F33817"/>
    <w:rsid w:val="00F36CFB"/>
    <w:rsid w:val="00F3706D"/>
    <w:rsid w:val="00F37168"/>
    <w:rsid w:val="00F420D5"/>
    <w:rsid w:val="00F451EA"/>
    <w:rsid w:val="00F45447"/>
    <w:rsid w:val="00F456C6"/>
    <w:rsid w:val="00F4577B"/>
    <w:rsid w:val="00F46496"/>
    <w:rsid w:val="00F472A5"/>
    <w:rsid w:val="00F474D0"/>
    <w:rsid w:val="00F47E9E"/>
    <w:rsid w:val="00F50179"/>
    <w:rsid w:val="00F507BE"/>
    <w:rsid w:val="00F51151"/>
    <w:rsid w:val="00F515EE"/>
    <w:rsid w:val="00F526A0"/>
    <w:rsid w:val="00F56511"/>
    <w:rsid w:val="00F57CF6"/>
    <w:rsid w:val="00F6194E"/>
    <w:rsid w:val="00F623AC"/>
    <w:rsid w:val="00F63511"/>
    <w:rsid w:val="00F6412A"/>
    <w:rsid w:val="00F65893"/>
    <w:rsid w:val="00F66797"/>
    <w:rsid w:val="00F66A4A"/>
    <w:rsid w:val="00F71E22"/>
    <w:rsid w:val="00F72142"/>
    <w:rsid w:val="00F72AE7"/>
    <w:rsid w:val="00F81003"/>
    <w:rsid w:val="00F81141"/>
    <w:rsid w:val="00F82945"/>
    <w:rsid w:val="00F833BA"/>
    <w:rsid w:val="00F83DDA"/>
    <w:rsid w:val="00F84637"/>
    <w:rsid w:val="00F84FD0"/>
    <w:rsid w:val="00F859A8"/>
    <w:rsid w:val="00F86D87"/>
    <w:rsid w:val="00F87808"/>
    <w:rsid w:val="00F905D2"/>
    <w:rsid w:val="00F9108B"/>
    <w:rsid w:val="00F91349"/>
    <w:rsid w:val="00F93A8A"/>
    <w:rsid w:val="00F949A0"/>
    <w:rsid w:val="00F95248"/>
    <w:rsid w:val="00F956A9"/>
    <w:rsid w:val="00F963ED"/>
    <w:rsid w:val="00F965D8"/>
    <w:rsid w:val="00F966CF"/>
    <w:rsid w:val="00F96900"/>
    <w:rsid w:val="00F96CAE"/>
    <w:rsid w:val="00F97C99"/>
    <w:rsid w:val="00FA3204"/>
    <w:rsid w:val="00FA4DAC"/>
    <w:rsid w:val="00FA662D"/>
    <w:rsid w:val="00FA73B1"/>
    <w:rsid w:val="00FA7656"/>
    <w:rsid w:val="00FB052B"/>
    <w:rsid w:val="00FB0CB9"/>
    <w:rsid w:val="00FB0F68"/>
    <w:rsid w:val="00FB1463"/>
    <w:rsid w:val="00FB231D"/>
    <w:rsid w:val="00FB45F1"/>
    <w:rsid w:val="00FB4A72"/>
    <w:rsid w:val="00FB54E8"/>
    <w:rsid w:val="00FB687D"/>
    <w:rsid w:val="00FB6939"/>
    <w:rsid w:val="00FB7054"/>
    <w:rsid w:val="00FB77A7"/>
    <w:rsid w:val="00FC0A94"/>
    <w:rsid w:val="00FC17B7"/>
    <w:rsid w:val="00FC2CB7"/>
    <w:rsid w:val="00FC3B2E"/>
    <w:rsid w:val="00FC4090"/>
    <w:rsid w:val="00FC55B4"/>
    <w:rsid w:val="00FD00E6"/>
    <w:rsid w:val="00FD09A1"/>
    <w:rsid w:val="00FD1161"/>
    <w:rsid w:val="00FD2A7C"/>
    <w:rsid w:val="00FD33DA"/>
    <w:rsid w:val="00FD3832"/>
    <w:rsid w:val="00FD59EB"/>
    <w:rsid w:val="00FD7299"/>
    <w:rsid w:val="00FD736E"/>
    <w:rsid w:val="00FD7883"/>
    <w:rsid w:val="00FE03C2"/>
    <w:rsid w:val="00FE1FBE"/>
    <w:rsid w:val="00FE3901"/>
    <w:rsid w:val="00FE39D3"/>
    <w:rsid w:val="00FE4BCE"/>
    <w:rsid w:val="00FE54AE"/>
    <w:rsid w:val="00FE576A"/>
    <w:rsid w:val="00FE7E79"/>
    <w:rsid w:val="00FF3E7D"/>
    <w:rsid w:val="00FF5B99"/>
    <w:rsid w:val="00FF6103"/>
    <w:rsid w:val="00FF668C"/>
    <w:rsid w:val="00FF730C"/>
    <w:rsid w:val="00FF7386"/>
    <w:rsid w:val="00FF73F4"/>
    <w:rsid w:val="00FF7CE4"/>
    <w:rsid w:val="00FF7E39"/>
    <w:rsid w:val="7CFE4D4F"/>
    <w:rsid w:val="7FFD789D"/>
    <w:rsid w:val="9DD78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36"/>
    <w:semiHidden/>
    <w:unhideWhenUsed/>
    <w:qFormat/>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semiHidden/>
    <w:unhideWhenUsed/>
    <w:qFormat/>
    <w:uiPriority w:val="99"/>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20"/>
    <w:qFormat/>
    <w:uiPriority w:val="99"/>
    <w:rPr>
      <w:rFonts w:ascii="Times New Roman" w:hAnsi="Times New Roman" w:eastAsia="宋体" w:cs="Times New Roman"/>
      <w:sz w:val="18"/>
      <w:szCs w:val="18"/>
    </w:rPr>
  </w:style>
  <w:style w:type="character" w:customStyle="1" w:styleId="48">
    <w:name w:val="页脚 字符"/>
    <w:link w:val="19"/>
    <w:qFormat/>
    <w:uiPriority w:val="99"/>
    <w:rPr>
      <w:rFonts w:ascii="宋体" w:hAnsi="Times New Roman" w:eastAsia="宋体" w:cs="Times New Roman"/>
      <w:sz w:val="18"/>
      <w:szCs w:val="18"/>
    </w:rPr>
  </w:style>
  <w:style w:type="character" w:customStyle="1" w:styleId="49">
    <w:name w:val="批注框文本 字符"/>
    <w:link w:val="18"/>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4"/>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5"/>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6"/>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7"/>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8"/>
      </w:numPr>
      <w:ind w:left="0" w:firstLine="200"/>
    </w:pPr>
  </w:style>
  <w:style w:type="paragraph" w:customStyle="1" w:styleId="98">
    <w:name w:val="标准文件_三级条标题"/>
    <w:basedOn w:val="69"/>
    <w:next w:val="60"/>
    <w:qFormat/>
    <w:uiPriority w:val="0"/>
    <w:pPr>
      <w:widowControl/>
      <w:numPr>
        <w:ilvl w:val="4"/>
      </w:numPr>
      <w:ind w:left="0"/>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9"/>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0"/>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425"/>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2"/>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3"/>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5"/>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18"/>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19"/>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0"/>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8"/>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18"/>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8"/>
      </w:numPr>
      <w:adjustRightInd/>
    </w:pPr>
    <w:rPr>
      <w:szCs w:val="24"/>
    </w:rPr>
  </w:style>
  <w:style w:type="paragraph" w:customStyle="1" w:styleId="163">
    <w:name w:val="一级无标题条"/>
    <w:basedOn w:val="1"/>
    <w:qFormat/>
    <w:uiPriority w:val="0"/>
    <w:pPr>
      <w:numPr>
        <w:ilvl w:val="2"/>
        <w:numId w:val="18"/>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ind w:left="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ind w:left="992"/>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1"/>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2"/>
      </w:numPr>
      <w:ind w:firstLine="0" w:firstLineChars="0"/>
    </w:pPr>
    <w:rPr>
      <w:rFonts w:cs="Arial"/>
      <w:szCs w:val="28"/>
    </w:rPr>
  </w:style>
  <w:style w:type="paragraph" w:customStyle="1" w:styleId="174">
    <w:name w:val="标准文件_附录标题"/>
    <w:basedOn w:val="80"/>
    <w:qFormat/>
    <w:uiPriority w:val="0"/>
    <w:p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19"/>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3"/>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4"/>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6"/>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7"/>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19"/>
      </w:numPr>
      <w:ind w:left="1271" w:hanging="420" w:firstLineChars="0"/>
    </w:pPr>
  </w:style>
  <w:style w:type="paragraph" w:customStyle="1" w:styleId="192">
    <w:name w:val="标准文件_三级项2"/>
    <w:basedOn w:val="60"/>
    <w:qFormat/>
    <w:uiPriority w:val="0"/>
    <w:pPr>
      <w:numPr>
        <w:ilvl w:val="0"/>
        <w:numId w:val="28"/>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29"/>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4"/>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30"/>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6"/>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6"/>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6"/>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6"/>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6"/>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字符"/>
    <w:basedOn w:val="31"/>
    <w:link w:val="13"/>
    <w:semiHidden/>
    <w:qFormat/>
    <w:uiPriority w:val="99"/>
    <w:rPr>
      <w:kern w:val="2"/>
      <w:sz w:val="21"/>
      <w:szCs w:val="21"/>
    </w:rPr>
  </w:style>
  <w:style w:type="character" w:customStyle="1" w:styleId="235">
    <w:name w:val="批注主题 字符"/>
    <w:basedOn w:val="234"/>
    <w:link w:val="28"/>
    <w:semiHidden/>
    <w:qFormat/>
    <w:uiPriority w:val="99"/>
    <w:rPr>
      <w:b/>
      <w:bCs/>
      <w:kern w:val="2"/>
      <w:sz w:val="21"/>
      <w:szCs w:val="21"/>
    </w:rPr>
  </w:style>
  <w:style w:type="character" w:customStyle="1" w:styleId="236">
    <w:name w:val="日期 字符"/>
    <w:basedOn w:val="31"/>
    <w:link w:val="17"/>
    <w:semiHidden/>
    <w:qFormat/>
    <w:uiPriority w:val="99"/>
    <w:rPr>
      <w:kern w:val="2"/>
      <w:sz w:val="21"/>
      <w:szCs w:val="21"/>
    </w:rPr>
  </w:style>
  <w:style w:type="character" w:customStyle="1" w:styleId="237">
    <w:name w:val="content-right_8zs40"/>
    <w:basedOn w:val="31"/>
    <w:qFormat/>
    <w:uiPriority w:val="0"/>
  </w:style>
  <w:style w:type="paragraph" w:styleId="238">
    <w:name w:val="List Paragraph"/>
    <w:basedOn w:val="1"/>
    <w:qFormat/>
    <w:uiPriority w:val="34"/>
    <w:pPr>
      <w:ind w:firstLine="420" w:firstLineChars="200"/>
    </w:pPr>
  </w:style>
  <w:style w:type="paragraph" w:customStyle="1" w:styleId="239">
    <w:name w:val="段"/>
    <w:link w:val="2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0">
    <w:name w:val="段 Char"/>
    <w:link w:val="239"/>
    <w:qFormat/>
    <w:uiPriority w:val="0"/>
    <w:rPr>
      <w:rFonts w:ascii="宋体" w:hAnsi="Times New Roman"/>
      <w:sz w:val="21"/>
    </w:rPr>
  </w:style>
  <w:style w:type="paragraph" w:customStyle="1" w:styleId="241">
    <w:name w:val="列表段落1"/>
    <w:basedOn w:val="1"/>
    <w:qFormat/>
    <w:uiPriority w:val="0"/>
    <w:pPr>
      <w:adjustRightInd/>
      <w:spacing w:line="240" w:lineRule="auto"/>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6AA28658EA4317B945F0D38996FD58"/>
        <w:style w:val=""/>
        <w:category>
          <w:name w:val="常规"/>
          <w:gallery w:val="placeholder"/>
        </w:category>
        <w:types>
          <w:type w:val="bbPlcHdr"/>
        </w:types>
        <w:behaviors>
          <w:behavior w:val="content"/>
        </w:behaviors>
        <w:description w:val=""/>
        <w:guid w:val="{F899E213-AD02-4D23-83F6-E573DB4A64E7}"/>
      </w:docPartPr>
      <w:docPartBody>
        <w:p>
          <w:pPr>
            <w:pStyle w:val="5"/>
          </w:pPr>
          <w:r>
            <w:rPr>
              <w:rStyle w:val="4"/>
              <w:rFonts w:hint="eastAsia"/>
            </w:rPr>
            <w:t>单击或点击此处输入文字。</w:t>
          </w:r>
        </w:p>
      </w:docPartBody>
    </w:docPart>
    <w:docPart>
      <w:docPartPr>
        <w:name w:val="4CDF7097F29A41639F7AA75213591891"/>
        <w:style w:val=""/>
        <w:category>
          <w:name w:val="常规"/>
          <w:gallery w:val="placeholder"/>
        </w:category>
        <w:types>
          <w:type w:val="bbPlcHdr"/>
        </w:types>
        <w:behaviors>
          <w:behavior w:val="content"/>
        </w:behaviors>
        <w:description w:val=""/>
        <w:guid w:val="{0F31B5F4-62B6-4AF0-B625-1F90681FCE54}"/>
      </w:docPartPr>
      <w:docPartBody>
        <w:p>
          <w:pPr>
            <w:pStyle w:val="6"/>
          </w:pPr>
          <w:r>
            <w:rPr>
              <w:rStyle w:val="4"/>
              <w:rFonts w:hint="eastAsia"/>
            </w:rPr>
            <w:t>选择一项。</w:t>
          </w:r>
        </w:p>
      </w:docPartBody>
    </w:docPart>
    <w:docPart>
      <w:docPartPr>
        <w:name w:val="170A06587472461E8AF3AC5218ACCAF6"/>
        <w:style w:val=""/>
        <w:category>
          <w:name w:val="常规"/>
          <w:gallery w:val="placeholder"/>
        </w:category>
        <w:types>
          <w:type w:val="bbPlcHdr"/>
        </w:types>
        <w:behaviors>
          <w:behavior w:val="content"/>
        </w:behaviors>
        <w:description w:val=""/>
        <w:guid w:val="{FE4AA1FE-EA00-4068-883F-DC35363056F5}"/>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AC"/>
    <w:rsid w:val="00013F90"/>
    <w:rsid w:val="000609D1"/>
    <w:rsid w:val="00064879"/>
    <w:rsid w:val="000C2855"/>
    <w:rsid w:val="00190DC8"/>
    <w:rsid w:val="00220728"/>
    <w:rsid w:val="00240BDD"/>
    <w:rsid w:val="00283244"/>
    <w:rsid w:val="00304862"/>
    <w:rsid w:val="00386EF4"/>
    <w:rsid w:val="003F55C0"/>
    <w:rsid w:val="0048043D"/>
    <w:rsid w:val="00595EEA"/>
    <w:rsid w:val="005A7BC7"/>
    <w:rsid w:val="005E7B75"/>
    <w:rsid w:val="00644DDC"/>
    <w:rsid w:val="00686C41"/>
    <w:rsid w:val="006D7D2D"/>
    <w:rsid w:val="00793359"/>
    <w:rsid w:val="00806F40"/>
    <w:rsid w:val="00830134"/>
    <w:rsid w:val="00876749"/>
    <w:rsid w:val="008E7DF8"/>
    <w:rsid w:val="00944215"/>
    <w:rsid w:val="009842D0"/>
    <w:rsid w:val="009E569A"/>
    <w:rsid w:val="00A141F3"/>
    <w:rsid w:val="00A541AC"/>
    <w:rsid w:val="00AA6FD9"/>
    <w:rsid w:val="00B45831"/>
    <w:rsid w:val="00B60A5A"/>
    <w:rsid w:val="00B7464D"/>
    <w:rsid w:val="00C152BA"/>
    <w:rsid w:val="00C225D2"/>
    <w:rsid w:val="00D04B19"/>
    <w:rsid w:val="00D21571"/>
    <w:rsid w:val="00DC2ABF"/>
    <w:rsid w:val="00E51511"/>
    <w:rsid w:val="00FD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6AA28658EA4317B945F0D38996FD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CDF7097F29A41639F7AA752135918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70A06587472461E8AF3AC5218ACCAF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Pages>
  <Words>2529</Words>
  <Characters>14416</Characters>
  <Lines>120</Lines>
  <Paragraphs>33</Paragraphs>
  <TotalTime>3</TotalTime>
  <ScaleCrop>false</ScaleCrop>
  <LinksUpToDate>false</LinksUpToDate>
  <CharactersWithSpaces>16912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2023-08-28T19:39:00Z</dcterms:created>
  <dc:creator>xieyushu</dc:creator>
  <dc:description>&lt;config cover="true" show_menu="true" version="1.0.0" doctype="SDKXY"&gt;_x000d_
&lt;/config&gt;</dc:description>
  <cp:lastModifiedBy>乔海生</cp:lastModifiedBy>
  <cp:lastPrinted>2023-07-21T20:30:00Z</cp:lastPrinted>
  <dcterms:modified xsi:type="dcterms:W3CDTF">2023-09-06T14:21:14Z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2052-11.8.2.10337</vt:lpwstr>
  </property>
</Properties>
</file>