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北京市应急管理局</w:t>
      </w:r>
      <w:r>
        <w:rPr>
          <w:rFonts w:hint="eastAsia" w:ascii="方正小标宋简体" w:hAnsi="方正小标宋简体" w:eastAsia="方正小标宋简体" w:cs="方正小标宋简体"/>
          <w:sz w:val="36"/>
          <w:szCs w:val="36"/>
          <w:lang w:val="en-US" w:eastAsia="zh-CN"/>
        </w:rPr>
        <w:t xml:space="preserve"> 国家金融监督管理总局北京监管局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关于充</w:t>
      </w:r>
      <w:r>
        <w:rPr>
          <w:rFonts w:hint="eastAsia" w:ascii="方正小标宋简体" w:hAnsi="方正小标宋简体" w:eastAsia="方正小标宋简体" w:cs="方正小标宋简体"/>
          <w:b w:val="0"/>
          <w:bCs w:val="0"/>
          <w:sz w:val="36"/>
          <w:szCs w:val="36"/>
          <w:lang w:val="en-US" w:eastAsia="zh-CN"/>
        </w:rPr>
        <w:t>分</w:t>
      </w:r>
      <w:r>
        <w:rPr>
          <w:rFonts w:hint="eastAsia" w:ascii="方正小标宋简体" w:hAnsi="方正小标宋简体" w:eastAsia="方正小标宋简体" w:cs="方正小标宋简体"/>
          <w:sz w:val="36"/>
          <w:szCs w:val="36"/>
          <w:lang w:val="en-US" w:eastAsia="zh-CN"/>
        </w:rPr>
        <w:t>发挥安全生产责任保险功能作用</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助力北京市安全生产治本攻坚三年行动的通知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pStyle w:val="2"/>
        <w:jc w:val="center"/>
        <w:rPr>
          <w:rFonts w:hint="eastAsia"/>
          <w:lang w:val="en-US" w:eastAsia="zh-CN"/>
        </w:rPr>
      </w:pPr>
      <w:r>
        <w:rPr>
          <w:rFonts w:hint="eastAsia" w:ascii="仿宋_GB2312" w:hAnsi="仿宋_GB2312" w:eastAsia="仿宋_GB2312" w:cs="仿宋_GB2312"/>
          <w:sz w:val="32"/>
          <w:szCs w:val="32"/>
          <w:lang w:val="en-US" w:eastAsia="zh-CN"/>
        </w:rPr>
        <w:t>（征求意见稿）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党的二十大和二十届二中、三中全会精神和习近平总书记关于安全生产重要指示批示精神，充分发挥安全生产责任保险（以下简称安责险）作用和保险机构参与风险评估管控、事故预防功能，助力安全生产治本攻坚三年行动，根据国务院安委会和北京市安委会治本攻坚三年行动方案，以及应急管理部办公厅、国家金融监督管理总局办公厅通知要求，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一、加强组织推动，全面助力安全生产治本攻坚行动</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安全生产治本攻坚三年行动，是进一步夯实安全生产基础，从根本上消除事故隐患，有效防范遏制重特大生产安全事故的重要举措。各区应急管理部门和保险机构要深刻认识此次专项行动的重要意义，充分发挥各自职能作用和安责险事故预防服务功能，结合本市治本攻坚“八大行动”和秋冬季安全生产排查整治工作要求，协助投保单位开展隐患排查治理等事故预防服务，提升生产经营单位安全风险管控水平，推动安全生产治理模式向事前预防转型。</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应急管理部门要联合相关行业主管部门加强宣传督导，压实各经营单位安全生产管理的主体责任，进一步提升安责险参保率和覆盖面，持续推动矿山、危险化学品、烟花爆竹、交通运输、建筑施工、民用爆炸物品、金属冶炼等国家规定的高危行业、领域的生产经营单位，应当投保安全生产责任保险；在大型群众性活动、人员密集场所以及涉及水、电、气、热等城市运行领域重点推行；在其他行业、领域全面推行。对应投保而未投保的高危行业、领域企业要及时予以督促提醒，对拒不整改的严格依法依规进行处理。</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二、聚焦重点领域，持续强化事故预防服务</w:t>
      </w:r>
    </w:p>
    <w:p>
      <w:pPr>
        <w:spacing w:line="560" w:lineRule="exact"/>
        <w:ind w:firstLine="622"/>
        <w:rPr>
          <w:rFonts w:hint="eastAsia"/>
          <w:lang w:val="en-US" w:eastAsia="zh-CN"/>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kern w:val="2"/>
          <w:sz w:val="32"/>
          <w:szCs w:val="32"/>
          <w:lang w:val="en-US" w:eastAsia="zh-CN" w:bidi="ar-SA"/>
        </w:rPr>
        <w:t>应急管理部门和金融监管部门将</w:t>
      </w:r>
      <w:r>
        <w:rPr>
          <w:rFonts w:hint="eastAsia" w:ascii="仿宋_GB2312" w:hAnsi="仿宋_GB2312" w:eastAsia="仿宋_GB2312" w:cs="仿宋_GB2312"/>
          <w:sz w:val="32"/>
          <w:szCs w:val="32"/>
          <w:lang w:val="en-US" w:eastAsia="zh-CN"/>
        </w:rPr>
        <w:t>支持引导生产经营单位、保险机构和第三方机构建立三方合作机制，加强事故预防服务自主管理和自我约束。三方合作机制</w:t>
      </w:r>
      <w:r>
        <w:rPr>
          <w:rFonts w:hint="eastAsia" w:ascii="仿宋_GB2312" w:hAnsi="仿宋_GB2312" w:eastAsia="仿宋_GB2312" w:cs="仿宋_GB2312"/>
          <w:sz w:val="32"/>
          <w:szCs w:val="32"/>
          <w:lang w:val="en-US" w:eastAsia="zh-CN"/>
        </w:rPr>
        <w:t>要建立安全生产技术服务机构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白名单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黑名单”机制并进行动态管理，切实提升服务标准化、专业化水平，督促投保单位积极主动配合开展事故预防服务，切实提升事故预防服务实效。各区应急管理部门要加强安全形势分析研判，针对治本攻坚行动重点领域出现的薄弱环节，积极与三方合作机制沟通，统筹事故预防服务资金和项目，为投保单位做好事故预防服务工作。市应急管理局也将结合治本攻坚行动，协调三方合作机制统筹开展一批事故预防服务项目。</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应急管理部门要注重提升事故预防服务资金使用效益，聚焦城镇燃气、危险化学品、高风险限额以下小型工程、村民经营性自建房、“九小场所”、多业态混合生产经营场所、人员密集场所等重点行业、领域，开展专家指导、安全培训、宣传教育、风险排查、智能设备装备安装等服务，协助推动落实“禁止边营业边施工”“两个以上独立逃生通道”和禁止电动自行车“进楼入户”等兜底红线措施。要支持保险机构组织开展务实管用的安全生产科技创新和装备研发推广。</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各保险机构在开展安全生产宣传教育培训服务时，要突出对治本攻坚行动文件精神的宣贯、重大事故隐患判定标准的宣传培训、典型事故案例的警示教育等，着力提升从业人员安全技能，健全培训效果跟踪反馈评估机制。在开展安全生产应急救援演练服务中，要突出“人人讲安全、个个会应急”主题，提升公众逃生避险意识和能力，推动从业人员熟知逃生通道、安全出口及应急处置要求。在开展安全生产标准化建设服务中，要协助投保单位健全完善安全管理体系，利用费率浮动机制鼓励加强安全生产标准化系统性管理，对于达标单位在下一个保险周期适度下调保险费率，推动形成长效机制。</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三、紧盯关键环节，集中力量开展隐患排查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应急管理部门要督促指导三方合作机制聚焦重点领域，建立完善风险分析研判和结果应用机制，鉴别区分高、中、低风险生产经营单位，根据风险大小和类型，分类施策开展隐患排查服务。要积极会同相关行业主管部门，借助“企安安”系统，指导支持保险机构对照企业自查和安全服务机构排查的隐患，开展数据分析比对，建立健全发现隐患、督促整改、“回头看”全流程事故隐患闭环管理机制。</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保险机构要在应急管理部门的指导下，将生产安全事故隐患排查服务作为安责险事故预防服务的重中之重，在事故预防费中明确一定费用比例，并依托三方合作机制，利用行业领域专家和技术人员等专业力量，对投保单位专项开展隐患排查服务，精准查找和协助治理重大事故隐患，推动提升企业</w:t>
      </w:r>
      <w:r>
        <w:rPr>
          <w:rFonts w:hint="eastAsia" w:ascii="仿宋_GB2312" w:hAnsi="仿宋_GB2312" w:eastAsia="仿宋_GB2312" w:cs="仿宋_GB2312"/>
          <w:sz w:val="32"/>
          <w:szCs w:val="32"/>
          <w:highlight w:val="none"/>
          <w:lang w:val="en-US" w:eastAsia="zh-CN"/>
        </w:rPr>
        <w:t>本质安全水平</w:t>
      </w:r>
      <w:r>
        <w:rPr>
          <w:rFonts w:hint="eastAsia" w:ascii="仿宋_GB2312" w:hAnsi="仿宋_GB2312" w:eastAsia="仿宋_GB2312" w:cs="仿宋_GB2312"/>
          <w:sz w:val="32"/>
          <w:szCs w:val="32"/>
          <w:lang w:val="en-US" w:eastAsia="zh-CN"/>
        </w:rPr>
        <w:t>。对服务中发现的重大事故隐患，要</w:t>
      </w:r>
      <w:r>
        <w:rPr>
          <w:rFonts w:hint="eastAsia" w:ascii="仿宋_GB2312" w:hAnsi="仿宋_GB2312" w:eastAsia="仿宋_GB2312" w:cs="仿宋_GB2312"/>
          <w:sz w:val="32"/>
          <w:szCs w:val="32"/>
          <w:highlight w:val="none"/>
          <w:lang w:val="en-US" w:eastAsia="zh-CN"/>
        </w:rPr>
        <w:t>及时通知</w:t>
      </w:r>
      <w:r>
        <w:rPr>
          <w:rFonts w:hint="eastAsia" w:ascii="仿宋_GB2312" w:hAnsi="仿宋_GB2312" w:eastAsia="仿宋_GB2312" w:cs="仿宋_GB2312"/>
          <w:sz w:val="32"/>
          <w:szCs w:val="32"/>
          <w:lang w:val="en-US" w:eastAsia="zh-CN"/>
        </w:rPr>
        <w:t>到投保单位主要负责人或实际控制人，促进有效整改，对未按时限整改的，应及时上报应急管理部门或相关行业主管部门。对组织开展隐患排查服务的情况，要及时录入北京市安责险信息统计与监管系统，实现全过程、痕迹化管理。</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四、完善制度机制，规范管理和使用事故预防费用</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各保险机构要加强事故预防服务风险团队和专业能力建设，建立管理制度，规范服务流程，完善内部控制，依据合同约定开展工作。自本通知下发之日起，各保险机构</w:t>
      </w:r>
      <w:r>
        <w:rPr>
          <w:rFonts w:hint="eastAsia" w:ascii="仿宋_GB2312" w:hAnsi="仿宋_GB2312" w:eastAsia="仿宋_GB2312" w:cs="仿宋_GB2312"/>
          <w:sz w:val="32"/>
          <w:szCs w:val="32"/>
          <w:lang w:val="en-US" w:eastAsia="zh-CN"/>
        </w:rPr>
        <w:t>对于高危行业、领域，</w:t>
      </w:r>
      <w:r>
        <w:rPr>
          <w:rFonts w:hint="eastAsia" w:ascii="仿宋_GB2312" w:hAnsi="仿宋_GB2312" w:eastAsia="仿宋_GB2312" w:cs="仿宋_GB2312"/>
          <w:sz w:val="32"/>
          <w:szCs w:val="32"/>
          <w:lang w:val="en-US" w:eastAsia="zh-CN"/>
        </w:rPr>
        <w:t>要按照不高于安责险实际收取保费的21%投入事故预防服务费用，制定专项预算，核算时在成本（费用）中据实列支，不得挤占、挪用。事故预防服务费用应当专门用于投保单位的事故预防及相关技术支持工作，以降低生产安全事故风险或减少事故损失为主要目的，不得随意扩大使用范围。事故预防服务费用要据实开支，并按照会计准则进行账务管理，建立专门台账，确保数据真实准确，不得通过事故预防服务套取费用或从事其他违法违规行为，原则上为投保单位所建立的事故预防服务档案留存期限至少应为5年，期间不得丢失、篡改、隐匿和销毁。北京保险行业协会要发挥行业自律机制功能，统一辖内理赔服务标准及流程，督促规范开展市场服务，促进安全生产治理重心向事前预防转变。市应急管理部门、金融监管机构和行业主管部门将按照职责对保险机构事故预防服务费用使用情况开展检查，确保经费使用足额、规范、到位。</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五、强化监督指导，全力推动各项措施落地见效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区应急管理部门和金融监管部门要加强协作配合，深化承保、理赔和事故预防服务数据在相关管理部门间的交互共享，按职责强化对事故预防服务的监督指导及预防费用使用监测，推动形成工作合力，指导北京保险行业协会组织行业结合有关数据情况，制定北京地区各行业、领域安责险纯风险损失率。各区应急管理部门要实化工作措施，明确进度安排，对保险机构助力治本攻坚行动情</w:t>
      </w:r>
      <w:r>
        <w:rPr>
          <w:rFonts w:hint="eastAsia" w:ascii="仿宋_GB2312" w:hAnsi="仿宋_GB2312" w:eastAsia="仿宋_GB2312" w:cs="仿宋_GB2312"/>
          <w:sz w:val="32"/>
          <w:szCs w:val="32"/>
          <w:lang w:val="en-US" w:eastAsia="zh-CN"/>
        </w:rPr>
        <w:t>况加强工作督导和鼓励引导，对成绩突出的保险机构要及时通报表扬，总结推广优秀案例，发挥好先进典型的示范带动作用。要积极探索整合大数据资源，充分挖掘事故风险类别、出险频度与行业、地域等多维因素之间的内在联系，为保险机构精准开展事故预防服务提供抓手，并积极引</w:t>
      </w:r>
      <w:r>
        <w:rPr>
          <w:rFonts w:hint="eastAsia" w:ascii="仿宋_GB2312" w:hAnsi="仿宋_GB2312" w:eastAsia="仿宋_GB2312" w:cs="仿宋_GB2312"/>
          <w:kern w:val="2"/>
          <w:sz w:val="32"/>
          <w:szCs w:val="32"/>
          <w:lang w:val="en-US" w:eastAsia="zh-CN" w:bidi="ar-SA"/>
        </w:rPr>
        <w:t>导探索利用人工智能、物联网等科技手段，开展违规作业行为发现、报警、处置的安全事故隐患智能识别技术应用，提升事故预防服务水平。要主动营造公平竞争的市场环境，不得强制非高危行业、领域生产经营单位投保安责险，不得以划片区、分行业部门等形式限制保险机构开展工作，或者违规设置禁入“门槛”。各保险机构要依托三方合作机制，建立安责险快速理赔机制，发生重大安全事故且属于保险责任范围的，要加大预赔付工作力度，应赔尽赔、能赔快赔。安责险业务开展中严禁返佣、虚列费用等违法违规行为发生。</w:t>
      </w:r>
    </w:p>
    <w:p>
      <w:pPr>
        <w:keepNext w:val="0"/>
        <w:keepLines w:val="0"/>
        <w:pageBreakBefore w:val="0"/>
        <w:widowControl w:val="0"/>
        <w:kinsoku/>
        <w:wordWrap/>
        <w:overflowPunct/>
        <w:topLinePunct w:val="0"/>
        <w:autoSpaceDE/>
        <w:autoSpaceDN/>
        <w:bidi w:val="0"/>
        <w:adjustRightInd/>
        <w:snapToGrid/>
        <w:spacing w:line="560" w:lineRule="exact"/>
        <w:ind w:firstLine="622"/>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应急管理部门和金融监管机构、相关行业主管部门在开展安责险事故预防服务监督管理和评估评价中，要将保险机构参与治本攻坚行动情况作为重要内容。对未落实事故预防服务要求、投入不足等问题突出的保险机构，要严肃问责问效，及时进行约谈处理，督促限期整改，推动各项工作措施落地落实。</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134" w:left="1361"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五">
    <w:altName w:val="Noto Serif CJK JP"/>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2389"/>
      </w:tabs>
      <w:jc w:val="left"/>
      <w:rPr>
        <w:rFonts w:hint="eastAsia"/>
      </w:rP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952CF"/>
    <w:multiLevelType w:val="multilevel"/>
    <w:tmpl w:val="341952CF"/>
    <w:lvl w:ilvl="0" w:tentative="0">
      <w:start w:val="1"/>
      <w:numFmt w:val="decimal"/>
      <w:pStyle w:val="1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C6"/>
    <w:rsid w:val="00000D9F"/>
    <w:rsid w:val="00003555"/>
    <w:rsid w:val="00016BAC"/>
    <w:rsid w:val="0003033E"/>
    <w:rsid w:val="00047225"/>
    <w:rsid w:val="000501AD"/>
    <w:rsid w:val="00052011"/>
    <w:rsid w:val="000521AD"/>
    <w:rsid w:val="00054897"/>
    <w:rsid w:val="00055422"/>
    <w:rsid w:val="00056601"/>
    <w:rsid w:val="00061D74"/>
    <w:rsid w:val="000717B0"/>
    <w:rsid w:val="000757E9"/>
    <w:rsid w:val="00075D71"/>
    <w:rsid w:val="00075E4A"/>
    <w:rsid w:val="00077E35"/>
    <w:rsid w:val="000825FE"/>
    <w:rsid w:val="000840A9"/>
    <w:rsid w:val="00084B74"/>
    <w:rsid w:val="00084CD7"/>
    <w:rsid w:val="0008528D"/>
    <w:rsid w:val="00090B33"/>
    <w:rsid w:val="00092FB8"/>
    <w:rsid w:val="000947E7"/>
    <w:rsid w:val="000947EE"/>
    <w:rsid w:val="000960AC"/>
    <w:rsid w:val="000A52D8"/>
    <w:rsid w:val="000A7123"/>
    <w:rsid w:val="000B2E14"/>
    <w:rsid w:val="000C2612"/>
    <w:rsid w:val="000D1312"/>
    <w:rsid w:val="000D16DC"/>
    <w:rsid w:val="000D3365"/>
    <w:rsid w:val="000D5206"/>
    <w:rsid w:val="000E3298"/>
    <w:rsid w:val="000F205B"/>
    <w:rsid w:val="000F49E2"/>
    <w:rsid w:val="00104866"/>
    <w:rsid w:val="00113F40"/>
    <w:rsid w:val="00121CCA"/>
    <w:rsid w:val="00130731"/>
    <w:rsid w:val="001368FF"/>
    <w:rsid w:val="00141A0E"/>
    <w:rsid w:val="001449E2"/>
    <w:rsid w:val="00146242"/>
    <w:rsid w:val="00153751"/>
    <w:rsid w:val="00156237"/>
    <w:rsid w:val="0015663B"/>
    <w:rsid w:val="00156D5D"/>
    <w:rsid w:val="001718EA"/>
    <w:rsid w:val="00172E5B"/>
    <w:rsid w:val="00177A24"/>
    <w:rsid w:val="0018436B"/>
    <w:rsid w:val="0018635B"/>
    <w:rsid w:val="00193AFA"/>
    <w:rsid w:val="001A3CCD"/>
    <w:rsid w:val="001A4C04"/>
    <w:rsid w:val="001A57E0"/>
    <w:rsid w:val="001A6EE9"/>
    <w:rsid w:val="001C4135"/>
    <w:rsid w:val="001C4D7E"/>
    <w:rsid w:val="001D0C99"/>
    <w:rsid w:val="001D1B07"/>
    <w:rsid w:val="001D2C25"/>
    <w:rsid w:val="001E4218"/>
    <w:rsid w:val="001E5BA3"/>
    <w:rsid w:val="001F1157"/>
    <w:rsid w:val="001F3F5A"/>
    <w:rsid w:val="00202B89"/>
    <w:rsid w:val="002157E6"/>
    <w:rsid w:val="00220F8E"/>
    <w:rsid w:val="00224F1A"/>
    <w:rsid w:val="00230A4F"/>
    <w:rsid w:val="0023238A"/>
    <w:rsid w:val="00234A32"/>
    <w:rsid w:val="002374AA"/>
    <w:rsid w:val="00250597"/>
    <w:rsid w:val="00252565"/>
    <w:rsid w:val="00262BBA"/>
    <w:rsid w:val="00263F9C"/>
    <w:rsid w:val="00267B35"/>
    <w:rsid w:val="00267D11"/>
    <w:rsid w:val="0027065D"/>
    <w:rsid w:val="002719CD"/>
    <w:rsid w:val="00275615"/>
    <w:rsid w:val="00275C2F"/>
    <w:rsid w:val="0028160F"/>
    <w:rsid w:val="00281E9E"/>
    <w:rsid w:val="002848FA"/>
    <w:rsid w:val="00284ABD"/>
    <w:rsid w:val="0028509B"/>
    <w:rsid w:val="002874B6"/>
    <w:rsid w:val="002909A8"/>
    <w:rsid w:val="002A2D0E"/>
    <w:rsid w:val="002A3E80"/>
    <w:rsid w:val="002B316B"/>
    <w:rsid w:val="002C0680"/>
    <w:rsid w:val="002C4505"/>
    <w:rsid w:val="002C7743"/>
    <w:rsid w:val="002E1441"/>
    <w:rsid w:val="002E3747"/>
    <w:rsid w:val="002E480B"/>
    <w:rsid w:val="002F02E9"/>
    <w:rsid w:val="002F5E44"/>
    <w:rsid w:val="00301845"/>
    <w:rsid w:val="003034E2"/>
    <w:rsid w:val="003041CD"/>
    <w:rsid w:val="00304450"/>
    <w:rsid w:val="00316580"/>
    <w:rsid w:val="00321628"/>
    <w:rsid w:val="00324245"/>
    <w:rsid w:val="00331C59"/>
    <w:rsid w:val="00332041"/>
    <w:rsid w:val="0033513F"/>
    <w:rsid w:val="00344549"/>
    <w:rsid w:val="00351BC5"/>
    <w:rsid w:val="00352F92"/>
    <w:rsid w:val="00353A7A"/>
    <w:rsid w:val="00355F29"/>
    <w:rsid w:val="0035769C"/>
    <w:rsid w:val="00357EA3"/>
    <w:rsid w:val="00363224"/>
    <w:rsid w:val="003648DA"/>
    <w:rsid w:val="00370958"/>
    <w:rsid w:val="0038122D"/>
    <w:rsid w:val="003817F9"/>
    <w:rsid w:val="00382B06"/>
    <w:rsid w:val="00390705"/>
    <w:rsid w:val="00394648"/>
    <w:rsid w:val="00395E75"/>
    <w:rsid w:val="003A1E58"/>
    <w:rsid w:val="003A610A"/>
    <w:rsid w:val="003B2DED"/>
    <w:rsid w:val="003B4F79"/>
    <w:rsid w:val="003C61ED"/>
    <w:rsid w:val="003C6784"/>
    <w:rsid w:val="003D19E8"/>
    <w:rsid w:val="003D23ED"/>
    <w:rsid w:val="003D3812"/>
    <w:rsid w:val="003D7777"/>
    <w:rsid w:val="003E2CEC"/>
    <w:rsid w:val="003F72C0"/>
    <w:rsid w:val="004049A6"/>
    <w:rsid w:val="00407AE9"/>
    <w:rsid w:val="004110EE"/>
    <w:rsid w:val="004157F8"/>
    <w:rsid w:val="00422034"/>
    <w:rsid w:val="00424D7E"/>
    <w:rsid w:val="00433C4E"/>
    <w:rsid w:val="00437393"/>
    <w:rsid w:val="004454CA"/>
    <w:rsid w:val="00446205"/>
    <w:rsid w:val="00457254"/>
    <w:rsid w:val="00466007"/>
    <w:rsid w:val="0047122A"/>
    <w:rsid w:val="00474826"/>
    <w:rsid w:val="00475FBD"/>
    <w:rsid w:val="00490EFE"/>
    <w:rsid w:val="0049284C"/>
    <w:rsid w:val="00496415"/>
    <w:rsid w:val="004A04C5"/>
    <w:rsid w:val="004A063F"/>
    <w:rsid w:val="004A7D8F"/>
    <w:rsid w:val="004B0FA3"/>
    <w:rsid w:val="004B7DD3"/>
    <w:rsid w:val="004C132D"/>
    <w:rsid w:val="004C6B59"/>
    <w:rsid w:val="004D2522"/>
    <w:rsid w:val="004D4358"/>
    <w:rsid w:val="004E1BCC"/>
    <w:rsid w:val="004E3027"/>
    <w:rsid w:val="004F2A3F"/>
    <w:rsid w:val="004F6646"/>
    <w:rsid w:val="004F7D96"/>
    <w:rsid w:val="00502152"/>
    <w:rsid w:val="00510886"/>
    <w:rsid w:val="00510F4F"/>
    <w:rsid w:val="0051158C"/>
    <w:rsid w:val="005140BA"/>
    <w:rsid w:val="00520333"/>
    <w:rsid w:val="00521534"/>
    <w:rsid w:val="00523B70"/>
    <w:rsid w:val="005258D1"/>
    <w:rsid w:val="00531DE1"/>
    <w:rsid w:val="00536536"/>
    <w:rsid w:val="00536F95"/>
    <w:rsid w:val="00542940"/>
    <w:rsid w:val="0055088A"/>
    <w:rsid w:val="00551517"/>
    <w:rsid w:val="00551F78"/>
    <w:rsid w:val="005559F0"/>
    <w:rsid w:val="00564096"/>
    <w:rsid w:val="00566B24"/>
    <w:rsid w:val="00567651"/>
    <w:rsid w:val="005745C9"/>
    <w:rsid w:val="0057719C"/>
    <w:rsid w:val="0058767C"/>
    <w:rsid w:val="00590AF2"/>
    <w:rsid w:val="005925F7"/>
    <w:rsid w:val="005958BC"/>
    <w:rsid w:val="00595968"/>
    <w:rsid w:val="005A01C5"/>
    <w:rsid w:val="005A370F"/>
    <w:rsid w:val="005A4720"/>
    <w:rsid w:val="005A6AAA"/>
    <w:rsid w:val="005A724E"/>
    <w:rsid w:val="005B1A49"/>
    <w:rsid w:val="005B26AB"/>
    <w:rsid w:val="005B4A80"/>
    <w:rsid w:val="005C0671"/>
    <w:rsid w:val="005C3DC5"/>
    <w:rsid w:val="005D31E8"/>
    <w:rsid w:val="005D45AC"/>
    <w:rsid w:val="005D561F"/>
    <w:rsid w:val="005D67C7"/>
    <w:rsid w:val="005D7069"/>
    <w:rsid w:val="005D7120"/>
    <w:rsid w:val="005F3CA6"/>
    <w:rsid w:val="006000B6"/>
    <w:rsid w:val="006050FD"/>
    <w:rsid w:val="00610A30"/>
    <w:rsid w:val="00613891"/>
    <w:rsid w:val="006159FD"/>
    <w:rsid w:val="00621ECA"/>
    <w:rsid w:val="0062411A"/>
    <w:rsid w:val="00640C21"/>
    <w:rsid w:val="006436E0"/>
    <w:rsid w:val="00645286"/>
    <w:rsid w:val="00651908"/>
    <w:rsid w:val="00655E93"/>
    <w:rsid w:val="00656A11"/>
    <w:rsid w:val="0066052D"/>
    <w:rsid w:val="00667B72"/>
    <w:rsid w:val="00667C63"/>
    <w:rsid w:val="00674453"/>
    <w:rsid w:val="00676F39"/>
    <w:rsid w:val="006821AA"/>
    <w:rsid w:val="00682FFF"/>
    <w:rsid w:val="006A162A"/>
    <w:rsid w:val="006A432D"/>
    <w:rsid w:val="006A6347"/>
    <w:rsid w:val="006A6999"/>
    <w:rsid w:val="006B610B"/>
    <w:rsid w:val="006B67B7"/>
    <w:rsid w:val="006C2BAA"/>
    <w:rsid w:val="006C49F3"/>
    <w:rsid w:val="006C4D4D"/>
    <w:rsid w:val="006D1BB8"/>
    <w:rsid w:val="006D2D54"/>
    <w:rsid w:val="006D68CD"/>
    <w:rsid w:val="006E3572"/>
    <w:rsid w:val="006E3AF3"/>
    <w:rsid w:val="006E787C"/>
    <w:rsid w:val="006E7BB8"/>
    <w:rsid w:val="006F5FB1"/>
    <w:rsid w:val="00703756"/>
    <w:rsid w:val="00706688"/>
    <w:rsid w:val="00713291"/>
    <w:rsid w:val="00724CBF"/>
    <w:rsid w:val="00734C03"/>
    <w:rsid w:val="00735DBC"/>
    <w:rsid w:val="0074142F"/>
    <w:rsid w:val="007419B1"/>
    <w:rsid w:val="00741BC9"/>
    <w:rsid w:val="007473C2"/>
    <w:rsid w:val="007672FC"/>
    <w:rsid w:val="00770F19"/>
    <w:rsid w:val="007710A2"/>
    <w:rsid w:val="00771C1E"/>
    <w:rsid w:val="00783C5B"/>
    <w:rsid w:val="00793811"/>
    <w:rsid w:val="007A74AC"/>
    <w:rsid w:val="007B09D8"/>
    <w:rsid w:val="007B227A"/>
    <w:rsid w:val="007C0030"/>
    <w:rsid w:val="007C11CF"/>
    <w:rsid w:val="007C1F27"/>
    <w:rsid w:val="007D475B"/>
    <w:rsid w:val="007E3EB4"/>
    <w:rsid w:val="007E5F66"/>
    <w:rsid w:val="007E6296"/>
    <w:rsid w:val="00802C6F"/>
    <w:rsid w:val="00812980"/>
    <w:rsid w:val="00812E3E"/>
    <w:rsid w:val="008155F0"/>
    <w:rsid w:val="00815D7C"/>
    <w:rsid w:val="008203CD"/>
    <w:rsid w:val="00821EAD"/>
    <w:rsid w:val="00822662"/>
    <w:rsid w:val="00822E7D"/>
    <w:rsid w:val="00826613"/>
    <w:rsid w:val="00826BDD"/>
    <w:rsid w:val="008341B0"/>
    <w:rsid w:val="00836975"/>
    <w:rsid w:val="008432EB"/>
    <w:rsid w:val="0085606D"/>
    <w:rsid w:val="00862E9A"/>
    <w:rsid w:val="0086553B"/>
    <w:rsid w:val="0087711A"/>
    <w:rsid w:val="00883C5E"/>
    <w:rsid w:val="008863D3"/>
    <w:rsid w:val="008A027A"/>
    <w:rsid w:val="008A3C31"/>
    <w:rsid w:val="008A4C82"/>
    <w:rsid w:val="008A77A1"/>
    <w:rsid w:val="008B0BB7"/>
    <w:rsid w:val="008B7403"/>
    <w:rsid w:val="008C1956"/>
    <w:rsid w:val="008D1F2A"/>
    <w:rsid w:val="008D4449"/>
    <w:rsid w:val="008E3086"/>
    <w:rsid w:val="008F6E8B"/>
    <w:rsid w:val="00902C9A"/>
    <w:rsid w:val="00904A70"/>
    <w:rsid w:val="00911201"/>
    <w:rsid w:val="00911378"/>
    <w:rsid w:val="00912FB1"/>
    <w:rsid w:val="00922C7E"/>
    <w:rsid w:val="00923424"/>
    <w:rsid w:val="00935A73"/>
    <w:rsid w:val="009413E4"/>
    <w:rsid w:val="00941E1E"/>
    <w:rsid w:val="009426F5"/>
    <w:rsid w:val="009532B2"/>
    <w:rsid w:val="0095555D"/>
    <w:rsid w:val="0095585F"/>
    <w:rsid w:val="00957F8D"/>
    <w:rsid w:val="00960CAE"/>
    <w:rsid w:val="0096232F"/>
    <w:rsid w:val="009647F1"/>
    <w:rsid w:val="009670A0"/>
    <w:rsid w:val="009719D6"/>
    <w:rsid w:val="0097255C"/>
    <w:rsid w:val="00973353"/>
    <w:rsid w:val="00976DFB"/>
    <w:rsid w:val="00981C06"/>
    <w:rsid w:val="009822C9"/>
    <w:rsid w:val="0098421E"/>
    <w:rsid w:val="00986E42"/>
    <w:rsid w:val="00987501"/>
    <w:rsid w:val="00987E96"/>
    <w:rsid w:val="0099218C"/>
    <w:rsid w:val="00992288"/>
    <w:rsid w:val="00992C1D"/>
    <w:rsid w:val="0099749B"/>
    <w:rsid w:val="009A1036"/>
    <w:rsid w:val="009A242E"/>
    <w:rsid w:val="009A55EB"/>
    <w:rsid w:val="009A6BB4"/>
    <w:rsid w:val="009A729D"/>
    <w:rsid w:val="009B370D"/>
    <w:rsid w:val="009B64DF"/>
    <w:rsid w:val="009B738B"/>
    <w:rsid w:val="009B7C4C"/>
    <w:rsid w:val="009C2EAE"/>
    <w:rsid w:val="009D3950"/>
    <w:rsid w:val="009D52C4"/>
    <w:rsid w:val="009E4545"/>
    <w:rsid w:val="009E577A"/>
    <w:rsid w:val="009F5840"/>
    <w:rsid w:val="009F60F1"/>
    <w:rsid w:val="009F65A0"/>
    <w:rsid w:val="00A01878"/>
    <w:rsid w:val="00A034FA"/>
    <w:rsid w:val="00A04DC5"/>
    <w:rsid w:val="00A2215F"/>
    <w:rsid w:val="00A248B2"/>
    <w:rsid w:val="00A27076"/>
    <w:rsid w:val="00A34CAC"/>
    <w:rsid w:val="00A372D0"/>
    <w:rsid w:val="00A4163D"/>
    <w:rsid w:val="00A46442"/>
    <w:rsid w:val="00A6152B"/>
    <w:rsid w:val="00A64138"/>
    <w:rsid w:val="00A64D96"/>
    <w:rsid w:val="00A73BCB"/>
    <w:rsid w:val="00A9533D"/>
    <w:rsid w:val="00AA43B4"/>
    <w:rsid w:val="00AA6BA7"/>
    <w:rsid w:val="00AB23C4"/>
    <w:rsid w:val="00AB356B"/>
    <w:rsid w:val="00AB5A70"/>
    <w:rsid w:val="00AC2C31"/>
    <w:rsid w:val="00AD1DA6"/>
    <w:rsid w:val="00AD6277"/>
    <w:rsid w:val="00AE2EB6"/>
    <w:rsid w:val="00AF0F72"/>
    <w:rsid w:val="00AF6786"/>
    <w:rsid w:val="00B01187"/>
    <w:rsid w:val="00B033D7"/>
    <w:rsid w:val="00B0510B"/>
    <w:rsid w:val="00B1026D"/>
    <w:rsid w:val="00B148BE"/>
    <w:rsid w:val="00B14BF1"/>
    <w:rsid w:val="00B20A54"/>
    <w:rsid w:val="00B20F09"/>
    <w:rsid w:val="00B2739F"/>
    <w:rsid w:val="00B31BBC"/>
    <w:rsid w:val="00B31C6A"/>
    <w:rsid w:val="00B35786"/>
    <w:rsid w:val="00B370BD"/>
    <w:rsid w:val="00B42802"/>
    <w:rsid w:val="00B51D9A"/>
    <w:rsid w:val="00B51FBD"/>
    <w:rsid w:val="00B5213B"/>
    <w:rsid w:val="00B569BC"/>
    <w:rsid w:val="00B62A5F"/>
    <w:rsid w:val="00B6587D"/>
    <w:rsid w:val="00B65B03"/>
    <w:rsid w:val="00B65DD6"/>
    <w:rsid w:val="00B66B28"/>
    <w:rsid w:val="00B71022"/>
    <w:rsid w:val="00B73200"/>
    <w:rsid w:val="00B75FAC"/>
    <w:rsid w:val="00B81910"/>
    <w:rsid w:val="00B92BB0"/>
    <w:rsid w:val="00B93A29"/>
    <w:rsid w:val="00BA1899"/>
    <w:rsid w:val="00BA5103"/>
    <w:rsid w:val="00BB0B65"/>
    <w:rsid w:val="00BB4F6A"/>
    <w:rsid w:val="00BB7052"/>
    <w:rsid w:val="00BB7196"/>
    <w:rsid w:val="00BB735A"/>
    <w:rsid w:val="00BD25CD"/>
    <w:rsid w:val="00BD27C9"/>
    <w:rsid w:val="00BD411E"/>
    <w:rsid w:val="00BE385F"/>
    <w:rsid w:val="00BF1186"/>
    <w:rsid w:val="00BF4303"/>
    <w:rsid w:val="00BF5D1E"/>
    <w:rsid w:val="00BF660F"/>
    <w:rsid w:val="00BF7505"/>
    <w:rsid w:val="00C00270"/>
    <w:rsid w:val="00C019A3"/>
    <w:rsid w:val="00C01E60"/>
    <w:rsid w:val="00C112BD"/>
    <w:rsid w:val="00C1238E"/>
    <w:rsid w:val="00C143D1"/>
    <w:rsid w:val="00C20F3C"/>
    <w:rsid w:val="00C37DCF"/>
    <w:rsid w:val="00C37EC7"/>
    <w:rsid w:val="00C4072A"/>
    <w:rsid w:val="00C40F39"/>
    <w:rsid w:val="00C45AC3"/>
    <w:rsid w:val="00C45E21"/>
    <w:rsid w:val="00C503F8"/>
    <w:rsid w:val="00C5251E"/>
    <w:rsid w:val="00C5276B"/>
    <w:rsid w:val="00C55FCC"/>
    <w:rsid w:val="00C64774"/>
    <w:rsid w:val="00C7648A"/>
    <w:rsid w:val="00C77E3D"/>
    <w:rsid w:val="00C80D61"/>
    <w:rsid w:val="00C85A66"/>
    <w:rsid w:val="00C92CB5"/>
    <w:rsid w:val="00C97C9C"/>
    <w:rsid w:val="00CA3FA4"/>
    <w:rsid w:val="00CA7573"/>
    <w:rsid w:val="00CB1C70"/>
    <w:rsid w:val="00CB2FE5"/>
    <w:rsid w:val="00CB430E"/>
    <w:rsid w:val="00CB46F3"/>
    <w:rsid w:val="00CC01AC"/>
    <w:rsid w:val="00CD391C"/>
    <w:rsid w:val="00CD627D"/>
    <w:rsid w:val="00CE01B2"/>
    <w:rsid w:val="00CE0247"/>
    <w:rsid w:val="00CE1FF3"/>
    <w:rsid w:val="00CE2F64"/>
    <w:rsid w:val="00CE76D8"/>
    <w:rsid w:val="00D04421"/>
    <w:rsid w:val="00D07EA2"/>
    <w:rsid w:val="00D136B9"/>
    <w:rsid w:val="00D150E8"/>
    <w:rsid w:val="00D21A1E"/>
    <w:rsid w:val="00D21A24"/>
    <w:rsid w:val="00D22449"/>
    <w:rsid w:val="00D23115"/>
    <w:rsid w:val="00D24652"/>
    <w:rsid w:val="00D258B7"/>
    <w:rsid w:val="00D34F64"/>
    <w:rsid w:val="00D37200"/>
    <w:rsid w:val="00D42CEF"/>
    <w:rsid w:val="00D45C4B"/>
    <w:rsid w:val="00D5045A"/>
    <w:rsid w:val="00D56DCD"/>
    <w:rsid w:val="00D63424"/>
    <w:rsid w:val="00D63851"/>
    <w:rsid w:val="00D643F9"/>
    <w:rsid w:val="00D644C6"/>
    <w:rsid w:val="00D67263"/>
    <w:rsid w:val="00D764C8"/>
    <w:rsid w:val="00D77DD5"/>
    <w:rsid w:val="00D86C57"/>
    <w:rsid w:val="00D8772E"/>
    <w:rsid w:val="00D9353D"/>
    <w:rsid w:val="00D95B1A"/>
    <w:rsid w:val="00D95DF5"/>
    <w:rsid w:val="00D9615D"/>
    <w:rsid w:val="00D96E54"/>
    <w:rsid w:val="00DA77A3"/>
    <w:rsid w:val="00DB1FF0"/>
    <w:rsid w:val="00DB7797"/>
    <w:rsid w:val="00DC6F07"/>
    <w:rsid w:val="00DC7FB1"/>
    <w:rsid w:val="00DD1508"/>
    <w:rsid w:val="00DD330F"/>
    <w:rsid w:val="00DD453D"/>
    <w:rsid w:val="00DD5580"/>
    <w:rsid w:val="00DE0516"/>
    <w:rsid w:val="00DE3AEF"/>
    <w:rsid w:val="00DE45B9"/>
    <w:rsid w:val="00DE5FE9"/>
    <w:rsid w:val="00DE60D8"/>
    <w:rsid w:val="00DF6BA2"/>
    <w:rsid w:val="00E02DC5"/>
    <w:rsid w:val="00E12A36"/>
    <w:rsid w:val="00E313E9"/>
    <w:rsid w:val="00E53690"/>
    <w:rsid w:val="00E54E15"/>
    <w:rsid w:val="00E5522A"/>
    <w:rsid w:val="00E55BAF"/>
    <w:rsid w:val="00E6182E"/>
    <w:rsid w:val="00E65563"/>
    <w:rsid w:val="00E65C5D"/>
    <w:rsid w:val="00E731BB"/>
    <w:rsid w:val="00E742A9"/>
    <w:rsid w:val="00E8581E"/>
    <w:rsid w:val="00E86C3E"/>
    <w:rsid w:val="00E91D99"/>
    <w:rsid w:val="00E95D23"/>
    <w:rsid w:val="00E96BE0"/>
    <w:rsid w:val="00E9722E"/>
    <w:rsid w:val="00E973B6"/>
    <w:rsid w:val="00EA5609"/>
    <w:rsid w:val="00EA6641"/>
    <w:rsid w:val="00EB47B7"/>
    <w:rsid w:val="00EB626D"/>
    <w:rsid w:val="00EB7351"/>
    <w:rsid w:val="00EB7E4F"/>
    <w:rsid w:val="00EC1CDB"/>
    <w:rsid w:val="00EC4752"/>
    <w:rsid w:val="00EC770E"/>
    <w:rsid w:val="00EE024E"/>
    <w:rsid w:val="00EF7779"/>
    <w:rsid w:val="00EF789C"/>
    <w:rsid w:val="00F00A30"/>
    <w:rsid w:val="00F012A8"/>
    <w:rsid w:val="00F01BA5"/>
    <w:rsid w:val="00F10A4A"/>
    <w:rsid w:val="00F2702F"/>
    <w:rsid w:val="00F50810"/>
    <w:rsid w:val="00F525F0"/>
    <w:rsid w:val="00F5402B"/>
    <w:rsid w:val="00F545FC"/>
    <w:rsid w:val="00F54DB7"/>
    <w:rsid w:val="00F564B1"/>
    <w:rsid w:val="00F60745"/>
    <w:rsid w:val="00F60ECA"/>
    <w:rsid w:val="00F61B5E"/>
    <w:rsid w:val="00F72566"/>
    <w:rsid w:val="00F75FEE"/>
    <w:rsid w:val="00F773BB"/>
    <w:rsid w:val="00F77FCE"/>
    <w:rsid w:val="00F85634"/>
    <w:rsid w:val="00F8689C"/>
    <w:rsid w:val="00F872D9"/>
    <w:rsid w:val="00F87319"/>
    <w:rsid w:val="00F93B10"/>
    <w:rsid w:val="00F943C8"/>
    <w:rsid w:val="00FA0657"/>
    <w:rsid w:val="00FA2043"/>
    <w:rsid w:val="00FA6D13"/>
    <w:rsid w:val="00FB5115"/>
    <w:rsid w:val="00FB5C3C"/>
    <w:rsid w:val="00FB77CC"/>
    <w:rsid w:val="00FB7931"/>
    <w:rsid w:val="00FD1E4E"/>
    <w:rsid w:val="00FD241C"/>
    <w:rsid w:val="00FE099D"/>
    <w:rsid w:val="00FE15F1"/>
    <w:rsid w:val="00FE40DE"/>
    <w:rsid w:val="00FF01D5"/>
    <w:rsid w:val="00FF0B18"/>
    <w:rsid w:val="00FF2956"/>
    <w:rsid w:val="00FF2C1C"/>
    <w:rsid w:val="00FF5AD4"/>
    <w:rsid w:val="00FF5CEB"/>
    <w:rsid w:val="00FF6B73"/>
    <w:rsid w:val="024C43F3"/>
    <w:rsid w:val="02781F97"/>
    <w:rsid w:val="036D2369"/>
    <w:rsid w:val="03C31E33"/>
    <w:rsid w:val="053F72C9"/>
    <w:rsid w:val="05A91BC9"/>
    <w:rsid w:val="05BE0F81"/>
    <w:rsid w:val="0B796F42"/>
    <w:rsid w:val="0B874E9F"/>
    <w:rsid w:val="0BFF135E"/>
    <w:rsid w:val="0C63267D"/>
    <w:rsid w:val="0D822EE8"/>
    <w:rsid w:val="0EE67CE9"/>
    <w:rsid w:val="0FEB772C"/>
    <w:rsid w:val="105C2E66"/>
    <w:rsid w:val="129C4D46"/>
    <w:rsid w:val="177E413B"/>
    <w:rsid w:val="17944E1C"/>
    <w:rsid w:val="183419F8"/>
    <w:rsid w:val="192C79F2"/>
    <w:rsid w:val="195A081D"/>
    <w:rsid w:val="19B96DD9"/>
    <w:rsid w:val="1A0820DE"/>
    <w:rsid w:val="1A0D1A9A"/>
    <w:rsid w:val="1B7D7B29"/>
    <w:rsid w:val="1B9504B8"/>
    <w:rsid w:val="1CF138D0"/>
    <w:rsid w:val="1DD404D4"/>
    <w:rsid w:val="1DE440A6"/>
    <w:rsid w:val="206772FB"/>
    <w:rsid w:val="211A3CC3"/>
    <w:rsid w:val="21E0530B"/>
    <w:rsid w:val="22BD1823"/>
    <w:rsid w:val="22EB695F"/>
    <w:rsid w:val="23B94110"/>
    <w:rsid w:val="245221C9"/>
    <w:rsid w:val="26735B2B"/>
    <w:rsid w:val="294C1165"/>
    <w:rsid w:val="2BA70366"/>
    <w:rsid w:val="2BC4005B"/>
    <w:rsid w:val="2BE6506F"/>
    <w:rsid w:val="2BFF672B"/>
    <w:rsid w:val="2C67281E"/>
    <w:rsid w:val="2DDA69C9"/>
    <w:rsid w:val="2E804109"/>
    <w:rsid w:val="2F46213F"/>
    <w:rsid w:val="2F610EC5"/>
    <w:rsid w:val="2FA39B20"/>
    <w:rsid w:val="300C2EA2"/>
    <w:rsid w:val="31114A33"/>
    <w:rsid w:val="317B07D9"/>
    <w:rsid w:val="325078A1"/>
    <w:rsid w:val="339341B4"/>
    <w:rsid w:val="33EC05CD"/>
    <w:rsid w:val="34B22492"/>
    <w:rsid w:val="37E66B47"/>
    <w:rsid w:val="380C32AA"/>
    <w:rsid w:val="388965A8"/>
    <w:rsid w:val="38F265A7"/>
    <w:rsid w:val="391B0C59"/>
    <w:rsid w:val="39F67AD2"/>
    <w:rsid w:val="3BC42CAB"/>
    <w:rsid w:val="3BFE0A43"/>
    <w:rsid w:val="3C527666"/>
    <w:rsid w:val="3C976FC9"/>
    <w:rsid w:val="3DA51097"/>
    <w:rsid w:val="3DD84D7A"/>
    <w:rsid w:val="3E94188F"/>
    <w:rsid w:val="3EA46571"/>
    <w:rsid w:val="3ED57983"/>
    <w:rsid w:val="3FFC5C6C"/>
    <w:rsid w:val="423A2502"/>
    <w:rsid w:val="432860DB"/>
    <w:rsid w:val="43821CA5"/>
    <w:rsid w:val="43E54DE9"/>
    <w:rsid w:val="441E3CF7"/>
    <w:rsid w:val="46CE722E"/>
    <w:rsid w:val="47550DF7"/>
    <w:rsid w:val="4992730F"/>
    <w:rsid w:val="4A032553"/>
    <w:rsid w:val="4A15057E"/>
    <w:rsid w:val="4A434EB7"/>
    <w:rsid w:val="4B3A35EE"/>
    <w:rsid w:val="4B781C22"/>
    <w:rsid w:val="4B825115"/>
    <w:rsid w:val="4BCB3B89"/>
    <w:rsid w:val="4BF54F4A"/>
    <w:rsid w:val="4D3B0348"/>
    <w:rsid w:val="4D623A95"/>
    <w:rsid w:val="4D8D1248"/>
    <w:rsid w:val="4D99430C"/>
    <w:rsid w:val="4DF6556A"/>
    <w:rsid w:val="4E0C6B7B"/>
    <w:rsid w:val="4FEB1691"/>
    <w:rsid w:val="51780F90"/>
    <w:rsid w:val="51F13E5A"/>
    <w:rsid w:val="52502A68"/>
    <w:rsid w:val="525F0695"/>
    <w:rsid w:val="53FA7476"/>
    <w:rsid w:val="54031351"/>
    <w:rsid w:val="54457FB0"/>
    <w:rsid w:val="55BC26C4"/>
    <w:rsid w:val="55F61B04"/>
    <w:rsid w:val="56710999"/>
    <w:rsid w:val="56BE1118"/>
    <w:rsid w:val="572FA224"/>
    <w:rsid w:val="573857E9"/>
    <w:rsid w:val="578641BB"/>
    <w:rsid w:val="5788250A"/>
    <w:rsid w:val="57D6149F"/>
    <w:rsid w:val="58414007"/>
    <w:rsid w:val="584A43D0"/>
    <w:rsid w:val="58ED32CF"/>
    <w:rsid w:val="59BC79E4"/>
    <w:rsid w:val="59DE0CB7"/>
    <w:rsid w:val="5AAB7873"/>
    <w:rsid w:val="5ABE222C"/>
    <w:rsid w:val="5B721CD6"/>
    <w:rsid w:val="5BC409DE"/>
    <w:rsid w:val="5C292533"/>
    <w:rsid w:val="5DC14F38"/>
    <w:rsid w:val="5E555A66"/>
    <w:rsid w:val="5EED07F8"/>
    <w:rsid w:val="5FF32C0A"/>
    <w:rsid w:val="603961C0"/>
    <w:rsid w:val="633A0153"/>
    <w:rsid w:val="637A1FF1"/>
    <w:rsid w:val="63BF1A9A"/>
    <w:rsid w:val="6416173D"/>
    <w:rsid w:val="642B5699"/>
    <w:rsid w:val="65413E6E"/>
    <w:rsid w:val="65A07896"/>
    <w:rsid w:val="65D22DC5"/>
    <w:rsid w:val="66DB3940"/>
    <w:rsid w:val="67491815"/>
    <w:rsid w:val="67915E6E"/>
    <w:rsid w:val="67B66B5A"/>
    <w:rsid w:val="680D251D"/>
    <w:rsid w:val="68DB4E68"/>
    <w:rsid w:val="69C17990"/>
    <w:rsid w:val="69EF471B"/>
    <w:rsid w:val="6A2C5BD4"/>
    <w:rsid w:val="6AB171D1"/>
    <w:rsid w:val="6BF36709"/>
    <w:rsid w:val="6DEA3A78"/>
    <w:rsid w:val="6E093D79"/>
    <w:rsid w:val="6E686D18"/>
    <w:rsid w:val="6ED22952"/>
    <w:rsid w:val="6FBBD7C4"/>
    <w:rsid w:val="6FF78A02"/>
    <w:rsid w:val="70247A0D"/>
    <w:rsid w:val="713118C3"/>
    <w:rsid w:val="72C44B8F"/>
    <w:rsid w:val="73FD3443"/>
    <w:rsid w:val="74D9333A"/>
    <w:rsid w:val="75BD22B7"/>
    <w:rsid w:val="760F1918"/>
    <w:rsid w:val="76813554"/>
    <w:rsid w:val="76B97470"/>
    <w:rsid w:val="77EB5DE8"/>
    <w:rsid w:val="79AB3976"/>
    <w:rsid w:val="7A3339FA"/>
    <w:rsid w:val="7A783A8A"/>
    <w:rsid w:val="7B8519A1"/>
    <w:rsid w:val="7BFFB83E"/>
    <w:rsid w:val="7C0843CA"/>
    <w:rsid w:val="7C574017"/>
    <w:rsid w:val="7CCDD494"/>
    <w:rsid w:val="7D1B1F25"/>
    <w:rsid w:val="7DB7C9C5"/>
    <w:rsid w:val="7DBFFC1B"/>
    <w:rsid w:val="7DF1BBB8"/>
    <w:rsid w:val="7EAFA910"/>
    <w:rsid w:val="7F0FFA17"/>
    <w:rsid w:val="7F5E1361"/>
    <w:rsid w:val="7F6B6511"/>
    <w:rsid w:val="7F7F627F"/>
    <w:rsid w:val="7F916DD7"/>
    <w:rsid w:val="7FB91513"/>
    <w:rsid w:val="7FEFC205"/>
    <w:rsid w:val="7FF73EE6"/>
    <w:rsid w:val="7FFE68CB"/>
    <w:rsid w:val="8DAEEDE0"/>
    <w:rsid w:val="95857DA3"/>
    <w:rsid w:val="A3BED0B3"/>
    <w:rsid w:val="ADEC97E1"/>
    <w:rsid w:val="AFBDAEF3"/>
    <w:rsid w:val="B1DE4B37"/>
    <w:rsid w:val="B7DB4DA5"/>
    <w:rsid w:val="BB91953B"/>
    <w:rsid w:val="BBF7ADF8"/>
    <w:rsid w:val="BDFD5A53"/>
    <w:rsid w:val="BFE79A0F"/>
    <w:rsid w:val="CEFAE354"/>
    <w:rsid w:val="CFD75689"/>
    <w:rsid w:val="D6E7A3EA"/>
    <w:rsid w:val="DAE7EE94"/>
    <w:rsid w:val="DFDF38B9"/>
    <w:rsid w:val="E78ECAB6"/>
    <w:rsid w:val="E9BFA5D5"/>
    <w:rsid w:val="EFBA8C77"/>
    <w:rsid w:val="F77BFD90"/>
    <w:rsid w:val="F7B1766B"/>
    <w:rsid w:val="F7BB6480"/>
    <w:rsid w:val="F9FDE7F2"/>
    <w:rsid w:val="FBC7DED9"/>
    <w:rsid w:val="FC9EFCDA"/>
    <w:rsid w:val="FD7FD7F2"/>
    <w:rsid w:val="FED643C4"/>
    <w:rsid w:val="FF77BEB2"/>
    <w:rsid w:val="FFAD85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rPr>
  </w:style>
  <w:style w:type="paragraph" w:styleId="3">
    <w:name w:val="annotation text"/>
    <w:basedOn w:val="1"/>
    <w:qFormat/>
    <w:uiPriority w:val="0"/>
    <w:pPr>
      <w:jc w:val="left"/>
    </w:pPr>
  </w:style>
  <w:style w:type="paragraph" w:styleId="4">
    <w:name w:val="Date"/>
    <w:basedOn w:val="1"/>
    <w:next w:val="1"/>
    <w:qFormat/>
    <w:uiPriority w:val="0"/>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character" w:customStyle="1" w:styleId="12">
    <w:name w:val="页脚 字符"/>
    <w:link w:val="5"/>
    <w:qFormat/>
    <w:uiPriority w:val="99"/>
    <w:rPr>
      <w:kern w:val="2"/>
      <w:sz w:val="18"/>
      <w:szCs w:val="18"/>
    </w:rPr>
  </w:style>
  <w:style w:type="character" w:customStyle="1" w:styleId="13">
    <w:name w:val="页眉 字符"/>
    <w:link w:val="6"/>
    <w:qFormat/>
    <w:uiPriority w:val="99"/>
    <w:rPr>
      <w:kern w:val="2"/>
      <w:sz w:val="18"/>
      <w:szCs w:val="18"/>
    </w:rPr>
  </w:style>
  <w:style w:type="paragraph" w:customStyle="1" w:styleId="14">
    <w:name w:val="Char Char3 Char Char Char1 Char"/>
    <w:basedOn w:val="1"/>
    <w:qFormat/>
    <w:uiPriority w:val="0"/>
    <w:pPr>
      <w:widowControl/>
      <w:numPr>
        <w:ilvl w:val="0"/>
        <w:numId w:val="1"/>
      </w:numPr>
      <w:tabs>
        <w:tab w:val="left" w:pos="432"/>
      </w:tabs>
      <w:spacing w:after="160" w:line="240" w:lineRule="exact"/>
      <w:jc w:val="left"/>
    </w:pPr>
    <w:rPr>
      <w:rFonts w:ascii="Verdana" w:hAnsi="Verdana" w:eastAsia="黑体"/>
      <w:sz w:val="24"/>
      <w:szCs w:val="20"/>
      <w:lang w:eastAsia="en-US"/>
    </w:rPr>
  </w:style>
  <w:style w:type="paragraph" w:customStyle="1" w:styleId="15">
    <w:name w:val="c_"/>
    <w:qFormat/>
    <w:uiPriority w:val="0"/>
    <w:pPr>
      <w:widowControl w:val="0"/>
      <w:autoSpaceDE w:val="0"/>
      <w:autoSpaceDN w:val="0"/>
      <w:adjustRightInd w:val="0"/>
      <w:jc w:val="both"/>
    </w:pPr>
    <w:rPr>
      <w:rFonts w:ascii="五" w:hAnsi="Times New Roman" w:eastAsia="五" w:cs="Times New Roman"/>
      <w:sz w:val="24"/>
      <w:szCs w:val="24"/>
      <w:lang w:val="en-US" w:eastAsia="zh-CN" w:bidi="ar-SA"/>
    </w:rPr>
  </w:style>
  <w:style w:type="paragraph" w:customStyle="1" w:styleId="16">
    <w:name w:val="_Style 12"/>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3452</Words>
  <Characters>3472</Characters>
  <Lines>1</Lines>
  <Paragraphs>1</Paragraphs>
  <TotalTime>214</TotalTime>
  <ScaleCrop>false</ScaleCrop>
  <LinksUpToDate>false</LinksUpToDate>
  <CharactersWithSpaces>3666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2018-11-24T18:03:00Z</dcterms:created>
  <dc:creator>康勇</dc:creator>
  <cp:lastModifiedBy>李传勇</cp:lastModifiedBy>
  <cp:lastPrinted>2024-11-23T19:11:00Z</cp:lastPrinted>
  <dcterms:modified xsi:type="dcterms:W3CDTF">2024-12-06T14:11:23Z</dcterms:modified>
  <dc:title>（一）预算编制阶段（当年9月至11月）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9B029C960C684B4DB0D870871F2E07E9_13</vt:lpwstr>
  </property>
</Properties>
</file>