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CA17B">
      <w:pPr>
        <w:spacing w:line="480" w:lineRule="auto"/>
        <w:jc w:val="center"/>
        <w:rPr>
          <w:rFonts w:hint="eastAsia" w:ascii="宋体" w:hAnsi="宋体" w:eastAsia="方正小标宋简体"/>
          <w:color w:val="000000" w:themeColor="text1"/>
          <w:sz w:val="44"/>
          <w:szCs w:val="44"/>
          <w14:textFill>
            <w14:solidFill>
              <w14:schemeClr w14:val="tx1"/>
            </w14:solidFill>
          </w14:textFill>
        </w:rPr>
      </w:pPr>
    </w:p>
    <w:p w14:paraId="4BFBDAA7">
      <w:pPr>
        <w:spacing w:line="480" w:lineRule="auto"/>
        <w:jc w:val="center"/>
        <w:rPr>
          <w:rFonts w:hint="eastAsia" w:ascii="宋体" w:hAnsi="宋体" w:eastAsia="方正小标宋简体"/>
          <w:color w:val="000000" w:themeColor="text1"/>
          <w:sz w:val="44"/>
          <w:szCs w:val="44"/>
          <w14:textFill>
            <w14:solidFill>
              <w14:schemeClr w14:val="tx1"/>
            </w14:solidFill>
          </w14:textFill>
        </w:rPr>
      </w:pPr>
    </w:p>
    <w:p w14:paraId="180012F6">
      <w:pPr>
        <w:spacing w:line="480" w:lineRule="auto"/>
        <w:jc w:val="center"/>
        <w:rPr>
          <w:rFonts w:hint="eastAsia" w:ascii="宋体" w:hAnsi="宋体" w:eastAsia="方正小标宋简体"/>
          <w:color w:val="000000" w:themeColor="text1"/>
          <w:sz w:val="44"/>
          <w:szCs w:val="44"/>
          <w14:textFill>
            <w14:solidFill>
              <w14:schemeClr w14:val="tx1"/>
            </w14:solidFill>
          </w14:textFill>
        </w:rPr>
      </w:pPr>
    </w:p>
    <w:p w14:paraId="55E4161F">
      <w:pPr>
        <w:spacing w:line="480" w:lineRule="auto"/>
        <w:jc w:val="center"/>
        <w:rPr>
          <w:rFonts w:hint="eastAsia" w:ascii="宋体" w:hAnsi="宋体" w:eastAsia="方正小标宋简体"/>
          <w:color w:val="000000" w:themeColor="text1"/>
          <w:sz w:val="44"/>
          <w:szCs w:val="44"/>
          <w14:textFill>
            <w14:solidFill>
              <w14:schemeClr w14:val="tx1"/>
            </w14:solidFill>
          </w14:textFill>
        </w:rPr>
      </w:pPr>
    </w:p>
    <w:p w14:paraId="24CF1259">
      <w:pPr>
        <w:spacing w:line="480" w:lineRule="auto"/>
        <w:jc w:val="center"/>
        <w:rPr>
          <w:rFonts w:hint="eastAsia" w:ascii="宋体" w:hAnsi="宋体" w:eastAsia="方正小标宋简体"/>
          <w:color w:val="FF0000"/>
          <w:sz w:val="44"/>
          <w:szCs w:val="44"/>
        </w:rPr>
      </w:pPr>
      <w:r>
        <w:rPr>
          <w:rFonts w:hint="eastAsia" w:ascii="宋体" w:hAnsi="宋体" w:eastAsia="方正小标宋简体"/>
          <w:color w:val="FF0000"/>
          <w:sz w:val="44"/>
          <w:szCs w:val="44"/>
        </w:rPr>
        <w:t>《危险化学品经营单位安全现状评价</w:t>
      </w:r>
    </w:p>
    <w:p w14:paraId="3BEAE297">
      <w:pPr>
        <w:spacing w:line="480" w:lineRule="auto"/>
        <w:jc w:val="center"/>
        <w:rPr>
          <w:rFonts w:hint="eastAsia" w:ascii="宋体" w:hAnsi="宋体" w:eastAsia="方正小标宋简体"/>
          <w:color w:val="FF0000"/>
          <w:sz w:val="44"/>
          <w:szCs w:val="44"/>
        </w:rPr>
      </w:pPr>
      <w:r>
        <w:rPr>
          <w:rFonts w:hint="eastAsia" w:ascii="宋体" w:hAnsi="宋体" w:eastAsia="方正小标宋简体"/>
          <w:color w:val="FF0000"/>
          <w:sz w:val="44"/>
          <w:szCs w:val="44"/>
        </w:rPr>
        <w:t>第1部分：加油站》</w:t>
      </w:r>
    </w:p>
    <w:p w14:paraId="3D03894E">
      <w:pPr>
        <w:spacing w:line="480" w:lineRule="auto"/>
        <w:jc w:val="center"/>
        <w:rPr>
          <w:rFonts w:hint="eastAsia" w:ascii="宋体" w:hAnsi="宋体" w:eastAsia="仿宋"/>
          <w:color w:val="000000" w:themeColor="text1"/>
          <w:sz w:val="32"/>
          <w:szCs w:val="32"/>
          <w14:textFill>
            <w14:solidFill>
              <w14:schemeClr w14:val="tx1"/>
            </w14:solidFill>
          </w14:textFill>
        </w:rPr>
      </w:pPr>
      <w:r>
        <w:rPr>
          <w:rFonts w:hint="eastAsia" w:ascii="宋体" w:hAnsi="宋体" w:eastAsia="仿宋"/>
          <w:color w:val="000000" w:themeColor="text1"/>
          <w:sz w:val="32"/>
          <w:szCs w:val="32"/>
          <w14:textFill>
            <w14:solidFill>
              <w14:schemeClr w14:val="tx1"/>
            </w14:solidFill>
          </w14:textFill>
        </w:rPr>
        <w:t xml:space="preserve">（√征求意见稿 </w:t>
      </w:r>
      <w:r>
        <w:rPr>
          <w:rFonts w:hint="eastAsia" w:ascii="宋体" w:hAnsi="宋体" w:cs="Calibri"/>
          <w:color w:val="000000" w:themeColor="text1"/>
          <w:szCs w:val="21"/>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w:t>
      </w:r>
      <w:r>
        <w:rPr>
          <w:rFonts w:hint="eastAsia" w:ascii="宋体" w:hAnsi="宋体" w:eastAsia="仿宋"/>
          <w:color w:val="000000" w:themeColor="text1"/>
          <w:sz w:val="32"/>
          <w:szCs w:val="32"/>
          <w14:textFill>
            <w14:solidFill>
              <w14:schemeClr w14:val="tx1"/>
            </w14:solidFill>
          </w14:textFill>
        </w:rPr>
        <w:t>送审稿</w:t>
      </w:r>
      <w:r>
        <w:rPr>
          <w:rFonts w:ascii="宋体" w:hAnsi="宋体" w:eastAsia="仿宋"/>
          <w:color w:val="000000" w:themeColor="text1"/>
          <w:sz w:val="32"/>
          <w:szCs w:val="32"/>
          <w14:textFill>
            <w14:solidFill>
              <w14:schemeClr w14:val="tx1"/>
            </w14:solidFill>
          </w14:textFill>
        </w:rPr>
        <w:t xml:space="preserve"> </w:t>
      </w:r>
      <w:r>
        <w:rPr>
          <w:rFonts w:hint="eastAsia" w:ascii="宋体" w:hAnsi="宋体" w:cs="Calibri"/>
          <w:color w:val="000000" w:themeColor="text1"/>
          <w:szCs w:val="21"/>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w:t>
      </w:r>
      <w:r>
        <w:rPr>
          <w:rFonts w:hint="eastAsia" w:ascii="宋体" w:hAnsi="宋体" w:eastAsia="仿宋"/>
          <w:color w:val="000000" w:themeColor="text1"/>
          <w:sz w:val="32"/>
          <w:szCs w:val="32"/>
          <w14:textFill>
            <w14:solidFill>
              <w14:schemeClr w14:val="tx1"/>
            </w14:solidFill>
          </w14:textFill>
        </w:rPr>
        <w:t>报批稿）</w:t>
      </w:r>
    </w:p>
    <w:p w14:paraId="4BB755FE">
      <w:pPr>
        <w:spacing w:line="560" w:lineRule="exact"/>
        <w:jc w:val="center"/>
        <w:rPr>
          <w:rFonts w:hint="eastAsia" w:ascii="宋体" w:hAnsi="宋体" w:eastAsia="仿宋"/>
          <w:b/>
          <w:bCs/>
          <w:color w:val="000000" w:themeColor="text1"/>
          <w:sz w:val="28"/>
          <w:szCs w:val="28"/>
          <w14:textFill>
            <w14:solidFill>
              <w14:schemeClr w14:val="tx1"/>
            </w14:solidFill>
          </w14:textFill>
        </w:rPr>
      </w:pPr>
      <w:r>
        <w:rPr>
          <w:rFonts w:ascii="宋体" w:hAnsi="宋体" w:eastAsia="仿宋"/>
          <w:color w:val="000000" w:themeColor="text1"/>
          <w:sz w:val="28"/>
          <w:szCs w:val="28"/>
          <w14:textFill>
            <w14:solidFill>
              <w14:schemeClr w14:val="tx1"/>
            </w14:solidFill>
          </w14:textFill>
        </w:rPr>
        <w:br w:type="textWrapping"/>
      </w:r>
      <w:r>
        <w:rPr>
          <w:rFonts w:hint="eastAsia" w:ascii="宋体" w:hAnsi="宋体" w:eastAsia="方正小标宋简体"/>
          <w:color w:val="000000" w:themeColor="text1"/>
          <w:sz w:val="44"/>
          <w:szCs w:val="44"/>
          <w14:textFill>
            <w14:solidFill>
              <w14:schemeClr w14:val="tx1"/>
            </w14:solidFill>
          </w14:textFill>
        </w:rPr>
        <w:t>编制说明</w:t>
      </w:r>
    </w:p>
    <w:p w14:paraId="536AD740">
      <w:pPr>
        <w:spacing w:line="560" w:lineRule="exact"/>
        <w:jc w:val="center"/>
        <w:rPr>
          <w:rFonts w:hint="eastAsia" w:ascii="宋体" w:hAnsi="宋体" w:eastAsia="仿宋_GB2312"/>
          <w:color w:val="000000" w:themeColor="text1"/>
          <w:sz w:val="28"/>
          <w:szCs w:val="28"/>
          <w14:textFill>
            <w14:solidFill>
              <w14:schemeClr w14:val="tx1"/>
            </w14:solidFill>
          </w14:textFill>
        </w:rPr>
      </w:pPr>
    </w:p>
    <w:p w14:paraId="44D09442">
      <w:pPr>
        <w:spacing w:line="560" w:lineRule="exact"/>
        <w:jc w:val="center"/>
        <w:rPr>
          <w:rFonts w:hint="eastAsia" w:ascii="宋体" w:hAnsi="宋体" w:eastAsia="仿宋_GB2312"/>
          <w:color w:val="000000" w:themeColor="text1"/>
          <w:sz w:val="28"/>
          <w:szCs w:val="28"/>
          <w14:textFill>
            <w14:solidFill>
              <w14:schemeClr w14:val="tx1"/>
            </w14:solidFill>
          </w14:textFill>
        </w:rPr>
      </w:pPr>
    </w:p>
    <w:p w14:paraId="10D471EF">
      <w:pPr>
        <w:spacing w:line="560" w:lineRule="exact"/>
        <w:jc w:val="center"/>
        <w:rPr>
          <w:rFonts w:hint="eastAsia" w:ascii="宋体" w:hAnsi="宋体" w:eastAsia="仿宋_GB2312"/>
          <w:color w:val="000000" w:themeColor="text1"/>
          <w:sz w:val="28"/>
          <w:szCs w:val="28"/>
          <w14:textFill>
            <w14:solidFill>
              <w14:schemeClr w14:val="tx1"/>
            </w14:solidFill>
          </w14:textFill>
        </w:rPr>
      </w:pPr>
    </w:p>
    <w:p w14:paraId="41239C04">
      <w:pPr>
        <w:spacing w:line="560" w:lineRule="exact"/>
        <w:rPr>
          <w:rFonts w:hint="eastAsia" w:ascii="宋体" w:hAnsi="宋体" w:eastAsia="仿宋_GB2312"/>
          <w:color w:val="000000" w:themeColor="text1"/>
          <w:sz w:val="28"/>
          <w:szCs w:val="28"/>
          <w14:textFill>
            <w14:solidFill>
              <w14:schemeClr w14:val="tx1"/>
            </w14:solidFill>
          </w14:textFill>
        </w:rPr>
      </w:pPr>
    </w:p>
    <w:p w14:paraId="0E251627">
      <w:pPr>
        <w:spacing w:line="560" w:lineRule="exact"/>
        <w:jc w:val="center"/>
        <w:rPr>
          <w:rFonts w:hint="eastAsia" w:ascii="宋体" w:hAnsi="宋体" w:eastAsia="仿宋_GB2312"/>
          <w:color w:val="000000" w:themeColor="text1"/>
          <w:sz w:val="28"/>
          <w:szCs w:val="28"/>
          <w14:textFill>
            <w14:solidFill>
              <w14:schemeClr w14:val="tx1"/>
            </w14:solidFill>
          </w14:textFill>
        </w:rPr>
      </w:pPr>
    </w:p>
    <w:p w14:paraId="3FCFA1B2">
      <w:pPr>
        <w:spacing w:line="560" w:lineRule="exact"/>
        <w:jc w:val="center"/>
        <w:rPr>
          <w:rFonts w:hint="eastAsia" w:ascii="宋体" w:hAnsi="宋体" w:eastAsia="仿宋_GB2312"/>
          <w:color w:val="000000" w:themeColor="text1"/>
          <w:sz w:val="28"/>
          <w:szCs w:val="28"/>
          <w14:textFill>
            <w14:solidFill>
              <w14:schemeClr w14:val="tx1"/>
            </w14:solidFill>
          </w14:textFill>
        </w:rPr>
      </w:pPr>
    </w:p>
    <w:p w14:paraId="1B7B071A">
      <w:pPr>
        <w:spacing w:line="560" w:lineRule="exact"/>
        <w:jc w:val="center"/>
        <w:rPr>
          <w:rFonts w:hint="eastAsia" w:ascii="宋体" w:hAnsi="宋体" w:eastAsia="仿宋_GB2312"/>
          <w:color w:val="000000" w:themeColor="text1"/>
          <w:sz w:val="28"/>
          <w:szCs w:val="28"/>
          <w14:textFill>
            <w14:solidFill>
              <w14:schemeClr w14:val="tx1"/>
            </w14:solidFill>
          </w14:textFill>
        </w:rPr>
      </w:pPr>
    </w:p>
    <w:p w14:paraId="59CC3754">
      <w:pPr>
        <w:spacing w:line="560" w:lineRule="exact"/>
        <w:jc w:val="center"/>
        <w:rPr>
          <w:rFonts w:hint="eastAsia" w:ascii="宋体" w:hAnsi="宋体" w:eastAsia="仿宋_GB2312"/>
          <w:color w:val="000000" w:themeColor="text1"/>
          <w:sz w:val="28"/>
          <w:szCs w:val="28"/>
          <w14:textFill>
            <w14:solidFill>
              <w14:schemeClr w14:val="tx1"/>
            </w14:solidFill>
          </w14:textFill>
        </w:rPr>
      </w:pPr>
    </w:p>
    <w:p w14:paraId="0A7364EA">
      <w:pPr>
        <w:spacing w:line="560" w:lineRule="exact"/>
        <w:jc w:val="center"/>
        <w:rPr>
          <w:rFonts w:hint="eastAsia" w:ascii="宋体" w:hAnsi="宋体" w:eastAsia="仿宋_GB2312"/>
          <w:color w:val="000000" w:themeColor="text1"/>
          <w:sz w:val="28"/>
          <w:szCs w:val="28"/>
          <w14:textFill>
            <w14:solidFill>
              <w14:schemeClr w14:val="tx1"/>
            </w14:solidFill>
          </w14:textFill>
        </w:rPr>
      </w:pPr>
    </w:p>
    <w:p w14:paraId="14F373BB">
      <w:pPr>
        <w:spacing w:line="560" w:lineRule="exact"/>
        <w:jc w:val="center"/>
        <w:rPr>
          <w:rFonts w:hint="eastAsia" w:ascii="宋体" w:hAnsi="宋体" w:eastAsia="仿宋_GB2312"/>
          <w:color w:val="000000" w:themeColor="text1"/>
          <w:sz w:val="28"/>
          <w:szCs w:val="28"/>
          <w14:textFill>
            <w14:solidFill>
              <w14:schemeClr w14:val="tx1"/>
            </w14:solidFill>
          </w14:textFill>
        </w:rPr>
      </w:pPr>
    </w:p>
    <w:p w14:paraId="4C5F2275">
      <w:pPr>
        <w:spacing w:after="240" w:line="500" w:lineRule="exact"/>
        <w:jc w:val="center"/>
        <w:rPr>
          <w:rFonts w:hint="eastAsia" w:ascii="宋体" w:hAnsi="华文中宋" w:eastAsia="宋体" w:cs="Times New Roman"/>
          <w:b/>
          <w:color w:val="000000" w:themeColor="text1"/>
          <w:sz w:val="36"/>
          <w:szCs w:val="44"/>
          <w14:textFill>
            <w14:solidFill>
              <w14:schemeClr w14:val="tx1"/>
            </w14:solidFill>
          </w14:textFill>
        </w:rPr>
      </w:pPr>
      <w:r>
        <w:rPr>
          <w:rFonts w:hint="eastAsia" w:ascii="宋体" w:hAnsi="宋体" w:eastAsia="仿宋"/>
          <w:bCs/>
          <w:color w:val="000000" w:themeColor="text1"/>
          <w:sz w:val="32"/>
          <w:szCs w:val="32"/>
          <w14:textFill>
            <w14:solidFill>
              <w14:schemeClr w14:val="tx1"/>
            </w14:solidFill>
          </w14:textFill>
        </w:rPr>
        <w:t>标准编制组</w:t>
      </w:r>
    </w:p>
    <w:p w14:paraId="1C6F8829">
      <w:pPr>
        <w:spacing w:after="240" w:line="500" w:lineRule="exact"/>
        <w:jc w:val="center"/>
        <w:rPr>
          <w:rFonts w:hint="eastAsia" w:ascii="宋体" w:hAnsi="华文中宋" w:eastAsia="宋体" w:cs="Times New Roman"/>
          <w:b/>
          <w:color w:val="000000" w:themeColor="text1"/>
          <w:sz w:val="36"/>
          <w:szCs w:val="44"/>
          <w14:textFill>
            <w14:solidFill>
              <w14:schemeClr w14:val="tx1"/>
            </w14:solidFill>
          </w14:textFill>
        </w:rPr>
      </w:pPr>
    </w:p>
    <w:p w14:paraId="54391653">
      <w:pPr>
        <w:widowControl/>
        <w:jc w:val="left"/>
        <w:rPr>
          <w:rFonts w:hint="eastAsia" w:ascii="宋体" w:hAnsi="华文中宋" w:eastAsia="宋体" w:cs="Times New Roman"/>
          <w:b/>
          <w:color w:val="000000" w:themeColor="text1"/>
          <w:sz w:val="36"/>
          <w:szCs w:val="44"/>
          <w14:textFill>
            <w14:solidFill>
              <w14:schemeClr w14:val="tx1"/>
            </w14:solidFill>
          </w14:textFill>
        </w:rPr>
      </w:pPr>
      <w:r>
        <w:rPr>
          <w:rFonts w:ascii="宋体" w:hAnsi="华文中宋" w:eastAsia="宋体" w:cs="Times New Roman"/>
          <w:b/>
          <w:color w:val="000000" w:themeColor="text1"/>
          <w:sz w:val="36"/>
          <w:szCs w:val="44"/>
          <w14:textFill>
            <w14:solidFill>
              <w14:schemeClr w14:val="tx1"/>
            </w14:solidFill>
          </w14:textFill>
        </w:rPr>
        <w:br w:type="page"/>
      </w:r>
    </w:p>
    <w:p w14:paraId="589A98AE">
      <w:pPr>
        <w:widowControl/>
        <w:spacing w:line="360" w:lineRule="auto"/>
        <w:rPr>
          <w:rFonts w:hint="eastAsia" w:ascii="黑体" w:hAnsi="黑体" w:eastAsia="黑体" w:cs="宋体"/>
          <w:b/>
          <w:color w:val="000000" w:themeColor="text1"/>
          <w:kern w:val="0"/>
          <w:sz w:val="32"/>
          <w:szCs w:val="32"/>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一、任务来源，起草单位，协作单位</w:t>
      </w:r>
    </w:p>
    <w:p w14:paraId="274CDB9D">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bookmarkStart w:id="0" w:name="_Hlk184064726"/>
      <w:r>
        <w:rPr>
          <w:rFonts w:hint="eastAsia" w:ascii="仿宋" w:hAnsi="仿宋" w:eastAsia="仿宋" w:cs="宋体"/>
          <w:color w:val="000000" w:themeColor="text1"/>
          <w:kern w:val="0"/>
          <w:sz w:val="28"/>
          <w:szCs w:val="28"/>
          <w14:textFill>
            <w14:solidFill>
              <w14:schemeClr w14:val="tx1"/>
            </w14:solidFill>
          </w14:textFill>
        </w:rPr>
        <w:t>任务来源：本标准是</w:t>
      </w:r>
      <w:r>
        <w:rPr>
          <w:rFonts w:ascii="仿宋" w:hAnsi="仿宋" w:eastAsia="仿宋" w:cs="宋体"/>
          <w:color w:val="000000" w:themeColor="text1"/>
          <w:kern w:val="0"/>
          <w:sz w:val="28"/>
          <w:szCs w:val="28"/>
          <w14:textFill>
            <w14:solidFill>
              <w14:schemeClr w14:val="tx1"/>
            </w14:solidFill>
          </w14:textFill>
        </w:rPr>
        <w:t>由</w:t>
      </w:r>
      <w:r>
        <w:rPr>
          <w:rFonts w:hint="eastAsia" w:ascii="仿宋" w:hAnsi="仿宋" w:eastAsia="仿宋" w:cs="宋体"/>
          <w:color w:val="000000" w:themeColor="text1"/>
          <w:kern w:val="0"/>
          <w:sz w:val="28"/>
          <w:szCs w:val="28"/>
          <w14:textFill>
            <w14:solidFill>
              <w14:schemeClr w14:val="tx1"/>
            </w14:solidFill>
          </w14:textFill>
        </w:rPr>
        <w:t>北京市市场监督管理局于</w:t>
      </w:r>
      <w:r>
        <w:rPr>
          <w:rFonts w:ascii="仿宋" w:hAnsi="仿宋" w:eastAsia="仿宋" w:cs="宋体"/>
          <w:color w:val="000000" w:themeColor="text1"/>
          <w:kern w:val="0"/>
          <w:sz w:val="28"/>
          <w:szCs w:val="28"/>
          <w14:textFill>
            <w14:solidFill>
              <w14:schemeClr w14:val="tx1"/>
            </w14:solidFill>
          </w14:textFill>
        </w:rPr>
        <w:t>2024年1月22日</w:t>
      </w:r>
      <w:r>
        <w:rPr>
          <w:rFonts w:hint="eastAsia" w:ascii="仿宋" w:hAnsi="仿宋" w:eastAsia="仿宋" w:cs="宋体"/>
          <w:color w:val="000000" w:themeColor="text1"/>
          <w:kern w:val="0"/>
          <w:sz w:val="28"/>
          <w:szCs w:val="28"/>
          <w14:textFill>
            <w14:solidFill>
              <w14:schemeClr w14:val="tx1"/>
            </w14:solidFill>
          </w14:textFill>
        </w:rPr>
        <w:t>公布的</w:t>
      </w:r>
      <w:bookmarkStart w:id="1" w:name="OLE_LINK1"/>
      <w:r>
        <w:rPr>
          <w:rFonts w:hint="eastAsia" w:ascii="仿宋" w:hAnsi="仿宋" w:eastAsia="仿宋" w:cs="宋体"/>
          <w:color w:val="000000" w:themeColor="text1"/>
          <w:kern w:val="0"/>
          <w:sz w:val="28"/>
          <w:szCs w:val="28"/>
          <w14:textFill>
            <w14:solidFill>
              <w14:schemeClr w14:val="tx1"/>
            </w14:solidFill>
          </w14:textFill>
        </w:rPr>
        <w:t>《2024年北京市地方标准制定项目计划</w:t>
      </w:r>
      <w:r>
        <w:rPr>
          <w:rFonts w:ascii="仿宋" w:hAnsi="仿宋" w:eastAsia="仿宋" w:cs="宋体"/>
          <w:color w:val="000000" w:themeColor="text1"/>
          <w:kern w:val="0"/>
          <w:sz w:val="28"/>
          <w:szCs w:val="28"/>
          <w14:textFill>
            <w14:solidFill>
              <w14:schemeClr w14:val="tx1"/>
            </w14:solidFill>
          </w14:textFill>
        </w:rPr>
        <w:t>》</w:t>
      </w:r>
      <w:bookmarkEnd w:id="1"/>
      <w:r>
        <w:rPr>
          <w:rFonts w:ascii="仿宋" w:hAnsi="仿宋" w:eastAsia="仿宋" w:cs="宋体"/>
          <w:color w:val="000000" w:themeColor="text1"/>
          <w:kern w:val="0"/>
          <w:sz w:val="28"/>
          <w:szCs w:val="28"/>
          <w14:textFill>
            <w14:solidFill>
              <w14:schemeClr w14:val="tx1"/>
            </w14:solidFill>
          </w14:textFill>
        </w:rPr>
        <w:t>中，项目编号为20242011</w:t>
      </w:r>
      <w:r>
        <w:rPr>
          <w:rFonts w:hint="eastAsia" w:ascii="仿宋" w:hAnsi="仿宋" w:eastAsia="仿宋" w:cs="宋体"/>
          <w:color w:val="000000" w:themeColor="text1"/>
          <w:kern w:val="0"/>
          <w:sz w:val="28"/>
          <w:szCs w:val="28"/>
          <w14:textFill>
            <w14:solidFill>
              <w14:schemeClr w14:val="tx1"/>
            </w14:solidFill>
          </w14:textFill>
        </w:rPr>
        <w:t>，项目类别二类，</w:t>
      </w:r>
      <w:r>
        <w:rPr>
          <w:rFonts w:ascii="仿宋" w:hAnsi="仿宋" w:eastAsia="仿宋" w:cs="宋体"/>
          <w:color w:val="000000" w:themeColor="text1"/>
          <w:kern w:val="0"/>
          <w:sz w:val="28"/>
          <w:szCs w:val="28"/>
          <w14:textFill>
            <w14:solidFill>
              <w14:schemeClr w14:val="tx1"/>
            </w14:solidFill>
          </w14:textFill>
        </w:rPr>
        <w:t>批准标准名称为</w:t>
      </w:r>
      <w:bookmarkStart w:id="2" w:name="_Hlk184068424"/>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加油站安全现状评价导则</w:t>
      </w:r>
      <w:r>
        <w:rPr>
          <w:rFonts w:ascii="仿宋" w:hAnsi="仿宋" w:eastAsia="仿宋" w:cs="宋体"/>
          <w:color w:val="000000" w:themeColor="text1"/>
          <w:kern w:val="0"/>
          <w:sz w:val="28"/>
          <w:szCs w:val="28"/>
          <w14:textFill>
            <w14:solidFill>
              <w14:schemeClr w14:val="tx1"/>
            </w14:solidFill>
          </w14:textFill>
        </w:rPr>
        <w:t>》</w:t>
      </w:r>
      <w:bookmarkEnd w:id="2"/>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北京市市场监督管理局于2025年1月22日公布的《2025年北京市地方标准制定项目计划》中，</w:t>
      </w:r>
      <w:r>
        <w:rPr>
          <w:rFonts w:ascii="仿宋" w:hAnsi="仿宋" w:eastAsia="仿宋" w:cs="宋体"/>
          <w:color w:val="000000" w:themeColor="text1"/>
          <w:kern w:val="0"/>
          <w:sz w:val="28"/>
          <w:szCs w:val="28"/>
          <w14:textFill>
            <w14:solidFill>
              <w14:schemeClr w14:val="tx1"/>
            </w14:solidFill>
          </w14:textFill>
        </w:rPr>
        <w:t>项目编号为20251146</w:t>
      </w:r>
      <w:r>
        <w:rPr>
          <w:rFonts w:hint="eastAsia" w:ascii="仿宋" w:hAnsi="仿宋" w:eastAsia="仿宋" w:cs="宋体"/>
          <w:color w:val="000000" w:themeColor="text1"/>
          <w:kern w:val="0"/>
          <w:sz w:val="28"/>
          <w:szCs w:val="28"/>
          <w14:textFill>
            <w14:solidFill>
              <w14:schemeClr w14:val="tx1"/>
            </w14:solidFill>
          </w14:textFill>
        </w:rPr>
        <w:t>，项目类别一类，</w:t>
      </w:r>
      <w:r>
        <w:rPr>
          <w:rFonts w:ascii="仿宋" w:hAnsi="仿宋" w:eastAsia="仿宋" w:cs="宋体"/>
          <w:color w:val="000000" w:themeColor="text1"/>
          <w:kern w:val="0"/>
          <w:sz w:val="28"/>
          <w:szCs w:val="28"/>
          <w14:textFill>
            <w14:solidFill>
              <w14:schemeClr w14:val="tx1"/>
            </w14:solidFill>
          </w14:textFill>
        </w:rPr>
        <w:t>批准标准名称为《</w:t>
      </w:r>
      <w:r>
        <w:rPr>
          <w:rFonts w:hint="eastAsia" w:ascii="仿宋" w:hAnsi="仿宋" w:eastAsia="仿宋" w:cs="宋体"/>
          <w:color w:val="000000" w:themeColor="text1"/>
          <w:kern w:val="0"/>
          <w:sz w:val="28"/>
          <w:szCs w:val="28"/>
          <w14:textFill>
            <w14:solidFill>
              <w14:schemeClr w14:val="tx1"/>
            </w14:solidFill>
          </w14:textFill>
        </w:rPr>
        <w:t>危险化学品经营单位安全现状评价 第1部分：加油站</w:t>
      </w:r>
      <w:r>
        <w:rPr>
          <w:rFonts w:ascii="仿宋" w:hAnsi="仿宋" w:eastAsia="仿宋" w:cs="宋体"/>
          <w:color w:val="000000" w:themeColor="text1"/>
          <w:kern w:val="0"/>
          <w:sz w:val="28"/>
          <w:szCs w:val="28"/>
          <w14:textFill>
            <w14:solidFill>
              <w14:schemeClr w14:val="tx1"/>
            </w14:solidFill>
          </w14:textFill>
        </w:rPr>
        <w:t>》。</w:t>
      </w:r>
    </w:p>
    <w:p w14:paraId="74DB5752">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本标准</w:t>
      </w:r>
      <w:r>
        <w:rPr>
          <w:rFonts w:hint="eastAsia" w:ascii="仿宋" w:hAnsi="仿宋" w:eastAsia="仿宋" w:cs="宋体"/>
          <w:color w:val="000000" w:themeColor="text1"/>
          <w:kern w:val="0"/>
          <w:sz w:val="28"/>
          <w:szCs w:val="28"/>
          <w14:textFill>
            <w14:solidFill>
              <w14:schemeClr w14:val="tx1"/>
            </w14:solidFill>
          </w14:textFill>
        </w:rPr>
        <w:t>行业主管部门为北京市应急管理局，由北京市应急管理局提出并归口。</w:t>
      </w:r>
    </w:p>
    <w:p w14:paraId="694065C9">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起草单位：</w:t>
      </w:r>
      <w:r>
        <w:rPr>
          <w:rFonts w:hint="eastAsia" w:ascii="仿宋" w:hAnsi="仿宋" w:eastAsia="仿宋" w:cs="宋体"/>
          <w:color w:val="000000" w:themeColor="text1"/>
          <w:kern w:val="0"/>
          <w:sz w:val="28"/>
          <w:szCs w:val="28"/>
          <w14:textFill>
            <w14:solidFill>
              <w14:schemeClr w14:val="tx1"/>
            </w14:solidFill>
          </w14:textFill>
        </w:rPr>
        <w:t>北京市化工职业病防治院参与开展标准的研究和编制工作。</w:t>
      </w:r>
    </w:p>
    <w:bookmarkEnd w:id="0"/>
    <w:p w14:paraId="668DBE16">
      <w:pPr>
        <w:widowControl/>
        <w:spacing w:line="360" w:lineRule="auto"/>
        <w:rPr>
          <w:rFonts w:hint="eastAsia" w:ascii="黑体" w:hAnsi="黑体" w:eastAsia="黑体" w:cs="宋体"/>
          <w:b/>
          <w:color w:val="000000" w:themeColor="text1"/>
          <w:kern w:val="0"/>
          <w:sz w:val="32"/>
          <w:szCs w:val="32"/>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二、编制标准的必要性和意义</w:t>
      </w:r>
    </w:p>
    <w:p w14:paraId="060F9CA8">
      <w:pPr>
        <w:ind w:firstLine="565" w:firstLineChars="202"/>
        <w:jc w:val="left"/>
        <w:rPr>
          <w:rFonts w:hint="eastAsia" w:ascii="仿宋" w:hAnsi="仿宋" w:eastAsia="仿宋" w:cs="宋体"/>
          <w:kern w:val="0"/>
          <w:sz w:val="28"/>
          <w:szCs w:val="28"/>
        </w:rPr>
      </w:pPr>
      <w:r>
        <w:rPr>
          <w:rFonts w:ascii="仿宋" w:hAnsi="仿宋" w:eastAsia="仿宋" w:cs="宋体"/>
          <w:kern w:val="0"/>
          <w:sz w:val="28"/>
          <w:szCs w:val="28"/>
        </w:rPr>
        <w:t>（一）编制标准的必要性</w:t>
      </w:r>
    </w:p>
    <w:p w14:paraId="47E2446B">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目前北京市共有一千二百余家加油站，加油站为带有储存设施的危险化学品经营企业。《危险化学品经营许可证管理办法》（2012年7月17日国家安全监管总局令第55号公布  根据2015年5月27日国家安全监管总局令第79号修正）中规定申请带有储存设施的危险化学品经营许可证以及提出经营许可证的延期申请均需提供安全评价报告。因此加油站开展相关业务，都需要取得危险化学品经营许可证，每三年提出经营许可证的延期申请时都需要提交加油站安全现状评价报告。</w:t>
      </w:r>
    </w:p>
    <w:p w14:paraId="4E67A7CB">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大约每年都有四五百家加油站需要进行安全现状评价。2020年至2024年，北京市应急管理局连续开展北京市加油站安全现状评价报告抽查评估工作，发现众多违法违规问题。《应急管理部关于进一步加强安全评价机构监管的指导意见》（应急〔2023〕99号）中列出的部分安全评价报告失实情形在北京市加油站安全现状评价报告的问题中都有存在，如“（一）安全现状评价或验收评价报告中，企业布局、工艺参数、周边环境与评价期间实际情况不符，影响评价结论的；（二）重要区域、关键设备设施、主要物料和建（构）筑物、主要安全设施、重要的公辅设施、改（扩）建情况等遗漏或描写错误，影响评价结论的；（三）法律、法规、标准主要条款漏项、错误或使用已废止的法律、法规、标准，影响评价结论的”。</w:t>
      </w:r>
    </w:p>
    <w:p w14:paraId="799CF84D">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在2003年国家安全生产监督管理局发布《关于印发&lt;危险化学品经营单位安全评价导则(试行)&gt;的通知》（安监管管二字［2003］38号），文件中没有针对加油站特点的检查内容，如装卸油设施、埋地油罐等。其中仓储场所要求、仓库建筑要求、消防与电气设施中的大部分内容都与加油站无关。目前未查询到国家或行业对加油站评价报告及过程提出具体要求。如果安全评价过程不规范，导致不能及时发现加油站运行过程中的安全隐患。加油站大都设置在交通便利的地方，靠近城市主干道或设在出入方便、车辆汇集较多的次要干道上，如发生事故，不仅关系到加油站的经济利益，更关系到广大人民群众的生命财产安全。</w:t>
      </w:r>
    </w:p>
    <w:p w14:paraId="15EE8ED9">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2022年北京市应急管理局发布了《北京市危险化学品企业安全生产行政许可现场核查工作指引（试行）的通知》的附件中列出了北京危险化学品企业延期申请安全生产行政许可前安全评价要点，但并没有将申请《危险化学品安全生产许可证》《危险化学品经营许可证》《危险化学品安全使用许可证》时不同类型企业，以及不同类型安全生产行政许可所需要的安全现状评价报告的内容分别提出要求，虽对编制加油站安全现状评价报告的有一定指导，但针对性不够强。</w:t>
      </w:r>
    </w:p>
    <w:p w14:paraId="3B51A08A">
      <w:pPr>
        <w:ind w:firstLine="565" w:firstLineChars="202"/>
        <w:jc w:val="left"/>
        <w:rPr>
          <w:rFonts w:hint="eastAsia" w:ascii="仿宋" w:hAnsi="仿宋" w:eastAsia="仿宋" w:cs="宋体"/>
          <w:kern w:val="0"/>
          <w:sz w:val="28"/>
          <w:szCs w:val="28"/>
        </w:rPr>
      </w:pPr>
      <w:r>
        <w:rPr>
          <w:rFonts w:ascii="仿宋" w:hAnsi="仿宋" w:eastAsia="仿宋" w:cs="宋体"/>
          <w:kern w:val="0"/>
          <w:sz w:val="28"/>
          <w:szCs w:val="28"/>
        </w:rPr>
        <w:t>（二）</w:t>
      </w:r>
      <w:r>
        <w:rPr>
          <w:rFonts w:hint="eastAsia" w:ascii="仿宋" w:hAnsi="仿宋" w:eastAsia="仿宋" w:cs="宋体"/>
          <w:kern w:val="0"/>
          <w:sz w:val="28"/>
          <w:szCs w:val="28"/>
        </w:rPr>
        <w:t>编制标准的意义</w:t>
      </w:r>
    </w:p>
    <w:p w14:paraId="38FB0DFC">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通过制定该标准可规范本市加油站安全现状评价工作，一是为应急管理部门对安全评价机构编制的报告进行监督检查提供重要依据；二是规范安全评价机构编制加油站安全现状评价报告的内容和格式。</w:t>
      </w:r>
    </w:p>
    <w:p w14:paraId="57EAAC33">
      <w:pPr>
        <w:widowControl/>
        <w:spacing w:line="360" w:lineRule="auto"/>
        <w:rPr>
          <w:rFonts w:hint="eastAsia" w:ascii="黑体" w:hAnsi="黑体" w:eastAsia="黑体" w:cs="宋体"/>
          <w:b/>
          <w:color w:val="000000" w:themeColor="text1"/>
          <w:kern w:val="0"/>
          <w:sz w:val="32"/>
          <w:szCs w:val="32"/>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三、主要工作过程</w:t>
      </w:r>
    </w:p>
    <w:p w14:paraId="60DD05C1">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（一）成立工作组</w:t>
      </w:r>
    </w:p>
    <w:p w14:paraId="35320824">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ascii="仿宋" w:hAnsi="仿宋" w:eastAsia="仿宋" w:cs="宋体"/>
          <w:kern w:val="0"/>
          <w:sz w:val="28"/>
          <w:szCs w:val="28"/>
        </w:rPr>
        <w:t>202</w:t>
      </w:r>
      <w:r>
        <w:rPr>
          <w:rFonts w:hint="eastAsia" w:ascii="仿宋" w:hAnsi="仿宋" w:eastAsia="仿宋" w:cs="宋体"/>
          <w:kern w:val="0"/>
          <w:sz w:val="28"/>
          <w:szCs w:val="28"/>
        </w:rPr>
        <w:t>4年</w:t>
      </w:r>
      <w:r>
        <w:rPr>
          <w:rFonts w:ascii="仿宋" w:hAnsi="仿宋" w:eastAsia="仿宋" w:cs="宋体"/>
          <w:kern w:val="0"/>
          <w:sz w:val="28"/>
          <w:szCs w:val="28"/>
        </w:rPr>
        <w:t>5</w:t>
      </w:r>
      <w:r>
        <w:rPr>
          <w:rFonts w:hint="eastAsia" w:ascii="仿宋" w:hAnsi="仿宋" w:eastAsia="仿宋" w:cs="宋体"/>
          <w:kern w:val="0"/>
          <w:sz w:val="28"/>
          <w:szCs w:val="28"/>
        </w:rPr>
        <w:t>月标准编制组召开内部会议，成立标准编制工作组，并召开启动会。会议指定项目负责人、起草人，制定了工作安排和计划，确定人员分工。会议介绍了标准编制的背景和初步设想，讨论了标准的定位、内容框架。在研究分析的基础上，初步明确了本标准的目的、意义，适用范围和基本内容，制定了基本思路与编制方案。</w:t>
      </w:r>
      <w:bookmarkStart w:id="3" w:name="_Hlk184067503"/>
      <w:r>
        <w:rPr>
          <w:rFonts w:hint="eastAsia" w:ascii="仿宋" w:hAnsi="仿宋" w:eastAsia="仿宋" w:cs="宋体"/>
          <w:kern w:val="0"/>
          <w:sz w:val="28"/>
          <w:szCs w:val="28"/>
        </w:rPr>
        <w:t>并</w:t>
      </w:r>
      <w:r>
        <w:rPr>
          <w:rFonts w:hint="eastAsia" w:ascii="仿宋" w:hAnsi="仿宋" w:eastAsia="仿宋" w:cs="宋体"/>
          <w:color w:val="000000" w:themeColor="text1"/>
          <w:kern w:val="0"/>
          <w:sz w:val="28"/>
          <w:szCs w:val="28"/>
          <w14:textFill>
            <w14:solidFill>
              <w14:schemeClr w14:val="tx1"/>
            </w14:solidFill>
          </w14:textFill>
        </w:rPr>
        <w:t>明确工作时间进度。</w:t>
      </w:r>
      <w:bookmarkEnd w:id="3"/>
    </w:p>
    <w:p w14:paraId="241D6610">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（二）收集资料</w:t>
      </w:r>
    </w:p>
    <w:p w14:paraId="16E12E42">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2024</w:t>
      </w:r>
      <w:r>
        <w:rPr>
          <w:rFonts w:hint="eastAsia" w:ascii="仿宋" w:hAnsi="仿宋" w:eastAsia="仿宋" w:cs="宋体"/>
          <w:color w:val="000000" w:themeColor="text1"/>
          <w:kern w:val="0"/>
          <w:sz w:val="28"/>
          <w:szCs w:val="28"/>
          <w14:textFill>
            <w14:solidFill>
              <w14:schemeClr w14:val="tx1"/>
            </w14:solidFill>
          </w14:textFill>
        </w:rPr>
        <w:t>年5月，收集相关法律法规和标准规范等资料，充分收集有关安全评价机构评价过程涉及加油站评价的资料，包括：</w:t>
      </w:r>
    </w:p>
    <w:p w14:paraId="34FF0634">
      <w:pPr>
        <w:pStyle w:val="14"/>
        <w:widowControl/>
        <w:numPr>
          <w:ilvl w:val="0"/>
          <w:numId w:val="2"/>
        </w:numPr>
        <w:spacing w:line="360" w:lineRule="auto"/>
        <w:ind w:left="0" w:firstLine="1274" w:firstLineChars="455"/>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《危险化学品经营许可证管理办法》（2012年7月17日国家安全监管总局令第55号公布  根据2015年5月27日国家安全监管总局令第79号修正）</w:t>
      </w:r>
    </w:p>
    <w:p w14:paraId="3078C80C">
      <w:pPr>
        <w:pStyle w:val="14"/>
        <w:widowControl/>
        <w:numPr>
          <w:ilvl w:val="0"/>
          <w:numId w:val="2"/>
        </w:numPr>
        <w:spacing w:line="360" w:lineRule="auto"/>
        <w:ind w:left="0" w:firstLine="1274" w:firstLineChars="455"/>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《安全评价通则》AQ8001-2007</w:t>
      </w:r>
    </w:p>
    <w:p w14:paraId="249F2F8E">
      <w:pPr>
        <w:pStyle w:val="14"/>
        <w:widowControl/>
        <w:numPr>
          <w:ilvl w:val="0"/>
          <w:numId w:val="2"/>
        </w:numPr>
        <w:spacing w:line="360" w:lineRule="auto"/>
        <w:ind w:left="0" w:firstLine="1274" w:firstLineChars="455"/>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《汽车加油加气加氢站技术标准》（GB50156-2021）</w:t>
      </w:r>
    </w:p>
    <w:p w14:paraId="47809654">
      <w:pPr>
        <w:pStyle w:val="14"/>
        <w:widowControl/>
        <w:numPr>
          <w:ilvl w:val="0"/>
          <w:numId w:val="2"/>
        </w:numPr>
        <w:spacing w:line="360" w:lineRule="auto"/>
        <w:ind w:left="0" w:firstLine="1274" w:firstLineChars="455"/>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《橇装式汽车加油站技术标准》（SH/T 3134-2023）</w:t>
      </w:r>
    </w:p>
    <w:p w14:paraId="09F02119">
      <w:pPr>
        <w:pStyle w:val="14"/>
        <w:widowControl/>
        <w:numPr>
          <w:ilvl w:val="0"/>
          <w:numId w:val="2"/>
        </w:numPr>
        <w:spacing w:line="360" w:lineRule="auto"/>
        <w:ind w:left="0" w:firstLine="1274" w:firstLineChars="455"/>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《加油加气站非油品设施安全设置管理要求》（DB11/T 1229-2015）</w:t>
      </w:r>
    </w:p>
    <w:p w14:paraId="2E7CA2E8">
      <w:pPr>
        <w:pStyle w:val="14"/>
        <w:widowControl/>
        <w:numPr>
          <w:ilvl w:val="0"/>
          <w:numId w:val="2"/>
        </w:numPr>
        <w:spacing w:line="360" w:lineRule="auto"/>
        <w:ind w:left="0" w:firstLine="1274" w:firstLineChars="455"/>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《安全生产等级评定技术规范 第3 部分：加油站》（DB11/T 1322.3）</w:t>
      </w:r>
    </w:p>
    <w:p w14:paraId="6FB7CCD6">
      <w:pPr>
        <w:widowControl/>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（三）开展现场调研</w:t>
      </w:r>
    </w:p>
    <w:p w14:paraId="793A0E52">
      <w:pPr>
        <w:widowControl/>
        <w:spacing w:line="360" w:lineRule="auto"/>
        <w:ind w:firstLine="560" w:firstLineChars="200"/>
        <w:rPr>
          <w:rFonts w:hint="eastAsia" w:ascii="仿宋" w:hAnsi="仿宋" w:eastAsia="仿宋" w:cs="宋体"/>
          <w:kern w:val="0"/>
          <w:sz w:val="28"/>
          <w:szCs w:val="28"/>
        </w:rPr>
      </w:pPr>
      <w:r>
        <w:rPr>
          <w:rFonts w:ascii="仿宋" w:hAnsi="仿宋" w:eastAsia="仿宋" w:cs="宋体"/>
          <w:kern w:val="0"/>
          <w:sz w:val="28"/>
          <w:szCs w:val="28"/>
        </w:rPr>
        <w:t>202</w:t>
      </w:r>
      <w:r>
        <w:rPr>
          <w:rFonts w:hint="eastAsia" w:ascii="仿宋" w:hAnsi="仿宋" w:eastAsia="仿宋" w:cs="宋体"/>
          <w:kern w:val="0"/>
          <w:sz w:val="28"/>
          <w:szCs w:val="28"/>
        </w:rPr>
        <w:t>4年6月</w:t>
      </w:r>
      <w:r>
        <w:rPr>
          <w:rFonts w:ascii="仿宋" w:hAnsi="仿宋" w:eastAsia="仿宋" w:cs="宋体"/>
          <w:kern w:val="0"/>
          <w:sz w:val="28"/>
          <w:szCs w:val="28"/>
        </w:rPr>
        <w:t>-</w:t>
      </w:r>
      <w:r>
        <w:rPr>
          <w:rFonts w:hint="eastAsia" w:ascii="仿宋" w:hAnsi="仿宋" w:eastAsia="仿宋" w:cs="宋体"/>
          <w:kern w:val="0"/>
          <w:sz w:val="28"/>
          <w:szCs w:val="28"/>
        </w:rPr>
        <w:t>8月，选取了多家在北京地区信用较好的安全评价机构和加油站进行实地调研，收集安全评价机构针对危险化学品经营评价报告编制的意见和建议，收集部分机构加油站编制的报告模板。听取加油站对安全评价报告编制的要求和建议。</w:t>
      </w:r>
    </w:p>
    <w:p w14:paraId="4344653D">
      <w:pPr>
        <w:widowControl/>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（四）标准编制及讨论修订</w:t>
      </w:r>
    </w:p>
    <w:p w14:paraId="23F38606">
      <w:pPr>
        <w:widowControl/>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根据前期收集到的资料，编制组成员分析确定了标准的草案框架，讨论了标准的主要内容，对编制内容进行分工，按照</w:t>
      </w:r>
      <w:r>
        <w:rPr>
          <w:rFonts w:ascii="仿宋" w:hAnsi="仿宋" w:eastAsia="仿宋" w:cs="宋体"/>
          <w:kern w:val="0"/>
          <w:sz w:val="28"/>
          <w:szCs w:val="28"/>
        </w:rPr>
        <w:t>GB/T 1.1对标准</w:t>
      </w:r>
      <w:r>
        <w:rPr>
          <w:rFonts w:hint="eastAsia" w:ascii="仿宋" w:hAnsi="仿宋" w:eastAsia="仿宋" w:cs="宋体"/>
          <w:kern w:val="0"/>
          <w:sz w:val="28"/>
          <w:szCs w:val="28"/>
        </w:rPr>
        <w:t>进行编制，起草《加油站安全现状评价导则》（以下简称“标准”）草案。</w:t>
      </w:r>
      <w:r>
        <w:rPr>
          <w:rFonts w:ascii="仿宋" w:hAnsi="仿宋" w:eastAsia="仿宋" w:cs="宋体"/>
          <w:kern w:val="0"/>
          <w:sz w:val="28"/>
          <w:szCs w:val="28"/>
        </w:rPr>
        <w:t>202</w:t>
      </w:r>
      <w:r>
        <w:rPr>
          <w:rFonts w:hint="eastAsia" w:ascii="仿宋" w:hAnsi="仿宋" w:eastAsia="仿宋" w:cs="宋体"/>
          <w:kern w:val="0"/>
          <w:sz w:val="28"/>
          <w:szCs w:val="28"/>
        </w:rPr>
        <w:t>4年</w:t>
      </w:r>
      <w:r>
        <w:rPr>
          <w:rFonts w:ascii="仿宋" w:hAnsi="仿宋" w:eastAsia="仿宋" w:cs="宋体"/>
          <w:kern w:val="0"/>
          <w:sz w:val="28"/>
          <w:szCs w:val="28"/>
        </w:rPr>
        <w:t>8</w:t>
      </w:r>
      <w:r>
        <w:rPr>
          <w:rFonts w:hint="eastAsia" w:ascii="仿宋" w:hAnsi="仿宋" w:eastAsia="仿宋" w:cs="宋体"/>
          <w:kern w:val="0"/>
          <w:sz w:val="28"/>
          <w:szCs w:val="28"/>
        </w:rPr>
        <w:t>月份完成初稿后，</w:t>
      </w:r>
      <w:r>
        <w:rPr>
          <w:rFonts w:ascii="仿宋" w:hAnsi="仿宋" w:eastAsia="仿宋" w:cs="宋体"/>
          <w:kern w:val="0"/>
          <w:sz w:val="28"/>
          <w:szCs w:val="28"/>
        </w:rPr>
        <w:t>进行</w:t>
      </w:r>
      <w:r>
        <w:rPr>
          <w:rFonts w:hint="eastAsia" w:ascii="仿宋" w:hAnsi="仿宋" w:eastAsia="仿宋" w:cs="宋体"/>
          <w:kern w:val="0"/>
          <w:sz w:val="28"/>
          <w:szCs w:val="28"/>
        </w:rPr>
        <w:t>内部</w:t>
      </w:r>
      <w:r>
        <w:rPr>
          <w:rFonts w:ascii="仿宋" w:hAnsi="仿宋" w:eastAsia="仿宋" w:cs="宋体"/>
          <w:kern w:val="0"/>
          <w:sz w:val="28"/>
          <w:szCs w:val="28"/>
        </w:rPr>
        <w:t>讨论修改</w:t>
      </w:r>
      <w:r>
        <w:rPr>
          <w:rFonts w:hint="eastAsia" w:ascii="仿宋" w:hAnsi="仿宋" w:eastAsia="仿宋" w:cs="宋体"/>
          <w:kern w:val="0"/>
          <w:sz w:val="28"/>
          <w:szCs w:val="28"/>
        </w:rPr>
        <w:t>。最终确定标准的内容主要包括：加油站安全现状评价的程序、前期准备、风险识别与分析、评价单元的划分、评价方法的选择、定性定量评价、安全对策措施、评价结果综述、报告编制、报告格式等要求。</w:t>
      </w:r>
    </w:p>
    <w:p w14:paraId="31EC9BF8">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ascii="仿宋" w:hAnsi="仿宋" w:eastAsia="仿宋" w:cs="宋体"/>
          <w:kern w:val="0"/>
          <w:sz w:val="28"/>
          <w:szCs w:val="28"/>
        </w:rPr>
        <w:t>202</w:t>
      </w:r>
      <w:r>
        <w:rPr>
          <w:rFonts w:hint="eastAsia" w:ascii="仿宋" w:hAnsi="仿宋" w:eastAsia="仿宋" w:cs="宋体"/>
          <w:kern w:val="0"/>
          <w:sz w:val="28"/>
          <w:szCs w:val="28"/>
        </w:rPr>
        <w:t>4年</w:t>
      </w:r>
      <w:r>
        <w:rPr>
          <w:rFonts w:ascii="仿宋" w:hAnsi="仿宋" w:eastAsia="仿宋" w:cs="宋体"/>
          <w:kern w:val="0"/>
          <w:sz w:val="28"/>
          <w:szCs w:val="28"/>
        </w:rPr>
        <w:t>9</w:t>
      </w:r>
      <w:r>
        <w:rPr>
          <w:rFonts w:hint="eastAsia" w:ascii="仿宋" w:hAnsi="仿宋" w:eastAsia="仿宋" w:cs="宋体"/>
          <w:kern w:val="0"/>
          <w:sz w:val="28"/>
          <w:szCs w:val="28"/>
        </w:rPr>
        <w:t>月份将该标准由</w:t>
      </w:r>
      <w:r>
        <w:rPr>
          <w:rFonts w:ascii="仿宋" w:hAnsi="仿宋" w:eastAsia="仿宋" w:cs="宋体"/>
          <w:kern w:val="0"/>
          <w:sz w:val="28"/>
          <w:szCs w:val="28"/>
        </w:rPr>
        <w:t>二类项目转一类项目</w:t>
      </w:r>
      <w:r>
        <w:rPr>
          <w:rFonts w:hint="eastAsia" w:ascii="仿宋" w:hAnsi="仿宋" w:eastAsia="仿宋" w:cs="宋体"/>
          <w:kern w:val="0"/>
          <w:sz w:val="28"/>
          <w:szCs w:val="28"/>
        </w:rPr>
        <w:t>，并准备申报材料。 经讨论，下一步拟编制危险化学品经营单位现状评价系列标准，北京市应急管理局、北京市市场监督管理局相关领导和专家研讨标准名称修改问题，并对标准内容进行审核。经讨论，将标准名称由《加油站安全现状评价导则》改为《危险化学品经营单位安全现状评价导则 第</w:t>
      </w:r>
      <w:r>
        <w:rPr>
          <w:rFonts w:hint="eastAsia" w:ascii="仿宋" w:hAnsi="仿宋" w:eastAsia="仿宋" w:cs="宋体"/>
          <w:color w:val="000000" w:themeColor="text1"/>
          <w:kern w:val="0"/>
          <w:sz w:val="28"/>
          <w:szCs w:val="28"/>
          <w14:textFill>
            <w14:solidFill>
              <w14:schemeClr w14:val="tx1"/>
            </w14:solidFill>
          </w14:textFill>
        </w:rPr>
        <w:t>1部分：加油站》。</w:t>
      </w:r>
    </w:p>
    <w:p w14:paraId="303A3A76">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标准编制组根据讨论会的意见，对标准内容进行了细化完善。</w:t>
      </w:r>
    </w:p>
    <w:p w14:paraId="76BA22BF">
      <w:pPr>
        <w:widowControl/>
        <w:spacing w:line="360" w:lineRule="auto"/>
        <w:ind w:firstLine="560" w:firstLineChars="200"/>
        <w:rPr>
          <w:rFonts w:hint="eastAsia" w:ascii="仿宋" w:hAnsi="仿宋" w:eastAsia="仿宋" w:cs="宋体"/>
          <w:kern w:val="0"/>
          <w:sz w:val="28"/>
          <w:szCs w:val="28"/>
        </w:rPr>
      </w:pPr>
      <w:bookmarkStart w:id="4" w:name="OLE_LINK3"/>
      <w:r>
        <w:rPr>
          <w:rFonts w:hint="eastAsia" w:ascii="仿宋" w:hAnsi="仿宋" w:eastAsia="仿宋" w:cs="宋体"/>
          <w:kern w:val="0"/>
          <w:sz w:val="28"/>
          <w:szCs w:val="28"/>
        </w:rPr>
        <w:t>（五）标准草案验收</w:t>
      </w:r>
    </w:p>
    <w:bookmarkEnd w:id="4"/>
    <w:p w14:paraId="4640333C">
      <w:pPr>
        <w:widowControl/>
        <w:spacing w:line="360" w:lineRule="auto"/>
        <w:ind w:firstLine="560" w:firstLineChars="200"/>
        <w:rPr>
          <w:rFonts w:hint="eastAsia" w:ascii="仿宋" w:hAnsi="仿宋" w:eastAsia="仿宋" w:cs="宋体"/>
          <w:kern w:val="0"/>
          <w:sz w:val="28"/>
          <w:szCs w:val="28"/>
        </w:rPr>
      </w:pPr>
      <w:bookmarkStart w:id="5" w:name="OLE_LINK4"/>
      <w:r>
        <w:rPr>
          <w:rFonts w:hint="eastAsia" w:ascii="仿宋" w:hAnsi="仿宋" w:eastAsia="仿宋" w:cs="宋体"/>
          <w:kern w:val="0"/>
          <w:sz w:val="28"/>
          <w:szCs w:val="28"/>
        </w:rPr>
        <w:t>根据与应急局签订合同要求，2024年12月5日，</w:t>
      </w:r>
      <w:bookmarkEnd w:id="5"/>
      <w:bookmarkStart w:id="6" w:name="OLE_LINK8"/>
      <w:r>
        <w:rPr>
          <w:rFonts w:hint="eastAsia" w:ascii="仿宋" w:hAnsi="仿宋" w:eastAsia="仿宋" w:cs="宋体"/>
          <w:kern w:val="0"/>
          <w:sz w:val="28"/>
          <w:szCs w:val="28"/>
        </w:rPr>
        <w:t>北京市应急管理局组织召开了《危险化学品经营单位安全现状评价导则 第</w:t>
      </w:r>
      <w:r>
        <w:rPr>
          <w:rFonts w:hint="eastAsia" w:ascii="仿宋" w:hAnsi="仿宋" w:eastAsia="仿宋" w:cs="宋体"/>
          <w:color w:val="000000" w:themeColor="text1"/>
          <w:kern w:val="0"/>
          <w:sz w:val="28"/>
          <w:szCs w:val="28"/>
          <w14:textFill>
            <w14:solidFill>
              <w14:schemeClr w14:val="tx1"/>
            </w14:solidFill>
          </w14:textFill>
        </w:rPr>
        <w:t>1部分：加油站》</w:t>
      </w:r>
      <w:r>
        <w:rPr>
          <w:rFonts w:hint="eastAsia" w:ascii="仿宋" w:hAnsi="仿宋" w:eastAsia="仿宋" w:cs="宋体"/>
          <w:kern w:val="0"/>
          <w:sz w:val="28"/>
          <w:szCs w:val="28"/>
        </w:rPr>
        <w:t>地方标准草案编写服务项目专家验收会，来自全国危险化学品管理标准化技术委员会、中国安全生产协会、北京华夏诚智安全环境技术有限公司等单位的专家参加了会议。</w:t>
      </w:r>
    </w:p>
    <w:p w14:paraId="3D29B391">
      <w:pPr>
        <w:widowControl/>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与会专家听取了编写单位对《危险化学品经营单位安全现状评价导则 第</w:t>
      </w:r>
      <w:r>
        <w:rPr>
          <w:rFonts w:hint="eastAsia" w:ascii="仿宋" w:hAnsi="仿宋" w:eastAsia="仿宋" w:cs="宋体"/>
          <w:color w:val="000000" w:themeColor="text1"/>
          <w:kern w:val="0"/>
          <w:sz w:val="28"/>
          <w:szCs w:val="28"/>
          <w14:textFill>
            <w14:solidFill>
              <w14:schemeClr w14:val="tx1"/>
            </w14:solidFill>
          </w14:textFill>
        </w:rPr>
        <w:t>1部分：加油站》</w:t>
      </w:r>
      <w:r>
        <w:rPr>
          <w:rFonts w:hint="eastAsia" w:ascii="仿宋" w:hAnsi="仿宋" w:eastAsia="仿宋" w:cs="宋体"/>
          <w:kern w:val="0"/>
          <w:sz w:val="28"/>
          <w:szCs w:val="28"/>
        </w:rPr>
        <w:t>地方标准草案编写服务项目完成情况的汇报，形成以下验收意见：该标准草案在合同约定的时间内编写完成，完成了合同约定的全部服务内容，达到了合同约定的验收条件，专家组一致同意该项目通过验收。</w:t>
      </w:r>
    </w:p>
    <w:p w14:paraId="1EA58DF7">
      <w:pPr>
        <w:widowControl/>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（六）标准预审会</w:t>
      </w:r>
    </w:p>
    <w:p w14:paraId="3FF69713">
      <w:pPr>
        <w:widowControl/>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2025年4月25日，由北京市应急管理局法制处、行政审批处等组织专家审核，召开预审会，来自中国化工信息中心有限责任公司、中国安全生产科学研究院、中国标准化研究院、北京市科学技术研究院城市安全与环境科学研究所、北京中职安康科技有限公司、首钢集团有限公司矿业公司、中国兵器工业火炸药工程与安全技术研究院等单位的专家参加了会议。应急标委会及参编单位部分人员参加评审。专家提出以下主要修改意见：</w:t>
      </w:r>
    </w:p>
    <w:p w14:paraId="1C2617D2">
      <w:pPr>
        <w:widowControl/>
        <w:spacing w:line="360" w:lineRule="auto"/>
        <w:ind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1．修改标准名称与立项一致；</w:t>
      </w:r>
    </w:p>
    <w:p w14:paraId="098225D6">
      <w:pPr>
        <w:widowControl/>
        <w:spacing w:line="360" w:lineRule="auto"/>
        <w:ind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2．增加“评价程序”一章；</w:t>
      </w:r>
    </w:p>
    <w:p w14:paraId="3BCF1428">
      <w:pPr>
        <w:widowControl/>
        <w:spacing w:line="360" w:lineRule="auto"/>
        <w:ind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3．修改标准内容与安全评价的行业标准统一；</w:t>
      </w:r>
    </w:p>
    <w:p w14:paraId="5ABF0401">
      <w:pPr>
        <w:widowControl/>
        <w:spacing w:line="360" w:lineRule="auto"/>
        <w:ind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4．删除“国家相关文件”和“北京市相关文件”的表述。</w:t>
      </w:r>
    </w:p>
    <w:bookmarkEnd w:id="6"/>
    <w:p w14:paraId="097AAC09">
      <w:pPr>
        <w:widowControl/>
        <w:spacing w:line="360" w:lineRule="auto"/>
        <w:rPr>
          <w:rFonts w:hint="eastAsia" w:ascii="黑体" w:hAnsi="黑体" w:eastAsia="黑体" w:cs="宋体"/>
          <w:b/>
          <w:color w:val="000000" w:themeColor="text1"/>
          <w:kern w:val="0"/>
          <w:sz w:val="32"/>
          <w:szCs w:val="32"/>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四、制定标准的原则和依据，与现行法律、法规、标准的关系</w:t>
      </w:r>
    </w:p>
    <w:p w14:paraId="422693E9">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（一）编制依据</w:t>
      </w:r>
    </w:p>
    <w:p w14:paraId="5FF92C45">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本标准以北京市安全评级机构对本地加油站评价调研为基础，以《中华人民共和国安全生产法》《危险化学品安全管理条例》《危险化学品经营许可证管理办法》《北京市安全生产条例》等法律、法规为编制依据，结合</w:t>
      </w:r>
      <w:bookmarkStart w:id="7" w:name="OLE_LINK2"/>
      <w:r>
        <w:rPr>
          <w:rFonts w:hint="eastAsia" w:ascii="仿宋" w:hAnsi="仿宋" w:eastAsia="仿宋" w:cs="宋体"/>
          <w:color w:val="000000" w:themeColor="text1"/>
          <w:kern w:val="0"/>
          <w:sz w:val="28"/>
          <w:szCs w:val="28"/>
          <w14:textFill>
            <w14:solidFill>
              <w14:schemeClr w14:val="tx1"/>
            </w14:solidFill>
          </w14:textFill>
        </w:rPr>
        <w:t>2020年至2023年北京市加油站安全现状评价报告抽查评估工作成果报告的内容</w:t>
      </w:r>
      <w:bookmarkEnd w:id="7"/>
      <w:r>
        <w:rPr>
          <w:rFonts w:hint="eastAsia" w:ascii="仿宋" w:hAnsi="仿宋" w:eastAsia="仿宋" w:cs="宋体"/>
          <w:color w:val="000000" w:themeColor="text1"/>
          <w:kern w:val="0"/>
          <w:sz w:val="28"/>
          <w:szCs w:val="28"/>
          <w14:textFill>
            <w14:solidFill>
              <w14:schemeClr w14:val="tx1"/>
            </w14:solidFill>
          </w14:textFill>
        </w:rPr>
        <w:t>，力求对编制出明确、实用的技术规定，便于安全评价机构实施。主要参考或引用标准如下：</w:t>
      </w:r>
    </w:p>
    <w:p w14:paraId="538F7492">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GB 18218  危险化学品重大危险源辨识</w:t>
      </w:r>
    </w:p>
    <w:p w14:paraId="4177ED31">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GB 50016  建筑设计防火规范</w:t>
      </w:r>
    </w:p>
    <w:p w14:paraId="30D336B6">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GB 50058  爆炸危险环境电力装置设计规范</w:t>
      </w:r>
    </w:p>
    <w:p w14:paraId="31E6A9A7">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GB 50156  汽车加油加气加氢站技术标准</w:t>
      </w:r>
    </w:p>
    <w:p w14:paraId="790734B8">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GB 50169  电气装置安装工程 接地装置施工及验收规范</w:t>
      </w:r>
    </w:p>
    <w:p w14:paraId="247E7ADF">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AQ/T 3002  阻隔防爆橇装式加油（气）装置技术要求</w:t>
      </w:r>
    </w:p>
    <w:p w14:paraId="233C7296">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AQ 3010  加油站作业安全规范</w:t>
      </w:r>
    </w:p>
    <w:p w14:paraId="6104B976">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AQ 8001  安全评价通则</w:t>
      </w:r>
    </w:p>
    <w:p w14:paraId="0D4BBCF6">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SH/T 3134  橇装式汽车加油站技术标准</w:t>
      </w:r>
    </w:p>
    <w:p w14:paraId="2D9CDBB8">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DB11/T 527  配电室安全管理规范</w:t>
      </w:r>
    </w:p>
    <w:p w14:paraId="75A5FE14">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DB11/T 1229  加油加气站非油品设施安全设置管理要求</w:t>
      </w:r>
    </w:p>
    <w:p w14:paraId="7C11361B">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DB11/T 1322.3  安全生产等级评定技术规范 第3部分：加油站</w:t>
      </w:r>
    </w:p>
    <w:p w14:paraId="3B5598EE">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DB11/T 2186  安全评价机构服务规范</w:t>
      </w:r>
    </w:p>
    <w:p w14:paraId="20CCF3F4">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DB11/T XXXX  安全评价现场勘验技术要求</w:t>
      </w:r>
    </w:p>
    <w:p w14:paraId="0673493D">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（二）编制原则</w:t>
      </w:r>
    </w:p>
    <w:p w14:paraId="0FCD6854">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全面性</w:t>
      </w:r>
    </w:p>
    <w:p w14:paraId="562816B6">
      <w:pPr>
        <w:widowControl/>
        <w:spacing w:line="360" w:lineRule="auto"/>
        <w:ind w:firstLine="560" w:firstLineChars="200"/>
        <w:rPr>
          <w:rFonts w:hint="eastAsia" w:ascii="仿宋" w:hAnsi="仿宋" w:eastAsia="仿宋" w:cs="宋体"/>
          <w:color w:val="000000" w:themeColor="text1"/>
          <w:kern w:val="0"/>
          <w:sz w:val="28"/>
          <w:szCs w:val="28"/>
          <w:highlight w:val="yellow"/>
          <w14:textFill>
            <w14:solidFill>
              <w14:schemeClr w14:val="tx1"/>
            </w14:solidFill>
          </w14:textFill>
        </w:rPr>
      </w:pPr>
      <w:r>
        <w:rPr>
          <w:rFonts w:hint="eastAsia" w:ascii="仿宋" w:hAnsi="仿宋" w:eastAsia="仿宋" w:cs="宋体"/>
          <w:kern w:val="0"/>
          <w:sz w:val="28"/>
          <w:szCs w:val="28"/>
        </w:rPr>
        <w:t>本标准规定了加油站安全现状评价的前期准备、风险识别与分析、评价单元的划分、评价方法的选择、定性定量评价、安全对策措施、评价结果综述、报告编制、报告格式等各环节的要求。</w:t>
      </w:r>
    </w:p>
    <w:p w14:paraId="5AFC26CC">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2.客观性</w:t>
      </w:r>
    </w:p>
    <w:p w14:paraId="3CD2A16E">
      <w:pPr>
        <w:widowControl/>
        <w:spacing w:line="360" w:lineRule="auto"/>
        <w:ind w:firstLine="560" w:firstLineChars="200"/>
        <w:rPr>
          <w:rFonts w:hint="eastAsia" w:ascii="仿宋" w:hAnsi="仿宋" w:eastAsia="仿宋" w:cs="宋体"/>
          <w:color w:val="000000" w:themeColor="text1"/>
          <w:kern w:val="0"/>
          <w:sz w:val="28"/>
          <w:szCs w:val="28"/>
          <w:highlight w:val="yellow"/>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在2020年至2023年北京市加油站安全现状评价报告抽查评估工作的基础上，结合以往加油站安全现状评价过程出现的问题，根据国家相关要求，确定了加油站安全现状评价全过程的要求。</w:t>
      </w:r>
    </w:p>
    <w:p w14:paraId="5F25C255">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3.科学性</w:t>
      </w:r>
    </w:p>
    <w:p w14:paraId="469D3150">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为保证本标准编制工作的顺利实施，充分利用对安全评价机构等级评定实际操作经验，在制定的过程中，经过有关专家的讨论，使标准具有科学性、普适性和可操作性，明确加油站现状评价的要求。</w:t>
      </w:r>
    </w:p>
    <w:p w14:paraId="17799C43">
      <w:pPr>
        <w:widowControl/>
        <w:spacing w:line="360" w:lineRule="auto"/>
        <w:rPr>
          <w:rFonts w:hint="eastAsia" w:ascii="黑体" w:hAnsi="黑体" w:eastAsia="黑体" w:cs="宋体"/>
          <w:b/>
          <w:color w:val="000000" w:themeColor="text1"/>
          <w:kern w:val="0"/>
          <w:sz w:val="32"/>
          <w:szCs w:val="32"/>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五、主要条款的说明，主要技术指标、参数、实验验证的论述。</w:t>
      </w:r>
    </w:p>
    <w:p w14:paraId="57176C2B">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目前北京市加油站安全现状评价报告的编制主要依据《北京市安全评价报告审核工作指引(试行)》的附件2“危险化学品经营单位现状安全评价报告审核要求”，但是文件中的部分要求不适用于加油站安全现状评价，此标准根据加油站的风险，结合国家和北京市的要求，确定了标准的结构和各章节的主要内容。其中标准附录部分，为评价报告中依据国家标准、行业标准和地方标准的重要的检查内容。《北京市安全评价报告审核工作指引(试行)》的附件2 “危险化学品经营单位现状安全评价报告审核要求”中的，提到的高危储存设施、爆炸性粉尘环境、安全生产风险监测预警系统、个人风险和社会风险分析四个方面的评价，根据北京市加油站的实际情况，均不涉及，因此标准附录中没有相关的检查内容。另外，“两重点一重大”监测监控、专项整治等工作完成情况、重大生产安全事故隐患、安全风险等级等工作主要依据的是国家和北京的规章制度，考虑到相关规章制度的主要是对阶段性重点工作的要求，因此也未在附录中做相关检查要求。</w:t>
      </w:r>
    </w:p>
    <w:p w14:paraId="301858AC">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现将标准附录中检查内容的主要依据进行说明。</w:t>
      </w:r>
    </w:p>
    <w:p w14:paraId="47EBC512">
      <w:pPr>
        <w:pStyle w:val="14"/>
        <w:widowControl/>
        <w:numPr>
          <w:ilvl w:val="0"/>
          <w:numId w:val="3"/>
        </w:numPr>
        <w:tabs>
          <w:tab w:val="clear" w:pos="0"/>
        </w:tabs>
        <w:spacing w:line="360" w:lineRule="auto"/>
        <w:ind w:left="0" w:firstLine="1058" w:firstLineChars="378"/>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汽油（柴油）工艺设备与站外建（构）筑物的安全间距检查</w:t>
      </w:r>
    </w:p>
    <w:p w14:paraId="46118F02">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主要依据《汽车加油加气加氢站技术标准》（GB 50156）。</w:t>
      </w:r>
    </w:p>
    <w:p w14:paraId="0DBA7C5D">
      <w:pPr>
        <w:pStyle w:val="14"/>
        <w:widowControl/>
        <w:numPr>
          <w:ilvl w:val="0"/>
          <w:numId w:val="3"/>
        </w:numPr>
        <w:tabs>
          <w:tab w:val="clear" w:pos="0"/>
        </w:tabs>
        <w:spacing w:line="360" w:lineRule="auto"/>
        <w:ind w:left="0" w:firstLine="1058" w:firstLineChars="378"/>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站内主要设施的安全间距检查</w:t>
      </w:r>
    </w:p>
    <w:p w14:paraId="3B26995D">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主要依据《汽车加油加气加氢站技术标准》（GB 50156）。</w:t>
      </w:r>
    </w:p>
    <w:p w14:paraId="681BF3A5">
      <w:pPr>
        <w:pStyle w:val="14"/>
        <w:widowControl/>
        <w:numPr>
          <w:ilvl w:val="0"/>
          <w:numId w:val="3"/>
        </w:numPr>
        <w:tabs>
          <w:tab w:val="clear" w:pos="0"/>
        </w:tabs>
        <w:spacing w:line="360" w:lineRule="auto"/>
        <w:ind w:left="0" w:firstLine="1058" w:firstLineChars="378"/>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经营合法性</w:t>
      </w:r>
    </w:p>
    <w:p w14:paraId="3943D918">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主要依据《危险化学品经营 单位安全评价导则（试行）》（安监管管二字[2003]38号）和《危险化学品经营许可证管理办法》（安监局令〔2012〕55号发布，安监局令〔2015〕79号、应急部公告〔2018〕12号、应急部公告〔2019〕11号修正）。</w:t>
      </w:r>
    </w:p>
    <w:p w14:paraId="6FE5012C">
      <w:pPr>
        <w:pStyle w:val="14"/>
        <w:widowControl/>
        <w:numPr>
          <w:ilvl w:val="0"/>
          <w:numId w:val="3"/>
        </w:numPr>
        <w:tabs>
          <w:tab w:val="clear" w:pos="0"/>
        </w:tabs>
        <w:spacing w:line="360" w:lineRule="auto"/>
        <w:ind w:left="0" w:firstLine="1058" w:firstLineChars="378"/>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选址和规划检查</w:t>
      </w:r>
    </w:p>
    <w:p w14:paraId="52D6685D">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主要依据《汽车加油加气加氢站技术标准》（GB 50156）、《阻隔防爆橇装式加油（气）装置技术要求》（AQ/T 3002）、《橇装式汽车加油站技术标准》（SH/T 3134）。</w:t>
      </w:r>
    </w:p>
    <w:p w14:paraId="76BCABB5">
      <w:pPr>
        <w:pStyle w:val="14"/>
        <w:widowControl/>
        <w:numPr>
          <w:ilvl w:val="0"/>
          <w:numId w:val="3"/>
        </w:numPr>
        <w:tabs>
          <w:tab w:val="clear" w:pos="0"/>
        </w:tabs>
        <w:spacing w:line="360" w:lineRule="auto"/>
        <w:ind w:left="0" w:firstLine="1058" w:firstLineChars="378"/>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周边环境检查</w:t>
      </w:r>
    </w:p>
    <w:p w14:paraId="066EA0FD">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主要依据《汽车加油加气加氢站技术标准》（GB 50156）。</w:t>
      </w:r>
    </w:p>
    <w:p w14:paraId="62D1EB22">
      <w:pPr>
        <w:pStyle w:val="14"/>
        <w:widowControl/>
        <w:numPr>
          <w:ilvl w:val="0"/>
          <w:numId w:val="3"/>
        </w:numPr>
        <w:tabs>
          <w:tab w:val="clear" w:pos="0"/>
        </w:tabs>
        <w:spacing w:line="360" w:lineRule="auto"/>
        <w:ind w:left="0" w:firstLine="1058" w:firstLineChars="378"/>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总平面布置及建（构）筑物</w:t>
      </w:r>
    </w:p>
    <w:p w14:paraId="0519E555">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主要依据《汽车加油加气加氢站技术标准》（GB50156）、《加油加气站非油品设施安全设置管理要求》（DB11/T1229）、《采用橇装式加油装置的汽车加油站技术规范》（SH/T 3134）。主要条款依据如下：</w:t>
      </w:r>
    </w:p>
    <w:p w14:paraId="6E0402FC">
      <w:pPr>
        <w:widowControl/>
        <w:numPr>
          <w:ilvl w:val="0"/>
          <w:numId w:val="4"/>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站内车道或停车位宽度应按车辆类型确定。加油站的车道或停车位，单车道或单车停车位宽度不应小于4m，双车道或双车停车位宽度不应小于6m。依据：《汽车加油加气加氢站技术标准》（GB50156-2021） 第5.0.2条。</w:t>
      </w:r>
    </w:p>
    <w:p w14:paraId="63C468DD">
      <w:pPr>
        <w:widowControl/>
        <w:numPr>
          <w:ilvl w:val="0"/>
          <w:numId w:val="4"/>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站内的道路转弯半径应按行驶车型确定，且不宜小于9m。依据：《汽车加油加气加氢站技术标准》(GB 50156-2021) 第5.0.2条。</w:t>
      </w:r>
    </w:p>
    <w:p w14:paraId="3E6EF92B">
      <w:pPr>
        <w:widowControl/>
        <w:numPr>
          <w:ilvl w:val="0"/>
          <w:numId w:val="4"/>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站内停车位应为平坡，道路坡度不应大于8%，且宜坡向站外。依据：《汽车加油加气加氢站技术标准》(GB 50156-2021) 第5.0.2条。</w:t>
      </w:r>
    </w:p>
    <w:p w14:paraId="2BFBE0AF">
      <w:pPr>
        <w:widowControl/>
        <w:numPr>
          <w:ilvl w:val="0"/>
          <w:numId w:val="4"/>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加油站的工艺设备与站外建（构）筑物之间，宜设置不燃烧体实体围墙，围墙高度相对于站内和站外地坪均不宜低于2.2m。当加油站的工艺设备与站外建（构）筑物之间的距离大于GB 50156中要求安全间距的1.5倍，且大于25m时，可设置非实体围墙。依据：《汽车加油加气加氢 站技术标准》(GB50156-2021) 第5.0.12条</w:t>
      </w:r>
    </w:p>
    <w:p w14:paraId="577BAFB7">
      <w:pPr>
        <w:widowControl/>
        <w:numPr>
          <w:ilvl w:val="0"/>
          <w:numId w:val="4"/>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站区内距离入口和出口边线2m处应分别设置反光减速带，以减速带中心做视点的120°范围内不应设有遮挡驾驶员视线的障碍物。依据：《加油加气站非油品设施安全设置管理要求》(DB11/T1229-2015)第4.1.2条</w:t>
      </w:r>
    </w:p>
    <w:p w14:paraId="713759B7">
      <w:pPr>
        <w:widowControl/>
        <w:numPr>
          <w:ilvl w:val="0"/>
          <w:numId w:val="4"/>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与加油作业、接卸油作业无关的阀门井、检查井、排水沟等有地下空间的构筑物，不应设置在加油作业区和油罐车卸油停车位周边5m的范围内。依据：《加油加气站非油品设施安全设置管理要求》（DB11/T1229-2015）第4.3.4条</w:t>
      </w:r>
    </w:p>
    <w:p w14:paraId="45462486">
      <w:pPr>
        <w:widowControl/>
        <w:numPr>
          <w:ilvl w:val="0"/>
          <w:numId w:val="4"/>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加油站进站口无限高措施时，罩棚的净空高度不应小于4.5m；进站口有限高措施时，罩棚的净空高度不应小于限高高度；罩棚遮盖加油机、加气机的平面投影距离不宜小于2m。依据：《汽车加油加气加氢站技术标准》(GB50156-2021)第14.2.2条</w:t>
      </w:r>
    </w:p>
    <w:p w14:paraId="1692EE03">
      <w:pPr>
        <w:widowControl/>
        <w:numPr>
          <w:ilvl w:val="0"/>
          <w:numId w:val="4"/>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加油岛应符合下列规定：a)加油岛应高出停车位的地坪0.15～0.2m；b)加油岛两端的宽度不应小于1.2m；c)加油岛的罩棚立柱边缘距岛端部不应小于0.6m；d）靠近岛端部的加油机的工艺设备应有防止车辆误碰撞的措施和警示标识。采用钢管防撞柱（栏）时，其钢管的直径不应小于100mm，高度不应小于0.5m，并应设置牢固。依据：《汽车加油加气加氢站技术标准》(GB50156-2021)第14.2.3条</w:t>
      </w:r>
    </w:p>
    <w:p w14:paraId="0885A7AD">
      <w:pPr>
        <w:widowControl/>
        <w:numPr>
          <w:ilvl w:val="0"/>
          <w:numId w:val="4"/>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防撞柱/栏底端应与混凝土地面固定牢靠。防撞柱/栏底端采用直接埋设于混凝土地面内的方式固定时，埋设深度不应小于220mm；采用地脚螺栓固定时，地脚板的厚度不应小于5mm，地脚螺栓的规格不应小于M10，埋入混凝土内的深度不应小于150mm，每根立柱的固定螺栓数不得少于4个。依据：《加油加气站非油品设施安全设置管理要求》(DB11/T1229-2015)第4.1.5条</w:t>
      </w:r>
    </w:p>
    <w:p w14:paraId="43A33FA1">
      <w:pPr>
        <w:widowControl/>
        <w:numPr>
          <w:ilvl w:val="0"/>
          <w:numId w:val="4"/>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站房的一部分位于加油作业区内时，该加油站房的建筑面积不宜超过300m</w:t>
      </w:r>
      <w:r>
        <w:rPr>
          <w:rFonts w:hint="eastAsia" w:ascii="仿宋" w:hAnsi="仿宋" w:eastAsia="仿宋" w:cs="宋体"/>
          <w:color w:val="FF0000"/>
          <w:kern w:val="0"/>
          <w:sz w:val="28"/>
          <w:szCs w:val="28"/>
          <w:vertAlign w:val="superscript"/>
        </w:rPr>
        <w:t>2</w:t>
      </w:r>
      <w:r>
        <w:rPr>
          <w:rFonts w:hint="eastAsia" w:ascii="仿宋" w:hAnsi="仿宋" w:eastAsia="仿宋" w:cs="宋体"/>
          <w:color w:val="FF0000"/>
          <w:kern w:val="0"/>
          <w:sz w:val="28"/>
          <w:szCs w:val="28"/>
        </w:rPr>
        <w:t>，且该加油站房内不应有明火设备。依据：《汽车加油加气加氢站技术标准》(GB50156-2021)第14.2.10条</w:t>
      </w:r>
    </w:p>
    <w:p w14:paraId="57365269">
      <w:pPr>
        <w:widowControl/>
        <w:numPr>
          <w:ilvl w:val="0"/>
          <w:numId w:val="4"/>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站内的锅炉房、厨房等有明火设备的房间与工艺设备之间的距离应符合GB 50156站内设施防火间距的规定；但小于或等于25m时，其朝向作业区的外墙应为无门窗洞口且耐火极限不低于3.00h的实体墙。依据：《汽车加油加气加氢站技术标准》(GB50156-2021)第14.2.14条</w:t>
      </w:r>
    </w:p>
    <w:p w14:paraId="254330AE">
      <w:pPr>
        <w:widowControl/>
        <w:numPr>
          <w:ilvl w:val="0"/>
          <w:numId w:val="4"/>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橇装式加油装置四周应设防护围堰或漏油收集池，防护围堰内或漏油收集池的有效容量不应小于储罐总容量的50%。防护围堰或漏油收集池应采用不燃烧实体材料建造，且不应渗漏。依据：《汽车加油加气加氢站技术标准》（GB50156-2021）第6.4.10条</w:t>
      </w:r>
    </w:p>
    <w:p w14:paraId="03174D4C">
      <w:pPr>
        <w:pStyle w:val="14"/>
        <w:widowControl/>
        <w:numPr>
          <w:ilvl w:val="0"/>
          <w:numId w:val="3"/>
        </w:numPr>
        <w:tabs>
          <w:tab w:val="clear" w:pos="0"/>
        </w:tabs>
        <w:spacing w:line="360" w:lineRule="auto"/>
        <w:ind w:left="0" w:firstLine="1058" w:firstLineChars="378"/>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经营过程检查</w:t>
      </w:r>
    </w:p>
    <w:p w14:paraId="2FFD08F8">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主要依据《汽车加油加气加氢站技术标准》（GB 50156）、《危险化学品常压储罐安全管理规范》（</w:t>
      </w:r>
      <w:r>
        <w:rPr>
          <w:rFonts w:ascii="仿宋" w:hAnsi="仿宋" w:eastAsia="仿宋" w:cs="宋体"/>
          <w:color w:val="000000" w:themeColor="text1"/>
          <w:kern w:val="0"/>
          <w:sz w:val="28"/>
          <w:szCs w:val="28"/>
          <w14:textFill>
            <w14:solidFill>
              <w14:schemeClr w14:val="tx1"/>
            </w14:solidFill>
          </w14:textFill>
        </w:rPr>
        <w:t>DB11/T1400）</w:t>
      </w:r>
      <w:r>
        <w:rPr>
          <w:rFonts w:hint="eastAsia" w:ascii="仿宋" w:hAnsi="仿宋" w:eastAsia="仿宋" w:cs="宋体"/>
          <w:color w:val="000000" w:themeColor="text1"/>
          <w:kern w:val="0"/>
          <w:sz w:val="28"/>
          <w:szCs w:val="28"/>
          <w14:textFill>
            <w14:solidFill>
              <w14:schemeClr w14:val="tx1"/>
            </w14:solidFill>
          </w14:textFill>
        </w:rPr>
        <w:t>、《橇装式汽车加油站技术标准》（SH/T 3134）。主要条款依据如下：</w:t>
      </w:r>
    </w:p>
    <w:p w14:paraId="04B0F882">
      <w:pPr>
        <w:widowControl/>
        <w:numPr>
          <w:ilvl w:val="0"/>
          <w:numId w:val="5"/>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加油枪应采用自封式加油枪，汽油加油枪的流量不应大于50L/min。依据：《汽车加油加气加氢站技术标准》(GB50156-2021)第6.2.2条</w:t>
      </w:r>
    </w:p>
    <w:p w14:paraId="74F757FC">
      <w:pPr>
        <w:widowControl/>
        <w:numPr>
          <w:ilvl w:val="0"/>
          <w:numId w:val="5"/>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加油油气回收系统应符合下列规定：a)应采用真空辅助式油气回收系统；b)汽油加油机与油罐之间应设油气回收管道，多台汽油加油机可共用一根油气回收主管，油气回收主管的公称直径不应小于50mm；c)加油油气回收系统应采取防止油气反流至加油枪的措施；d)加油机应具备回收油气功能，其气液比宜设定为1.0~1.2；e)在加油机底部与油气回收立管的连接处，应安装一个用于检测液阻和系统密闭性的丝接三通，其旁通短管上应设公称直径为25mm的球阀及丝堵。依据：《汽车加油加气加氢站技术标准》(GB50156-2021)第6.3.7条</w:t>
      </w:r>
    </w:p>
    <w:p w14:paraId="264665FA">
      <w:pPr>
        <w:widowControl/>
        <w:numPr>
          <w:ilvl w:val="0"/>
          <w:numId w:val="5"/>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加油站工艺管道的选用，应符合下列规定：a)地面敷设的工艺管道应采用符合GB/T8163的无缝钢管；b)其他管道应采用输送流体用无缝钢管或适于输送油品的热塑性塑料管道。所采用的热塑性塑料管道应有质量证明文件。非烃类车用燃料不得采用不导静电的热塑性塑料管道；c)无缝钢管的公称壁厚不应小于4mm，埋地钢管的连接应采用焊接；d)热塑性塑料管道的主体结构层应为无空隙聚乙烯材料，壁厚不应小于4mm。埋地部分的热塑性塑料管道应采用配套的专用连接管件电熔连接；e)导静电热塑性塑料管道导静电衬层的主体电阻率应小于10</w:t>
      </w:r>
      <w:r>
        <w:rPr>
          <w:rFonts w:hint="eastAsia" w:ascii="仿宋" w:hAnsi="仿宋" w:eastAsia="仿宋" w:cs="宋体"/>
          <w:color w:val="FF0000"/>
          <w:kern w:val="0"/>
          <w:sz w:val="28"/>
          <w:szCs w:val="28"/>
          <w:vertAlign w:val="superscript"/>
        </w:rPr>
        <w:t>8</w:t>
      </w:r>
      <w:r>
        <w:rPr>
          <w:rFonts w:hint="eastAsia" w:ascii="仿宋" w:hAnsi="仿宋" w:eastAsia="仿宋" w:cs="宋体"/>
          <w:color w:val="FF0000"/>
          <w:kern w:val="0"/>
          <w:sz w:val="28"/>
          <w:szCs w:val="28"/>
        </w:rPr>
        <w:t>Ω.m，表面电阻率应小于10</w:t>
      </w:r>
      <w:r>
        <w:rPr>
          <w:rFonts w:hint="eastAsia" w:ascii="仿宋" w:hAnsi="仿宋" w:eastAsia="仿宋" w:cs="宋体"/>
          <w:color w:val="FF0000"/>
          <w:kern w:val="0"/>
          <w:sz w:val="28"/>
          <w:szCs w:val="28"/>
          <w:vertAlign w:val="superscript"/>
        </w:rPr>
        <w:t>10</w:t>
      </w:r>
      <w:r>
        <w:rPr>
          <w:rFonts w:hint="eastAsia" w:ascii="仿宋" w:hAnsi="仿宋" w:eastAsia="仿宋" w:cs="宋体"/>
          <w:color w:val="FF0000"/>
          <w:kern w:val="0"/>
          <w:sz w:val="28"/>
          <w:szCs w:val="28"/>
        </w:rPr>
        <w:t>Ω；f)不导静电热塑性塑料管道主体结构层的介电击穿强度应大于100kV；g)柴油尾气处理液加注设备的管道，应采用奥氏体不锈钢管道或能满足输送柴油尾气处理液的其他管道。依据：《汽车加油加气加氢站技术标准》(GB50156-2021)第6.3.12条</w:t>
      </w:r>
    </w:p>
    <w:p w14:paraId="2FCE53EE">
      <w:pPr>
        <w:widowControl/>
        <w:numPr>
          <w:ilvl w:val="0"/>
          <w:numId w:val="5"/>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加油站内的工艺管道除露出地面的以外，均应埋地敷设。埋地工艺管道的埋设深度不得小于0.4m。敷设在混凝土场地或道路下面的管道，管顶低于混凝土层下表面不得小于0.2m。管道周围应回填不小于100mm厚的中性沙子或细土。依据：《汽车加油加气加氢站技术标准》(GB50156-2021)第6.3.17条</w:t>
      </w:r>
    </w:p>
    <w:p w14:paraId="7AD8A1C9">
      <w:pPr>
        <w:widowControl/>
        <w:numPr>
          <w:ilvl w:val="0"/>
          <w:numId w:val="5"/>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加油站埋地加油管道应采用双层管道。并符合下列规定：a)双层管道的内层管应符合GB 50156中工艺管道的规定；b)采用双层非金属管道时，外层管应满足耐油、耐腐蚀、耐老化和系统试验压力的要求；c)采用双层钢质管道时，外层管的壁厚不应小于5mm；d)双层管道系统的内层管与外层管之间的缝隙应贯通；e)双层管道系统的最低点应设检漏点；f)双层管道坡向检漏点的坡度不应小于5‰，并应保证内层管和外层管任何部位出现渗漏均能在检漏点处被发现；g)管道系统的渗漏检测应采用在线监测系统。依据：《汽车加油加气加氢站技术标准》(GB50156-2021)第6.5.5条</w:t>
      </w:r>
    </w:p>
    <w:p w14:paraId="1F7F42C6">
      <w:pPr>
        <w:widowControl/>
        <w:numPr>
          <w:ilvl w:val="0"/>
          <w:numId w:val="5"/>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卸油管道、卸油油气回收管道、加油油气回收管道和油罐通气管横管，应坡向埋地油罐。卸油管道的坡度不应小于2‰，卸油油气回收管道、加油油气回收管道和油罐通气管横管的坡度不应小于1%。受地形限制，加油油气回收管道坡向油罐的坡度无法满足上述坡度要求的，可在管道靠近油罐的位置设置集液器，且管道坡向集液器的坡度不应小于1%。依据：《汽车加油加气加氢站技术标准》(GB50156-2021)第6.3.16条</w:t>
      </w:r>
    </w:p>
    <w:p w14:paraId="34A18873">
      <w:pPr>
        <w:widowControl/>
        <w:numPr>
          <w:ilvl w:val="0"/>
          <w:numId w:val="5"/>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当橇装式加油站汽油罐单罐容积大于10m</w:t>
      </w:r>
      <w:r>
        <w:rPr>
          <w:rFonts w:hint="eastAsia" w:ascii="仿宋" w:hAnsi="仿宋" w:eastAsia="仿宋" w:cs="宋体"/>
          <w:color w:val="FF0000"/>
          <w:kern w:val="0"/>
          <w:sz w:val="28"/>
          <w:szCs w:val="28"/>
          <w:vertAlign w:val="superscript"/>
        </w:rPr>
        <w:t>3</w:t>
      </w:r>
      <w:r>
        <w:rPr>
          <w:rFonts w:hint="eastAsia" w:ascii="仿宋" w:hAnsi="仿宋" w:eastAsia="仿宋" w:cs="宋体"/>
          <w:color w:val="FF0000"/>
          <w:kern w:val="0"/>
          <w:sz w:val="28"/>
          <w:szCs w:val="28"/>
        </w:rPr>
        <w:t>时，罐内应设隔舱，隔舱的容积不应大于10m</w:t>
      </w:r>
      <w:r>
        <w:rPr>
          <w:rFonts w:hint="eastAsia" w:ascii="仿宋" w:hAnsi="仿宋" w:eastAsia="仿宋" w:cs="宋体"/>
          <w:color w:val="FF0000"/>
          <w:kern w:val="0"/>
          <w:sz w:val="28"/>
          <w:szCs w:val="28"/>
          <w:vertAlign w:val="superscript"/>
        </w:rPr>
        <w:t>3</w:t>
      </w:r>
      <w:r>
        <w:rPr>
          <w:rFonts w:hint="eastAsia" w:ascii="仿宋" w:hAnsi="仿宋" w:eastAsia="仿宋" w:cs="宋体"/>
          <w:color w:val="FF0000"/>
          <w:kern w:val="0"/>
          <w:sz w:val="28"/>
          <w:szCs w:val="28"/>
        </w:rPr>
        <w:t>。当柴油罐单罐容积大于20m</w:t>
      </w:r>
      <w:r>
        <w:rPr>
          <w:rFonts w:hint="eastAsia" w:ascii="仿宋" w:hAnsi="仿宋" w:eastAsia="仿宋" w:cs="宋体"/>
          <w:color w:val="FF0000"/>
          <w:kern w:val="0"/>
          <w:sz w:val="28"/>
          <w:szCs w:val="28"/>
          <w:vertAlign w:val="superscript"/>
        </w:rPr>
        <w:t>3</w:t>
      </w:r>
      <w:r>
        <w:rPr>
          <w:rFonts w:hint="eastAsia" w:ascii="仿宋" w:hAnsi="仿宋" w:eastAsia="仿宋" w:cs="宋体"/>
          <w:color w:val="FF0000"/>
          <w:kern w:val="0"/>
          <w:sz w:val="28"/>
          <w:szCs w:val="28"/>
        </w:rPr>
        <w:t>时，罐内应设隔舱，隔舱的容积不应大于20m</w:t>
      </w:r>
      <w:r>
        <w:rPr>
          <w:rFonts w:hint="eastAsia" w:ascii="仿宋" w:hAnsi="仿宋" w:eastAsia="仿宋" w:cs="宋体"/>
          <w:color w:val="FF0000"/>
          <w:kern w:val="0"/>
          <w:sz w:val="28"/>
          <w:szCs w:val="28"/>
          <w:vertAlign w:val="superscript"/>
        </w:rPr>
        <w:t>3</w:t>
      </w:r>
      <w:r>
        <w:rPr>
          <w:rFonts w:hint="eastAsia" w:ascii="仿宋" w:hAnsi="仿宋" w:eastAsia="仿宋" w:cs="宋体"/>
          <w:color w:val="FF0000"/>
          <w:kern w:val="0"/>
          <w:sz w:val="28"/>
          <w:szCs w:val="28"/>
        </w:rPr>
        <w:t>。依据：《橇装式汽车加油站技术标准》（SH/T3134-2023）第5.1.2条</w:t>
      </w:r>
    </w:p>
    <w:p w14:paraId="0B11A4BC">
      <w:pPr>
        <w:widowControl/>
        <w:numPr>
          <w:ilvl w:val="0"/>
          <w:numId w:val="5"/>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油罐设在非车行道下面时，罐顶的覆土厚度不应小于0.5m；设在车行道下面时，罐顶低于混凝土路面不宜小于0.9m。钢制油罐的周围应回填中性沙或细土，其厚度不应小于0.3m；外层为玻璃纤维增强塑料材料的油罐，其回填料应符合产品说明书的要求。依据：《汽车加油加气加氢站技术标准》(GB50156-2021)第6.1.12条</w:t>
      </w:r>
    </w:p>
    <w:p w14:paraId="4B784597">
      <w:pPr>
        <w:widowControl/>
        <w:numPr>
          <w:ilvl w:val="0"/>
          <w:numId w:val="5"/>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防渗池池壁顶应高于池内罐标高，池底宜低于罐底设计标高200mm，墙面与罐壁之间的间距不应小于500mm。依据：《汽车加油加气加氢站技术标准》(GB50156-2021)第6.5.2条</w:t>
      </w:r>
    </w:p>
    <w:p w14:paraId="7E150C60">
      <w:pPr>
        <w:widowControl/>
        <w:numPr>
          <w:ilvl w:val="0"/>
          <w:numId w:val="5"/>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双层油罐、防渗罐池的渗漏检测宜采用在线监测系统。采用液体传感器监测时，传感器的检测精度不应大于3.5mm。依据：《汽车加油加气加氢站技术标准》(GB50156-2021)第6.5.6条</w:t>
      </w:r>
    </w:p>
    <w:p w14:paraId="67D0F982">
      <w:pPr>
        <w:widowControl/>
        <w:numPr>
          <w:ilvl w:val="0"/>
          <w:numId w:val="5"/>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双层油罐的防渗漏检测立管应采用钢管，直径宜为80mm，壁厚不宜小于4mm。依据：《汽车加油加气加氢站技术标准》(GB50156-2021)第6.5.3条</w:t>
      </w:r>
    </w:p>
    <w:p w14:paraId="7F5F3381">
      <w:pPr>
        <w:widowControl/>
        <w:numPr>
          <w:ilvl w:val="0"/>
          <w:numId w:val="5"/>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各汽油罐可共用一根卸油油气回收主管，回收主管的公称直径不宜小于100mm。依据：《汽车加油加气加氢站技术标准》(GB50156-2021)第6.3.4条</w:t>
      </w:r>
    </w:p>
    <w:p w14:paraId="41458E54">
      <w:pPr>
        <w:widowControl/>
        <w:numPr>
          <w:ilvl w:val="0"/>
          <w:numId w:val="5"/>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橇装式加油站油罐出油管管口距罐底宜为 150mm。油罐出油管的高点应高于油罐的最高液位。依据：《橇装式汽车加油站技术标准》（SH/T3134-2023）第6.4.5条</w:t>
      </w:r>
    </w:p>
    <w:p w14:paraId="100BD035">
      <w:pPr>
        <w:widowControl/>
        <w:numPr>
          <w:ilvl w:val="0"/>
          <w:numId w:val="5"/>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汽油罐与柴油罐的通气管应分开设置。通气管管口高出地面的高度不应小于4m，橇装式油罐通气管管口还应高于罐顶1.5m。沿建（构）筑物的墙（柱）向上敷设的通气管，其管口应高出建筑物的顶面2m及以上。通气管管口应设置阻火器。依据：《汽车加油加气加氢站技术标准》(GB50156-2021)第6.3.9条</w:t>
      </w:r>
    </w:p>
    <w:p w14:paraId="7B5E345E">
      <w:pPr>
        <w:widowControl/>
        <w:numPr>
          <w:ilvl w:val="0"/>
          <w:numId w:val="5"/>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通气管的公称直径不应小于50mm。依据：《汽车加油加气加氢站技术标准》(GB50156-2021)第6.3.10条</w:t>
      </w:r>
    </w:p>
    <w:p w14:paraId="3555269C">
      <w:pPr>
        <w:pStyle w:val="14"/>
        <w:widowControl/>
        <w:numPr>
          <w:ilvl w:val="0"/>
          <w:numId w:val="3"/>
        </w:numPr>
        <w:tabs>
          <w:tab w:val="clear" w:pos="0"/>
        </w:tabs>
        <w:spacing w:line="360" w:lineRule="auto"/>
        <w:ind w:left="0" w:firstLine="1058" w:firstLineChars="378"/>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自动化控制检查</w:t>
      </w:r>
    </w:p>
    <w:p w14:paraId="144657F8">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主要依据《汽车加油加气加氢站技术标准》（GB 50156）、《加油加气站非油品设施安全设置管理要求》（DB11/T1229）、《安全生产等级评定技术规范第3部分：加油站》（DB11/T1322.3）、《橇装式汽车加油站技术标准》（SH/T 3134）。主要条款依据如下：</w:t>
      </w:r>
    </w:p>
    <w:p w14:paraId="401B40B4">
      <w:pPr>
        <w:widowControl/>
        <w:numPr>
          <w:ilvl w:val="0"/>
          <w:numId w:val="6"/>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橇装式加油站的油罐应设紧急泄压装置，紧急泄压装置的开启压力宜为 20kPa～30kPa。依据：《橇装式汽车加油站技术标准》（SH/T3134-2023）第4.1.7条</w:t>
      </w:r>
    </w:p>
    <w:p w14:paraId="49950422">
      <w:pPr>
        <w:widowControl/>
        <w:numPr>
          <w:ilvl w:val="0"/>
          <w:numId w:val="6"/>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设有油气回收系统的加油站，其站内油罐应设带有高液位报警功能的液位检测系统。单层油罐的液位检测系统尚应具备渗漏检测功能，其渗漏检测分辨率不宜大于0.8L/h。依据：《汽车加油加气加氢站技术标准》(GB50156-2021)第6.1.16条</w:t>
      </w:r>
    </w:p>
    <w:p w14:paraId="3E74406A">
      <w:pPr>
        <w:pStyle w:val="14"/>
        <w:widowControl/>
        <w:numPr>
          <w:ilvl w:val="0"/>
          <w:numId w:val="3"/>
        </w:numPr>
        <w:tabs>
          <w:tab w:val="clear" w:pos="0"/>
        </w:tabs>
        <w:spacing w:line="360" w:lineRule="auto"/>
        <w:ind w:left="0" w:firstLine="1058" w:firstLineChars="378"/>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公用工程及其他检查</w:t>
      </w:r>
    </w:p>
    <w:p w14:paraId="1F73C295">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主要依据《汽车加油加气加氢站技术标准》（GB50156）、《建筑灭火器配置设计规范》（GB50140）、《加油加气站非油品设施安全设置管理要求》（DB11/T1229）、《安全生产等级评定技术规范第3 部分：加油站》（DB11/T1322.3）、《配电室安全管理规范》（DB11/T527）、《汽车加油加气站消防安全管理》（XF/T3004）。主要条款依据如下：</w:t>
      </w:r>
    </w:p>
    <w:p w14:paraId="4347744A">
      <w:pPr>
        <w:widowControl/>
        <w:numPr>
          <w:ilvl w:val="0"/>
          <w:numId w:val="7"/>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加油站排出建筑物或围墙的污水，在建筑物墙外或围墙内应分别设置水封井，水封井的水封高度不应小于0.25m，水封井应设置沉泥段，沉泥段高度不应小于0.25m。依据：《汽车加油加气加氢站技术标准》(GB50156-2021)第12.3.2条</w:t>
      </w:r>
    </w:p>
    <w:p w14:paraId="12026E37">
      <w:pPr>
        <w:widowControl/>
        <w:numPr>
          <w:ilvl w:val="0"/>
          <w:numId w:val="7"/>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每2台加油机应设置不少于2具5kg手提式干粉灭火器或1只5kg手提式干粉灭火器和一具6L泡沫灭火器，加油机不足2台按2台配置。地下储罐应配置1台不小于35kg推车式干粉灭火器，当两种介质储罐之间的距离超过15m时，应分别设置。橇装式加油至少应配置1台不小于35kg推车式干粉灭火器。一、二级加油站应配置灭火毯5块，沙子2m³；三级加油站应配置灭火毯不少于2块、沙子2m³。依据：《汽车加油加气加氢站技术标准》(GB50156-2021)第12.1.1条</w:t>
      </w:r>
    </w:p>
    <w:p w14:paraId="22F9F5B2">
      <w:pPr>
        <w:widowControl/>
        <w:numPr>
          <w:ilvl w:val="0"/>
          <w:numId w:val="7"/>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加油站的消防泵房 、罩棚、营业室等处，均应设应急照明，连续供电时间不应少于90min。依据：《汽车加油加气加氢站技术标准》(GB50156-2021)第13.1.3条</w:t>
      </w:r>
    </w:p>
    <w:p w14:paraId="26656DCD">
      <w:pPr>
        <w:widowControl/>
        <w:numPr>
          <w:ilvl w:val="0"/>
          <w:numId w:val="7"/>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当引用外电源有困难时，加油站可设置的小型内燃发电机组。内燃机的排烟管口应安装阻火器。排烟管口至各爆炸危险区域边界的水平距离应符合下列规定：a)排烟口高出地面4.5m以下时，不应小于5m；b)排烟口高出地面4.5m及以上时，不应小于3m。依据：《汽车加油加气加氢站技术标准》(GB50156-2021)第13.1.4条</w:t>
      </w:r>
    </w:p>
    <w:p w14:paraId="2CC3A836">
      <w:pPr>
        <w:widowControl/>
        <w:numPr>
          <w:ilvl w:val="0"/>
          <w:numId w:val="7"/>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加油站内爆炸危险区域以外的照明灯具，可选用非防爆型。罩棚下处于非爆炸危险区域的灯具，应选用防护等级不低于IP44级的照明灯具。依据：《汽车加油加气加氢站技术标准》(GB50156-2021)第13.1.7条</w:t>
      </w:r>
    </w:p>
    <w:p w14:paraId="225F4B02">
      <w:pPr>
        <w:widowControl/>
        <w:numPr>
          <w:ilvl w:val="0"/>
          <w:numId w:val="7"/>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当加油站内的站房和罩棚等建筑物需要防直击雷时，应采用接闪带（网）保护。当罩棚采用金属屋面时，宜利用屋面作为接闪器，但应符合下列规定：a)板间的连接应是持久的电气贯通，可采用铜锌合金焊、熔焊、卷边压接、缝接、螺钉或螺栓连接。b)金属板下面不应有易燃物品，热镀锌钢板的厚度不应小于0.5mm，铝板的厚度不应小于0.65mm，锌板的厚度不应小于0.7mm；c)金属板应无绝缘被覆盖。依据：《汽车加油加气加氢站技术标准》(GB50156-2021)第13.2.6条</w:t>
      </w:r>
    </w:p>
    <w:p w14:paraId="2511349B">
      <w:pPr>
        <w:widowControl/>
        <w:numPr>
          <w:ilvl w:val="0"/>
          <w:numId w:val="7"/>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在爆炸危险区域内工艺管道上的法兰、胶管两端等连接处，应用金属线跨接。当法兰的连接螺栓不少于5根时，在非腐蚀环境下可不跨接。依据：《汽车加油加气加氢站技术标准》(GB50156-2021)第13.2.12条</w:t>
      </w:r>
    </w:p>
    <w:p w14:paraId="7BB0CF57">
      <w:pPr>
        <w:widowControl/>
        <w:numPr>
          <w:ilvl w:val="0"/>
          <w:numId w:val="7"/>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加油站内爆炸危险区域内的房间或箱体应采取通风措施，并符合下列规定：a)采用强制通风时，通风设备的通风能力在工艺设备期间应按每小时换气12次计算，在工艺设备非工作期间应按每小时换气5次计算。通风设备应防爆，并应与可燃气体浓度报警器联锁。b)采用自然通风时，通风口总面积不应小于300cm</w:t>
      </w:r>
      <w:r>
        <w:rPr>
          <w:rFonts w:hint="eastAsia" w:ascii="仿宋" w:hAnsi="仿宋" w:eastAsia="仿宋" w:cs="宋体"/>
          <w:color w:val="FF0000"/>
          <w:kern w:val="0"/>
          <w:sz w:val="28"/>
          <w:szCs w:val="28"/>
          <w:vertAlign w:val="superscript"/>
        </w:rPr>
        <w:t>2</w:t>
      </w:r>
      <w:r>
        <w:rPr>
          <w:rFonts w:hint="eastAsia" w:ascii="仿宋" w:hAnsi="仿宋" w:eastAsia="仿宋" w:cs="宋体"/>
          <w:color w:val="FF0000"/>
          <w:kern w:val="0"/>
          <w:sz w:val="28"/>
          <w:szCs w:val="28"/>
        </w:rPr>
        <w:t>/m</w:t>
      </w:r>
      <w:r>
        <w:rPr>
          <w:rFonts w:hint="eastAsia" w:ascii="仿宋" w:hAnsi="仿宋" w:eastAsia="仿宋" w:cs="宋体"/>
          <w:color w:val="FF0000"/>
          <w:kern w:val="0"/>
          <w:sz w:val="28"/>
          <w:szCs w:val="28"/>
          <w:vertAlign w:val="superscript"/>
        </w:rPr>
        <w:t>2</w:t>
      </w:r>
      <w:r>
        <w:rPr>
          <w:rFonts w:hint="eastAsia" w:ascii="仿宋" w:hAnsi="仿宋" w:eastAsia="仿宋" w:cs="宋体"/>
          <w:color w:val="FF0000"/>
          <w:kern w:val="0"/>
          <w:sz w:val="28"/>
          <w:szCs w:val="28"/>
        </w:rPr>
        <w:t>（地面），通风口不应少于2个，且应靠近可燃气体积聚的部位设置。依据：《汽车加油加气加氢站技术标准》(GB50156-2021)第14.1.4条</w:t>
      </w:r>
    </w:p>
    <w:p w14:paraId="21747A10">
      <w:pPr>
        <w:widowControl/>
        <w:numPr>
          <w:ilvl w:val="0"/>
          <w:numId w:val="7"/>
        </w:numPr>
        <w:tabs>
          <w:tab w:val="clear" w:pos="0"/>
        </w:tabs>
        <w:spacing w:line="360" w:lineRule="auto"/>
        <w:ind w:left="0" w:firstLine="560" w:firstLineChars="200"/>
        <w:rPr>
          <w:rFonts w:hint="eastAsia" w:ascii="仿宋" w:hAnsi="仿宋" w:eastAsia="仿宋" w:cs="宋体"/>
          <w:color w:val="FF0000"/>
          <w:kern w:val="0"/>
          <w:sz w:val="28"/>
          <w:szCs w:val="28"/>
        </w:rPr>
      </w:pPr>
      <w:r>
        <w:rPr>
          <w:rFonts w:hint="eastAsia" w:ascii="仿宋" w:hAnsi="仿宋" w:eastAsia="仿宋" w:cs="宋体"/>
          <w:color w:val="FF0000"/>
          <w:kern w:val="0"/>
          <w:sz w:val="28"/>
          <w:szCs w:val="28"/>
        </w:rPr>
        <w:t>洗车区电源插座安全高度离地面1.5m。依据：《汽车加油加气站消防安全管理》（XF/T3004-2020）第9.4.4条</w:t>
      </w:r>
    </w:p>
    <w:p w14:paraId="5DC46ADC">
      <w:pPr>
        <w:pStyle w:val="14"/>
        <w:widowControl/>
        <w:numPr>
          <w:ilvl w:val="0"/>
          <w:numId w:val="3"/>
        </w:numPr>
        <w:tabs>
          <w:tab w:val="clear" w:pos="0"/>
        </w:tabs>
        <w:spacing w:line="360" w:lineRule="auto"/>
        <w:ind w:left="0" w:firstLine="1058" w:firstLineChars="378"/>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安全生产管理检查</w:t>
      </w:r>
    </w:p>
    <w:p w14:paraId="4D84549F">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主要依据《北京市生产经营单位安全生产主体责任规定》《危险化学品经营许可证管理办法》。</w:t>
      </w:r>
    </w:p>
    <w:p w14:paraId="5BDE7D64">
      <w:pPr>
        <w:pStyle w:val="14"/>
        <w:widowControl/>
        <w:numPr>
          <w:ilvl w:val="0"/>
          <w:numId w:val="3"/>
        </w:numPr>
        <w:tabs>
          <w:tab w:val="clear" w:pos="0"/>
        </w:tabs>
        <w:spacing w:line="360" w:lineRule="auto"/>
        <w:ind w:left="0" w:firstLine="1058" w:firstLineChars="378"/>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安全经营条件符合性</w:t>
      </w:r>
    </w:p>
    <w:p w14:paraId="452510F8">
      <w:pPr>
        <w:widowControl/>
        <w:spacing w:line="360" w:lineRule="auto"/>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依据《危险化学品经营单位安全评价导则（试行）》</w:t>
      </w:r>
      <w:bookmarkStart w:id="8" w:name="_GoBack"/>
      <w:bookmarkEnd w:id="8"/>
      <w:r>
        <w:rPr>
          <w:rFonts w:hint="eastAsia" w:ascii="仿宋" w:hAnsi="仿宋" w:eastAsia="仿宋" w:cs="宋体"/>
          <w:color w:val="000000" w:themeColor="text1"/>
          <w:kern w:val="0"/>
          <w:sz w:val="28"/>
          <w:szCs w:val="28"/>
          <w14:textFill>
            <w14:solidFill>
              <w14:schemeClr w14:val="tx1"/>
            </w14:solidFill>
          </w14:textFill>
        </w:rPr>
        <w:t>附录</w:t>
      </w:r>
      <w:r>
        <w:rPr>
          <w:rFonts w:ascii="仿宋" w:hAnsi="仿宋" w:eastAsia="仿宋" w:cs="宋体"/>
          <w:color w:val="000000" w:themeColor="text1"/>
          <w:kern w:val="0"/>
          <w:sz w:val="28"/>
          <w:szCs w:val="28"/>
          <w14:textFill>
            <w14:solidFill>
              <w14:schemeClr w14:val="tx1"/>
            </w14:solidFill>
          </w14:textFill>
        </w:rPr>
        <w:t>A</w:t>
      </w:r>
      <w:r>
        <w:rPr>
          <w:rFonts w:hint="eastAsia" w:ascii="仿宋" w:hAnsi="仿宋" w:eastAsia="仿宋" w:cs="宋体"/>
          <w:color w:val="000000" w:themeColor="text1"/>
          <w:kern w:val="0"/>
          <w:sz w:val="28"/>
          <w:szCs w:val="28"/>
          <w14:textFill>
            <w14:solidFill>
              <w14:schemeClr w14:val="tx1"/>
            </w14:solidFill>
          </w14:textFill>
        </w:rPr>
        <w:t>.</w:t>
      </w:r>
    </w:p>
    <w:p w14:paraId="26774687">
      <w:pPr>
        <w:widowControl/>
        <w:spacing w:line="360" w:lineRule="auto"/>
        <w:rPr>
          <w:rFonts w:hint="eastAsia" w:ascii="黑体" w:hAnsi="黑体" w:eastAsia="黑体" w:cs="宋体"/>
          <w:b/>
          <w:color w:val="000000" w:themeColor="text1"/>
          <w:kern w:val="0"/>
          <w:sz w:val="32"/>
          <w:szCs w:val="32"/>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六、</w:t>
      </w:r>
      <w:r>
        <w:rPr>
          <w:rFonts w:ascii="黑体" w:hAnsi="黑体" w:eastAsia="黑体" w:cs="宋体"/>
          <w:b/>
          <w:color w:val="000000" w:themeColor="text1"/>
          <w:kern w:val="0"/>
          <w:sz w:val="32"/>
          <w:szCs w:val="32"/>
          <w14:textFill>
            <w14:solidFill>
              <w14:schemeClr w14:val="tx1"/>
            </w14:solidFill>
          </w14:textFill>
        </w:rPr>
        <w:tab/>
      </w:r>
      <w:r>
        <w:rPr>
          <w:rFonts w:hint="eastAsia" w:ascii="黑体" w:hAnsi="黑体" w:eastAsia="黑体" w:cs="宋体"/>
          <w:b/>
          <w:color w:val="000000" w:themeColor="text1"/>
          <w:kern w:val="0"/>
          <w:sz w:val="32"/>
          <w:szCs w:val="32"/>
          <w14:textFill>
            <w14:solidFill>
              <w14:schemeClr w14:val="tx1"/>
            </w14:solidFill>
          </w14:textFill>
        </w:rPr>
        <w:t>重大意见分歧的处理依据和结果。</w:t>
      </w:r>
    </w:p>
    <w:p w14:paraId="7C973149">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编制过程中无重大意见分歧。</w:t>
      </w:r>
    </w:p>
    <w:p w14:paraId="596841D4">
      <w:pPr>
        <w:widowControl/>
        <w:spacing w:line="360" w:lineRule="auto"/>
        <w:rPr>
          <w:rFonts w:hint="eastAsia" w:ascii="黑体" w:hAnsi="黑体" w:eastAsia="黑体" w:cs="宋体"/>
          <w:b/>
          <w:color w:val="000000" w:themeColor="text1"/>
          <w:kern w:val="0"/>
          <w:sz w:val="32"/>
          <w:szCs w:val="32"/>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七、采用国际标准和国外先进标准的，说明采标程度，以及与国内外同类标准水平的对比情况。</w:t>
      </w:r>
    </w:p>
    <w:p w14:paraId="0FB23AA9">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无</w:t>
      </w:r>
    </w:p>
    <w:p w14:paraId="4381144D">
      <w:pPr>
        <w:widowControl/>
        <w:spacing w:line="360" w:lineRule="auto"/>
        <w:rPr>
          <w:rFonts w:hint="eastAsia" w:ascii="黑体" w:hAnsi="黑体" w:eastAsia="黑体" w:cs="宋体"/>
          <w:b/>
          <w:color w:val="000000" w:themeColor="text1"/>
          <w:kern w:val="0"/>
          <w:sz w:val="32"/>
          <w:szCs w:val="32"/>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八、作为推荐性标准或者强制性标准的建议及其理由。</w:t>
      </w:r>
    </w:p>
    <w:p w14:paraId="49F49C92">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根据目前北京市安全评价机构开展加油站安全现状评价的情况，为了使安全评价机构能够实现规范性管理，我们建议本标准作为推荐性标准发布。</w:t>
      </w:r>
    </w:p>
    <w:p w14:paraId="5A766CF1">
      <w:pPr>
        <w:widowControl/>
        <w:spacing w:line="360" w:lineRule="auto"/>
        <w:rPr>
          <w:rFonts w:hint="eastAsia" w:ascii="黑体" w:hAnsi="黑体" w:eastAsia="黑体" w:cs="宋体"/>
          <w:b/>
          <w:color w:val="000000" w:themeColor="text1"/>
          <w:kern w:val="0"/>
          <w:sz w:val="32"/>
          <w:szCs w:val="32"/>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九、强制性标准实施的风险点、风险程度、风险防控措施和预案</w:t>
      </w:r>
    </w:p>
    <w:p w14:paraId="20221FA8">
      <w:pPr>
        <w:tabs>
          <w:tab w:val="left" w:pos="3867"/>
        </w:tabs>
        <w:ind w:firstLine="840" w:firstLineChars="300"/>
        <w:rPr>
          <w:rFonts w:hint="eastAsia" w:ascii="仿宋" w:hAnsi="仿宋" w:eastAsia="仿宋" w:cs="宋体"/>
          <w:kern w:val="0"/>
          <w:sz w:val="28"/>
          <w:szCs w:val="28"/>
        </w:rPr>
      </w:pPr>
      <w:r>
        <w:rPr>
          <w:rFonts w:hint="eastAsia" w:ascii="仿宋" w:hAnsi="仿宋" w:eastAsia="仿宋" w:cs="宋体"/>
          <w:kern w:val="0"/>
          <w:sz w:val="28"/>
          <w:szCs w:val="28"/>
        </w:rPr>
        <w:t>不适用。</w:t>
      </w:r>
    </w:p>
    <w:p w14:paraId="48277BA2">
      <w:pPr>
        <w:widowControl/>
        <w:spacing w:line="360" w:lineRule="auto"/>
        <w:rPr>
          <w:rFonts w:hint="eastAsia" w:ascii="黑体" w:hAnsi="黑体" w:eastAsia="黑体" w:cs="宋体"/>
          <w:b/>
          <w:color w:val="000000" w:themeColor="text1"/>
          <w:kern w:val="0"/>
          <w:sz w:val="32"/>
          <w:szCs w:val="32"/>
          <w14:textFill>
            <w14:solidFill>
              <w14:schemeClr w14:val="tx1"/>
            </w14:solidFill>
          </w14:textFill>
        </w:rPr>
      </w:pPr>
      <w:r>
        <w:rPr>
          <w:rFonts w:ascii="黑体" w:hAnsi="黑体" w:eastAsia="黑体" w:cs="宋体"/>
          <w:b/>
          <w:color w:val="000000" w:themeColor="text1"/>
          <w:kern w:val="0"/>
          <w:sz w:val="32"/>
          <w:szCs w:val="32"/>
          <w14:textFill>
            <w14:solidFill>
              <w14:schemeClr w14:val="tx1"/>
            </w14:solidFill>
          </w14:textFill>
        </w:rPr>
        <w:t>十</w:t>
      </w:r>
      <w:r>
        <w:rPr>
          <w:rFonts w:hint="eastAsia" w:ascii="黑体" w:hAnsi="黑体" w:eastAsia="黑体" w:cs="宋体"/>
          <w:b/>
          <w:color w:val="000000" w:themeColor="text1"/>
          <w:kern w:val="0"/>
          <w:sz w:val="32"/>
          <w:szCs w:val="32"/>
          <w14:textFill>
            <w14:solidFill>
              <w14:schemeClr w14:val="tx1"/>
            </w14:solidFill>
          </w14:textFill>
        </w:rPr>
        <w:t>、实施标准的措施</w:t>
      </w:r>
      <w:r>
        <w:rPr>
          <w:rFonts w:ascii="黑体" w:hAnsi="黑体" w:eastAsia="黑体" w:cs="宋体"/>
          <w:b/>
          <w:color w:val="000000" w:themeColor="text1"/>
          <w:kern w:val="0"/>
          <w:sz w:val="32"/>
          <w:szCs w:val="32"/>
          <w14:textFill>
            <w14:solidFill>
              <w14:schemeClr w14:val="tx1"/>
            </w14:solidFill>
          </w14:textFill>
        </w:rPr>
        <w:t xml:space="preserve"> (政策措施/宣贯培训/试点示范/配套资金等)。 </w:t>
      </w:r>
    </w:p>
    <w:p w14:paraId="2DBED397">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鉴于本标准建议为推荐性标准，宜采用分阶段实施的方式，即可分为标准宣贯阶段、机构自查阶段、监管部门督查阶段等，以达到安全评价检测检验机构的执业行为符合本标准要求，具体建议如下：</w:t>
      </w:r>
    </w:p>
    <w:p w14:paraId="41BD8881">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1、建议由市应急管理局负责组织本标准的贯彻实施。</w:t>
      </w:r>
    </w:p>
    <w:p w14:paraId="0CC80440">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2、安全评价机构根据标准的内容，对已完成的加油站安全现状评价报告进行对标自查，对不符合标准规定的，在今后的评价中应积极改进，以达到标准规定的要求。</w:t>
      </w:r>
    </w:p>
    <w:p w14:paraId="738CDC99">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3、依法监督检查。研究制定本标准的配套监督检查方案，由市应急管理局负责组织标准实施情况的监督检查工作。</w:t>
      </w:r>
    </w:p>
    <w:p w14:paraId="7DF7D463">
      <w:pPr>
        <w:widowControl/>
        <w:spacing w:line="360" w:lineRule="auto"/>
        <w:rPr>
          <w:rFonts w:hint="eastAsia" w:ascii="黑体" w:hAnsi="黑体" w:eastAsia="黑体" w:cs="宋体"/>
          <w:b/>
          <w:color w:val="000000" w:themeColor="text1"/>
          <w:kern w:val="0"/>
          <w:sz w:val="32"/>
          <w:szCs w:val="32"/>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十一、其他应说明的事项。</w:t>
      </w:r>
    </w:p>
    <w:p w14:paraId="279BCF14">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无 </w:t>
      </w:r>
    </w:p>
    <w:sectPr>
      <w:footerReference r:id="rId3" w:type="default"/>
      <w:pgSz w:w="11906" w:h="16838"/>
      <w:pgMar w:top="1440" w:right="1800" w:bottom="1440" w:left="1800" w:header="851" w:footer="73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FCC3AD0B-63E7-4007-A428-A554FCE29D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CCF5D88-0096-4E03-B170-398EF7B6C383}"/>
  </w:font>
  <w:font w:name="方正小标宋简体">
    <w:panose1 w:val="03000509000000000000"/>
    <w:charset w:val="86"/>
    <w:family w:val="script"/>
    <w:pitch w:val="default"/>
    <w:sig w:usb0="00000001" w:usb1="080E0000" w:usb2="00000000" w:usb3="00000000" w:csb0="00040000" w:csb1="00000000"/>
    <w:embedRegular r:id="rId3" w:fontKey="{3DB32081-0352-4673-8E75-D01044C15121}"/>
  </w:font>
  <w:font w:name="仿宋">
    <w:panose1 w:val="02010609060101010101"/>
    <w:charset w:val="86"/>
    <w:family w:val="modern"/>
    <w:pitch w:val="default"/>
    <w:sig w:usb0="800002BF" w:usb1="38CF7CFA" w:usb2="00000016" w:usb3="00000000" w:csb0="00040001" w:csb1="00000000"/>
    <w:embedRegular r:id="rId4" w:fontKey="{0E52AE35-872A-4D05-9D72-8C5E2E219D79}"/>
  </w:font>
  <w:font w:name="仿宋_GB2312">
    <w:panose1 w:val="02010609030101010101"/>
    <w:charset w:val="86"/>
    <w:family w:val="modern"/>
    <w:pitch w:val="default"/>
    <w:sig w:usb0="00000001" w:usb1="080E0000" w:usb2="00000000" w:usb3="00000000" w:csb0="00040000" w:csb1="00000000"/>
    <w:embedRegular r:id="rId5" w:fontKey="{C62CBF54-BB25-416F-89EB-B9C868215F49}"/>
  </w:font>
  <w:font w:name="华文中宋">
    <w:panose1 w:val="02010600040101010101"/>
    <w:charset w:val="86"/>
    <w:family w:val="auto"/>
    <w:pitch w:val="default"/>
    <w:sig w:usb0="00000287" w:usb1="080F0000" w:usb2="00000000" w:usb3="00000000" w:csb0="0004009F" w:csb1="DFD70000"/>
    <w:embedRegular r:id="rId6" w:fontKey="{942A8E6E-040F-4BAD-A1F9-04724F04D1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7729187"/>
    </w:sdtPr>
    <w:sdtEndPr>
      <w:rPr>
        <w:lang w:val="zh-CN"/>
      </w:rPr>
    </w:sdtEndPr>
    <w:sdtContent>
      <w:p w14:paraId="5F86F312">
        <w:pPr>
          <w:pStyle w:val="5"/>
          <w:jc w:val="center"/>
        </w:pPr>
        <w:r>
          <w:fldChar w:fldCharType="begin"/>
        </w:r>
        <w:r>
          <w:instrText xml:space="preserve"> PAGE   \* MERGEFORMAT </w:instrText>
        </w:r>
        <w:r>
          <w:fldChar w:fldCharType="separate"/>
        </w:r>
        <w:r>
          <w:rPr>
            <w:lang w:val="zh-CN"/>
          </w:rPr>
          <w:t>9</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446F0"/>
    <w:multiLevelType w:val="singleLevel"/>
    <w:tmpl w:val="90C446F0"/>
    <w:lvl w:ilvl="0" w:tentative="0">
      <w:start w:val="1"/>
      <w:numFmt w:val="decimal"/>
      <w:suff w:val="nothing"/>
      <w:lvlText w:val="（%1）"/>
      <w:lvlJc w:val="left"/>
      <w:pPr>
        <w:tabs>
          <w:tab w:val="left" w:pos="0"/>
        </w:tabs>
        <w:ind w:left="454" w:hanging="454"/>
      </w:pPr>
      <w:rPr>
        <w:rFonts w:hint="default"/>
      </w:rPr>
    </w:lvl>
  </w:abstractNum>
  <w:abstractNum w:abstractNumId="1">
    <w:nsid w:val="C9EA9B98"/>
    <w:multiLevelType w:val="singleLevel"/>
    <w:tmpl w:val="C9EA9B98"/>
    <w:lvl w:ilvl="0" w:tentative="0">
      <w:start w:val="1"/>
      <w:numFmt w:val="decimal"/>
      <w:suff w:val="nothing"/>
      <w:lvlText w:val="（%1）"/>
      <w:lvlJc w:val="left"/>
      <w:pPr>
        <w:tabs>
          <w:tab w:val="left" w:pos="0"/>
        </w:tabs>
        <w:ind w:left="454" w:hanging="454"/>
      </w:pPr>
      <w:rPr>
        <w:rFonts w:hint="default"/>
      </w:rPr>
    </w:lvl>
  </w:abstractNum>
  <w:abstractNum w:abstractNumId="2">
    <w:nsid w:val="0000001A"/>
    <w:multiLevelType w:val="multilevel"/>
    <w:tmpl w:val="0000001A"/>
    <w:lvl w:ilvl="0" w:tentative="0">
      <w:start w:val="1"/>
      <w:numFmt w:val="decimal"/>
      <w:suff w:val="nothing"/>
      <w:lvlText w:val="%1　"/>
      <w:lvlJc w:val="left"/>
      <w:pPr>
        <w:ind w:left="105"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851"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710" w:firstLine="0"/>
      </w:pPr>
      <w:rPr>
        <w:rFonts w:hint="eastAsia" w:ascii="黑体" w:hAnsi="Times New Roman" w:eastAsia="黑体"/>
        <w:b w:val="0"/>
        <w:i w:val="0"/>
        <w:color w:val="auto"/>
        <w:sz w:val="21"/>
      </w:rPr>
    </w:lvl>
    <w:lvl w:ilvl="3" w:tentative="0">
      <w:start w:val="1"/>
      <w:numFmt w:val="decimal"/>
      <w:suff w:val="nothing"/>
      <w:lvlText w:val="%1.%2.%3.%4　"/>
      <w:lvlJc w:val="left"/>
      <w:pPr>
        <w:ind w:left="10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F4ABCC2"/>
    <w:multiLevelType w:val="singleLevel"/>
    <w:tmpl w:val="0F4ABCC2"/>
    <w:lvl w:ilvl="0" w:tentative="0">
      <w:start w:val="1"/>
      <w:numFmt w:val="decimal"/>
      <w:suff w:val="nothing"/>
      <w:lvlText w:val="（%1）"/>
      <w:lvlJc w:val="left"/>
      <w:pPr>
        <w:tabs>
          <w:tab w:val="left" w:pos="0"/>
        </w:tabs>
        <w:ind w:left="454" w:hanging="454"/>
      </w:pPr>
      <w:rPr>
        <w:rFonts w:hint="default"/>
      </w:rPr>
    </w:lvl>
  </w:abstractNum>
  <w:abstractNum w:abstractNumId="4">
    <w:nsid w:val="2A49200F"/>
    <w:multiLevelType w:val="multilevel"/>
    <w:tmpl w:val="2A49200F"/>
    <w:lvl w:ilvl="0" w:tentative="0">
      <w:start w:val="1"/>
      <w:numFmt w:val="decimal"/>
      <w:suff w:val="nothing"/>
      <w:lvlText w:val="%1）"/>
      <w:lvlJc w:val="right"/>
      <w:pPr>
        <w:tabs>
          <w:tab w:val="left" w:pos="0"/>
        </w:tabs>
        <w:ind w:left="1000" w:hanging="44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5">
    <w:nsid w:val="2B802BAD"/>
    <w:multiLevelType w:val="singleLevel"/>
    <w:tmpl w:val="2B802BAD"/>
    <w:lvl w:ilvl="0" w:tentative="0">
      <w:start w:val="1"/>
      <w:numFmt w:val="decimal"/>
      <w:suff w:val="nothing"/>
      <w:lvlText w:val="（%1）"/>
      <w:lvlJc w:val="left"/>
      <w:pPr>
        <w:tabs>
          <w:tab w:val="left" w:pos="0"/>
        </w:tabs>
        <w:ind w:left="454" w:hanging="454"/>
      </w:pPr>
      <w:rPr>
        <w:rFonts w:hint="default"/>
      </w:rPr>
    </w:lvl>
  </w:abstractNum>
  <w:abstractNum w:abstractNumId="6">
    <w:nsid w:val="73C76CE9"/>
    <w:multiLevelType w:val="multilevel"/>
    <w:tmpl w:val="73C76CE9"/>
    <w:lvl w:ilvl="0" w:tentative="0">
      <w:start w:val="1"/>
      <w:numFmt w:val="decimal"/>
      <w:suff w:val="nothing"/>
      <w:lvlText w:val="（%1）"/>
      <w:lvlJc w:val="right"/>
      <w:pPr>
        <w:ind w:left="1000" w:hanging="440"/>
      </w:pPr>
      <w:rPr>
        <w:rFonts w:hint="eastAsia"/>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68"/>
    <w:rsid w:val="00002607"/>
    <w:rsid w:val="00002AFC"/>
    <w:rsid w:val="0000638E"/>
    <w:rsid w:val="000072B3"/>
    <w:rsid w:val="00010C55"/>
    <w:rsid w:val="00014FCB"/>
    <w:rsid w:val="00015669"/>
    <w:rsid w:val="00016882"/>
    <w:rsid w:val="0001771A"/>
    <w:rsid w:val="0002058D"/>
    <w:rsid w:val="00023D12"/>
    <w:rsid w:val="00023F81"/>
    <w:rsid w:val="000248F6"/>
    <w:rsid w:val="00026E72"/>
    <w:rsid w:val="00026F1D"/>
    <w:rsid w:val="00035F5C"/>
    <w:rsid w:val="0004262A"/>
    <w:rsid w:val="0004330F"/>
    <w:rsid w:val="000500D3"/>
    <w:rsid w:val="00051F86"/>
    <w:rsid w:val="0005637A"/>
    <w:rsid w:val="00057073"/>
    <w:rsid w:val="000720F8"/>
    <w:rsid w:val="000A06A0"/>
    <w:rsid w:val="000A2921"/>
    <w:rsid w:val="000A4EB6"/>
    <w:rsid w:val="000A5BBE"/>
    <w:rsid w:val="000A6C45"/>
    <w:rsid w:val="000B019A"/>
    <w:rsid w:val="000B4756"/>
    <w:rsid w:val="000B6771"/>
    <w:rsid w:val="000C09EA"/>
    <w:rsid w:val="000C374B"/>
    <w:rsid w:val="000C5A43"/>
    <w:rsid w:val="000D40AE"/>
    <w:rsid w:val="000D5292"/>
    <w:rsid w:val="000E3FFA"/>
    <w:rsid w:val="000E57A7"/>
    <w:rsid w:val="000E6898"/>
    <w:rsid w:val="000F7399"/>
    <w:rsid w:val="00101077"/>
    <w:rsid w:val="001058E7"/>
    <w:rsid w:val="00111EA1"/>
    <w:rsid w:val="0012593E"/>
    <w:rsid w:val="00126AF7"/>
    <w:rsid w:val="0013101E"/>
    <w:rsid w:val="00147426"/>
    <w:rsid w:val="00152D32"/>
    <w:rsid w:val="00163490"/>
    <w:rsid w:val="00175B61"/>
    <w:rsid w:val="00175C48"/>
    <w:rsid w:val="00175E6F"/>
    <w:rsid w:val="00185D87"/>
    <w:rsid w:val="0019021B"/>
    <w:rsid w:val="0019098A"/>
    <w:rsid w:val="00194494"/>
    <w:rsid w:val="001A0E0E"/>
    <w:rsid w:val="001A3777"/>
    <w:rsid w:val="001D7D95"/>
    <w:rsid w:val="001E1518"/>
    <w:rsid w:val="001F0652"/>
    <w:rsid w:val="001F6CA6"/>
    <w:rsid w:val="002036AF"/>
    <w:rsid w:val="00205068"/>
    <w:rsid w:val="00213C0D"/>
    <w:rsid w:val="00214FC2"/>
    <w:rsid w:val="00235CA2"/>
    <w:rsid w:val="002415CE"/>
    <w:rsid w:val="0025059C"/>
    <w:rsid w:val="00253D93"/>
    <w:rsid w:val="002544A5"/>
    <w:rsid w:val="002559A5"/>
    <w:rsid w:val="002605C1"/>
    <w:rsid w:val="0026125D"/>
    <w:rsid w:val="00262DC4"/>
    <w:rsid w:val="00266C12"/>
    <w:rsid w:val="00274D7D"/>
    <w:rsid w:val="0027705B"/>
    <w:rsid w:val="00283996"/>
    <w:rsid w:val="002919E5"/>
    <w:rsid w:val="00292AC7"/>
    <w:rsid w:val="002A4545"/>
    <w:rsid w:val="002B71C6"/>
    <w:rsid w:val="002B76DE"/>
    <w:rsid w:val="002B795E"/>
    <w:rsid w:val="002C6050"/>
    <w:rsid w:val="002D2B2A"/>
    <w:rsid w:val="002D4F30"/>
    <w:rsid w:val="002D721F"/>
    <w:rsid w:val="002E3F39"/>
    <w:rsid w:val="002E431D"/>
    <w:rsid w:val="002E4C2E"/>
    <w:rsid w:val="002F36B1"/>
    <w:rsid w:val="002F7378"/>
    <w:rsid w:val="00307456"/>
    <w:rsid w:val="00313018"/>
    <w:rsid w:val="003205F0"/>
    <w:rsid w:val="0033047F"/>
    <w:rsid w:val="00335443"/>
    <w:rsid w:val="00344759"/>
    <w:rsid w:val="00345151"/>
    <w:rsid w:val="0034718F"/>
    <w:rsid w:val="00347511"/>
    <w:rsid w:val="00350DD9"/>
    <w:rsid w:val="00357EDC"/>
    <w:rsid w:val="00363767"/>
    <w:rsid w:val="0036438D"/>
    <w:rsid w:val="00365CA7"/>
    <w:rsid w:val="00367DB1"/>
    <w:rsid w:val="003705D1"/>
    <w:rsid w:val="00393677"/>
    <w:rsid w:val="003A39C3"/>
    <w:rsid w:val="003A48BE"/>
    <w:rsid w:val="003A6F8F"/>
    <w:rsid w:val="003A73C4"/>
    <w:rsid w:val="003B2793"/>
    <w:rsid w:val="003B5547"/>
    <w:rsid w:val="003B59C6"/>
    <w:rsid w:val="003C0F03"/>
    <w:rsid w:val="003D3C3E"/>
    <w:rsid w:val="003F3371"/>
    <w:rsid w:val="00400A11"/>
    <w:rsid w:val="00401515"/>
    <w:rsid w:val="0041759B"/>
    <w:rsid w:val="00421FB0"/>
    <w:rsid w:val="0042290D"/>
    <w:rsid w:val="004262B3"/>
    <w:rsid w:val="0042713A"/>
    <w:rsid w:val="00434668"/>
    <w:rsid w:val="00437AE7"/>
    <w:rsid w:val="00443389"/>
    <w:rsid w:val="00451CAD"/>
    <w:rsid w:val="00451D62"/>
    <w:rsid w:val="00452721"/>
    <w:rsid w:val="0046046D"/>
    <w:rsid w:val="00466535"/>
    <w:rsid w:val="00471FBC"/>
    <w:rsid w:val="004742C9"/>
    <w:rsid w:val="0048622A"/>
    <w:rsid w:val="0048662D"/>
    <w:rsid w:val="00487C18"/>
    <w:rsid w:val="004910D4"/>
    <w:rsid w:val="00496CBA"/>
    <w:rsid w:val="00497B91"/>
    <w:rsid w:val="004A0BA6"/>
    <w:rsid w:val="004A3D8A"/>
    <w:rsid w:val="004A5B3D"/>
    <w:rsid w:val="004B559A"/>
    <w:rsid w:val="004B7CF0"/>
    <w:rsid w:val="004C1ED1"/>
    <w:rsid w:val="004D1D9C"/>
    <w:rsid w:val="004E4736"/>
    <w:rsid w:val="004E6A0B"/>
    <w:rsid w:val="004F142D"/>
    <w:rsid w:val="00506901"/>
    <w:rsid w:val="00506EF2"/>
    <w:rsid w:val="00515722"/>
    <w:rsid w:val="005259BD"/>
    <w:rsid w:val="0053267C"/>
    <w:rsid w:val="00532E27"/>
    <w:rsid w:val="00533E35"/>
    <w:rsid w:val="00540F1B"/>
    <w:rsid w:val="005437B8"/>
    <w:rsid w:val="00545168"/>
    <w:rsid w:val="005549DB"/>
    <w:rsid w:val="00555D4E"/>
    <w:rsid w:val="00565E94"/>
    <w:rsid w:val="00566179"/>
    <w:rsid w:val="00575241"/>
    <w:rsid w:val="005800C0"/>
    <w:rsid w:val="00580F43"/>
    <w:rsid w:val="00581848"/>
    <w:rsid w:val="005957CF"/>
    <w:rsid w:val="00596131"/>
    <w:rsid w:val="00597DE4"/>
    <w:rsid w:val="005A6D7B"/>
    <w:rsid w:val="005B53A0"/>
    <w:rsid w:val="005D54E2"/>
    <w:rsid w:val="005E1904"/>
    <w:rsid w:val="005E3C68"/>
    <w:rsid w:val="005E614A"/>
    <w:rsid w:val="005F53E0"/>
    <w:rsid w:val="00607602"/>
    <w:rsid w:val="006172A0"/>
    <w:rsid w:val="00617B3C"/>
    <w:rsid w:val="006216FC"/>
    <w:rsid w:val="00623E8F"/>
    <w:rsid w:val="00640571"/>
    <w:rsid w:val="00643526"/>
    <w:rsid w:val="006441D2"/>
    <w:rsid w:val="00647BCC"/>
    <w:rsid w:val="0065586D"/>
    <w:rsid w:val="0066107D"/>
    <w:rsid w:val="00664786"/>
    <w:rsid w:val="00675476"/>
    <w:rsid w:val="00675CB7"/>
    <w:rsid w:val="00676C7E"/>
    <w:rsid w:val="006776F1"/>
    <w:rsid w:val="00684146"/>
    <w:rsid w:val="00686160"/>
    <w:rsid w:val="006939CF"/>
    <w:rsid w:val="00697E8B"/>
    <w:rsid w:val="006A1B9C"/>
    <w:rsid w:val="006A237C"/>
    <w:rsid w:val="006A4A6C"/>
    <w:rsid w:val="006A7203"/>
    <w:rsid w:val="006B3118"/>
    <w:rsid w:val="006B5C7A"/>
    <w:rsid w:val="006B6585"/>
    <w:rsid w:val="006C313D"/>
    <w:rsid w:val="006E3722"/>
    <w:rsid w:val="006F0184"/>
    <w:rsid w:val="00707309"/>
    <w:rsid w:val="007124B0"/>
    <w:rsid w:val="00712EA7"/>
    <w:rsid w:val="00715735"/>
    <w:rsid w:val="00731847"/>
    <w:rsid w:val="00733993"/>
    <w:rsid w:val="00735700"/>
    <w:rsid w:val="00735C43"/>
    <w:rsid w:val="0074465D"/>
    <w:rsid w:val="00753227"/>
    <w:rsid w:val="007535E7"/>
    <w:rsid w:val="00756C86"/>
    <w:rsid w:val="007645FE"/>
    <w:rsid w:val="007856DB"/>
    <w:rsid w:val="00794588"/>
    <w:rsid w:val="007A39D4"/>
    <w:rsid w:val="007F0388"/>
    <w:rsid w:val="007F11AC"/>
    <w:rsid w:val="007F32A0"/>
    <w:rsid w:val="007F4B42"/>
    <w:rsid w:val="008013B3"/>
    <w:rsid w:val="00807589"/>
    <w:rsid w:val="0081326B"/>
    <w:rsid w:val="008164D9"/>
    <w:rsid w:val="008238DF"/>
    <w:rsid w:val="00824F61"/>
    <w:rsid w:val="00830A00"/>
    <w:rsid w:val="00865A24"/>
    <w:rsid w:val="00866D1A"/>
    <w:rsid w:val="00867A49"/>
    <w:rsid w:val="00877BB4"/>
    <w:rsid w:val="00886453"/>
    <w:rsid w:val="00890D86"/>
    <w:rsid w:val="008A16F6"/>
    <w:rsid w:val="008A2485"/>
    <w:rsid w:val="008B1038"/>
    <w:rsid w:val="008B3E35"/>
    <w:rsid w:val="008C0ECE"/>
    <w:rsid w:val="008D1CBF"/>
    <w:rsid w:val="008D2548"/>
    <w:rsid w:val="008D5953"/>
    <w:rsid w:val="008E2EB2"/>
    <w:rsid w:val="008F3E7F"/>
    <w:rsid w:val="008F49C1"/>
    <w:rsid w:val="008F67EB"/>
    <w:rsid w:val="008F6F21"/>
    <w:rsid w:val="00911A13"/>
    <w:rsid w:val="00911F96"/>
    <w:rsid w:val="00913324"/>
    <w:rsid w:val="009171AE"/>
    <w:rsid w:val="009176B7"/>
    <w:rsid w:val="00921DB2"/>
    <w:rsid w:val="00924111"/>
    <w:rsid w:val="00934380"/>
    <w:rsid w:val="00943576"/>
    <w:rsid w:val="00951A88"/>
    <w:rsid w:val="009557B4"/>
    <w:rsid w:val="0096355A"/>
    <w:rsid w:val="00966FA0"/>
    <w:rsid w:val="0097258B"/>
    <w:rsid w:val="009739C0"/>
    <w:rsid w:val="0097494A"/>
    <w:rsid w:val="00983688"/>
    <w:rsid w:val="00990D5D"/>
    <w:rsid w:val="009A0E7E"/>
    <w:rsid w:val="009A2005"/>
    <w:rsid w:val="009B6BA7"/>
    <w:rsid w:val="009C1E92"/>
    <w:rsid w:val="009C3BE7"/>
    <w:rsid w:val="009C7FAC"/>
    <w:rsid w:val="009E515C"/>
    <w:rsid w:val="009F0A99"/>
    <w:rsid w:val="00A0676A"/>
    <w:rsid w:val="00A1128E"/>
    <w:rsid w:val="00A17B4D"/>
    <w:rsid w:val="00A23556"/>
    <w:rsid w:val="00A3043F"/>
    <w:rsid w:val="00A31AC3"/>
    <w:rsid w:val="00A34A59"/>
    <w:rsid w:val="00A63CC7"/>
    <w:rsid w:val="00A655DD"/>
    <w:rsid w:val="00A709BE"/>
    <w:rsid w:val="00A70FA7"/>
    <w:rsid w:val="00A77E08"/>
    <w:rsid w:val="00A82A77"/>
    <w:rsid w:val="00A9251D"/>
    <w:rsid w:val="00A9299E"/>
    <w:rsid w:val="00A94695"/>
    <w:rsid w:val="00A970E4"/>
    <w:rsid w:val="00A971F0"/>
    <w:rsid w:val="00AA66B4"/>
    <w:rsid w:val="00AB5725"/>
    <w:rsid w:val="00AD14CB"/>
    <w:rsid w:val="00AD3B32"/>
    <w:rsid w:val="00AE3ECF"/>
    <w:rsid w:val="00AF17A0"/>
    <w:rsid w:val="00AF26DE"/>
    <w:rsid w:val="00AF416A"/>
    <w:rsid w:val="00B000DC"/>
    <w:rsid w:val="00B01396"/>
    <w:rsid w:val="00B102AF"/>
    <w:rsid w:val="00B20AFF"/>
    <w:rsid w:val="00B2535E"/>
    <w:rsid w:val="00B26777"/>
    <w:rsid w:val="00B26D2A"/>
    <w:rsid w:val="00B308DE"/>
    <w:rsid w:val="00B32EB3"/>
    <w:rsid w:val="00B37F0E"/>
    <w:rsid w:val="00B4108C"/>
    <w:rsid w:val="00B421B5"/>
    <w:rsid w:val="00B43E1C"/>
    <w:rsid w:val="00B4620E"/>
    <w:rsid w:val="00B532E5"/>
    <w:rsid w:val="00B62CE8"/>
    <w:rsid w:val="00B63272"/>
    <w:rsid w:val="00B64852"/>
    <w:rsid w:val="00B65ADB"/>
    <w:rsid w:val="00B66D83"/>
    <w:rsid w:val="00B76972"/>
    <w:rsid w:val="00B777B1"/>
    <w:rsid w:val="00B862BA"/>
    <w:rsid w:val="00B96E4E"/>
    <w:rsid w:val="00B97159"/>
    <w:rsid w:val="00BA237A"/>
    <w:rsid w:val="00BA23DA"/>
    <w:rsid w:val="00BA23EC"/>
    <w:rsid w:val="00BA31C9"/>
    <w:rsid w:val="00BA3BC4"/>
    <w:rsid w:val="00BA5709"/>
    <w:rsid w:val="00BB7C50"/>
    <w:rsid w:val="00BC0586"/>
    <w:rsid w:val="00BC2B49"/>
    <w:rsid w:val="00BD7D0A"/>
    <w:rsid w:val="00BE49F5"/>
    <w:rsid w:val="00C00343"/>
    <w:rsid w:val="00C1210A"/>
    <w:rsid w:val="00C14CB0"/>
    <w:rsid w:val="00C22973"/>
    <w:rsid w:val="00C24809"/>
    <w:rsid w:val="00C3127B"/>
    <w:rsid w:val="00C31A6A"/>
    <w:rsid w:val="00C36583"/>
    <w:rsid w:val="00C43EC6"/>
    <w:rsid w:val="00C4575C"/>
    <w:rsid w:val="00C4784C"/>
    <w:rsid w:val="00C47BD4"/>
    <w:rsid w:val="00C514A1"/>
    <w:rsid w:val="00C56EB4"/>
    <w:rsid w:val="00C62744"/>
    <w:rsid w:val="00C6462D"/>
    <w:rsid w:val="00C65D82"/>
    <w:rsid w:val="00C70364"/>
    <w:rsid w:val="00C921BB"/>
    <w:rsid w:val="00C936CB"/>
    <w:rsid w:val="00CB5174"/>
    <w:rsid w:val="00CC08DA"/>
    <w:rsid w:val="00CC108B"/>
    <w:rsid w:val="00CD0BF3"/>
    <w:rsid w:val="00CD215F"/>
    <w:rsid w:val="00CD6D67"/>
    <w:rsid w:val="00CD7A04"/>
    <w:rsid w:val="00CE408A"/>
    <w:rsid w:val="00CF2810"/>
    <w:rsid w:val="00CF2B2C"/>
    <w:rsid w:val="00CF7154"/>
    <w:rsid w:val="00D0191E"/>
    <w:rsid w:val="00D01987"/>
    <w:rsid w:val="00D05AD0"/>
    <w:rsid w:val="00D12628"/>
    <w:rsid w:val="00D135F1"/>
    <w:rsid w:val="00D1582C"/>
    <w:rsid w:val="00D172DB"/>
    <w:rsid w:val="00D203FC"/>
    <w:rsid w:val="00D21863"/>
    <w:rsid w:val="00D233DC"/>
    <w:rsid w:val="00D3455E"/>
    <w:rsid w:val="00D42ADA"/>
    <w:rsid w:val="00D5155B"/>
    <w:rsid w:val="00D65367"/>
    <w:rsid w:val="00D66604"/>
    <w:rsid w:val="00D757D5"/>
    <w:rsid w:val="00D81E6B"/>
    <w:rsid w:val="00D8466D"/>
    <w:rsid w:val="00D84ADF"/>
    <w:rsid w:val="00D876B1"/>
    <w:rsid w:val="00D94003"/>
    <w:rsid w:val="00DA36CA"/>
    <w:rsid w:val="00DC2845"/>
    <w:rsid w:val="00DC4170"/>
    <w:rsid w:val="00DC629B"/>
    <w:rsid w:val="00DC7972"/>
    <w:rsid w:val="00DC7D9D"/>
    <w:rsid w:val="00DD4984"/>
    <w:rsid w:val="00DE0420"/>
    <w:rsid w:val="00DE7A4E"/>
    <w:rsid w:val="00DF242D"/>
    <w:rsid w:val="00DF40E7"/>
    <w:rsid w:val="00DF46B5"/>
    <w:rsid w:val="00E147C5"/>
    <w:rsid w:val="00E262B0"/>
    <w:rsid w:val="00E32F56"/>
    <w:rsid w:val="00E358A4"/>
    <w:rsid w:val="00E42E85"/>
    <w:rsid w:val="00E43E07"/>
    <w:rsid w:val="00E563D3"/>
    <w:rsid w:val="00E574E2"/>
    <w:rsid w:val="00E63418"/>
    <w:rsid w:val="00E667E2"/>
    <w:rsid w:val="00E753B8"/>
    <w:rsid w:val="00E81139"/>
    <w:rsid w:val="00E83100"/>
    <w:rsid w:val="00E87E0F"/>
    <w:rsid w:val="00E94D8A"/>
    <w:rsid w:val="00E956B4"/>
    <w:rsid w:val="00EA0075"/>
    <w:rsid w:val="00EA2DF5"/>
    <w:rsid w:val="00EA42A8"/>
    <w:rsid w:val="00EA71A5"/>
    <w:rsid w:val="00EB09C7"/>
    <w:rsid w:val="00EC3076"/>
    <w:rsid w:val="00EC3152"/>
    <w:rsid w:val="00ED63FC"/>
    <w:rsid w:val="00EE1326"/>
    <w:rsid w:val="00EF0361"/>
    <w:rsid w:val="00EF729D"/>
    <w:rsid w:val="00F022D4"/>
    <w:rsid w:val="00F04025"/>
    <w:rsid w:val="00F1288C"/>
    <w:rsid w:val="00F1694C"/>
    <w:rsid w:val="00F219FF"/>
    <w:rsid w:val="00F2575C"/>
    <w:rsid w:val="00F30F11"/>
    <w:rsid w:val="00F44E21"/>
    <w:rsid w:val="00F56A26"/>
    <w:rsid w:val="00F57E6D"/>
    <w:rsid w:val="00F72769"/>
    <w:rsid w:val="00F73216"/>
    <w:rsid w:val="00F77537"/>
    <w:rsid w:val="00F82DB3"/>
    <w:rsid w:val="00F86C1A"/>
    <w:rsid w:val="00F876E2"/>
    <w:rsid w:val="00F87994"/>
    <w:rsid w:val="00F94C2E"/>
    <w:rsid w:val="00F96807"/>
    <w:rsid w:val="00F97576"/>
    <w:rsid w:val="00FA2458"/>
    <w:rsid w:val="00FB04A9"/>
    <w:rsid w:val="00FB14E8"/>
    <w:rsid w:val="00FB661F"/>
    <w:rsid w:val="00FB77A1"/>
    <w:rsid w:val="00FC2404"/>
    <w:rsid w:val="00FC442B"/>
    <w:rsid w:val="00FC5112"/>
    <w:rsid w:val="00FC6F86"/>
    <w:rsid w:val="00FD7ADC"/>
    <w:rsid w:val="00FE0507"/>
    <w:rsid w:val="00FE07A8"/>
    <w:rsid w:val="00FF007D"/>
    <w:rsid w:val="00FF1955"/>
    <w:rsid w:val="19387897"/>
    <w:rsid w:val="1FE62FE2"/>
    <w:rsid w:val="3237708A"/>
    <w:rsid w:val="3CF654CE"/>
    <w:rsid w:val="44D31C9D"/>
    <w:rsid w:val="46720B54"/>
    <w:rsid w:val="497668C6"/>
    <w:rsid w:val="53976086"/>
    <w:rsid w:val="56567228"/>
    <w:rsid w:val="585115EB"/>
    <w:rsid w:val="695614C4"/>
    <w:rsid w:val="6A642B1C"/>
    <w:rsid w:val="7231619E"/>
    <w:rsid w:val="79E96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unhideWhenUsed/>
    <w:qFormat/>
    <w:uiPriority w:val="0"/>
    <w:pPr>
      <w:jc w:val="left"/>
    </w:pPr>
  </w:style>
  <w:style w:type="paragraph" w:styleId="4">
    <w:name w:val="Balloon Text"/>
    <w:basedOn w:val="1"/>
    <w:link w:val="21"/>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styleId="14">
    <w:name w:val="List Paragraph"/>
    <w:basedOn w:val="1"/>
    <w:qFormat/>
    <w:uiPriority w:val="34"/>
    <w:pPr>
      <w:ind w:firstLine="420" w:firstLineChars="200"/>
    </w:pPr>
  </w:style>
  <w:style w:type="paragraph" w:customStyle="1" w:styleId="15">
    <w:name w:val="章标题"/>
    <w:next w:val="1"/>
    <w:qFormat/>
    <w:uiPriority w:val="0"/>
    <w:pPr>
      <w:tabs>
        <w:tab w:val="left" w:pos="720"/>
      </w:tabs>
      <w:spacing w:beforeLines="100" w:afterLines="100"/>
      <w:ind w:left="720" w:hanging="720"/>
      <w:jc w:val="both"/>
      <w:outlineLvl w:val="1"/>
    </w:pPr>
    <w:rPr>
      <w:rFonts w:ascii="黑体" w:hAnsi="Times New Roman" w:eastAsia="黑体" w:cs="Times New Roman"/>
      <w:sz w:val="21"/>
      <w:lang w:val="en-US" w:eastAsia="zh-CN" w:bidi="ar-SA"/>
    </w:rPr>
  </w:style>
  <w:style w:type="paragraph" w:customStyle="1" w:styleId="16">
    <w:name w:val="一级条标题"/>
    <w:next w:val="1"/>
    <w:qFormat/>
    <w:uiPriority w:val="0"/>
    <w:pPr>
      <w:numPr>
        <w:ilvl w:val="1"/>
        <w:numId w:val="1"/>
      </w:numPr>
      <w:spacing w:beforeLines="50" w:afterLines="50"/>
      <w:ind w:left="525"/>
      <w:outlineLvl w:val="2"/>
    </w:pPr>
    <w:rPr>
      <w:rFonts w:ascii="黑体" w:hAnsi="Times New Roman" w:eastAsia="黑体" w:cs="Times New Roman"/>
      <w:sz w:val="21"/>
      <w:szCs w:val="21"/>
      <w:lang w:val="en-US" w:eastAsia="zh-CN" w:bidi="ar-SA"/>
    </w:rPr>
  </w:style>
  <w:style w:type="character" w:customStyle="1" w:styleId="17">
    <w:name w:val="段 Char Char"/>
    <w:link w:val="18"/>
    <w:qFormat/>
    <w:uiPriority w:val="0"/>
    <w:rPr>
      <w:rFonts w:ascii="宋体"/>
    </w:rPr>
  </w:style>
  <w:style w:type="paragraph" w:customStyle="1" w:styleId="18">
    <w:name w:val="段"/>
    <w:link w:val="1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9">
    <w:name w:val="样式 一级条标题 + 段前: 0.5 行 段后: 0.5 行"/>
    <w:basedOn w:val="16"/>
    <w:qFormat/>
    <w:uiPriority w:val="0"/>
    <w:pPr>
      <w:numPr>
        <w:ilvl w:val="0"/>
        <w:numId w:val="0"/>
      </w:numPr>
      <w:ind w:left="525" w:hanging="420"/>
    </w:pPr>
    <w:rPr>
      <w:rFonts w:cs="宋体"/>
      <w:szCs w:val="20"/>
    </w:rPr>
  </w:style>
  <w:style w:type="paragraph" w:customStyle="1" w:styleId="20">
    <w:name w:val="二级无"/>
    <w:basedOn w:val="1"/>
    <w:qFormat/>
    <w:uiPriority w:val="0"/>
    <w:pPr>
      <w:widowControl/>
      <w:tabs>
        <w:tab w:val="left" w:pos="2160"/>
      </w:tabs>
      <w:ind w:left="2160" w:hanging="720"/>
      <w:jc w:val="left"/>
      <w:outlineLvl w:val="3"/>
    </w:pPr>
    <w:rPr>
      <w:rFonts w:ascii="宋体" w:hAnsi="Times New Roman" w:eastAsia="宋体" w:cs="Times New Roman"/>
      <w:kern w:val="0"/>
      <w:szCs w:val="21"/>
    </w:rPr>
  </w:style>
  <w:style w:type="character" w:customStyle="1" w:styleId="21">
    <w:name w:val="批注框文本 字符"/>
    <w:basedOn w:val="9"/>
    <w:link w:val="4"/>
    <w:semiHidden/>
    <w:qFormat/>
    <w:uiPriority w:val="99"/>
    <w:rPr>
      <w:sz w:val="18"/>
      <w:szCs w:val="18"/>
    </w:rPr>
  </w:style>
  <w:style w:type="character" w:customStyle="1" w:styleId="22">
    <w:name w:val="段 Char"/>
    <w:qFormat/>
    <w:uiPriority w:val="0"/>
    <w:rPr>
      <w:rFonts w:ascii="宋体"/>
      <w:sz w:val="21"/>
      <w:lang w:val="en-US" w:eastAsia="zh-CN" w:bidi="ar-SA"/>
    </w:rPr>
  </w:style>
  <w:style w:type="character" w:customStyle="1" w:styleId="23">
    <w:name w:val="批注文字 字符"/>
    <w:basedOn w:val="9"/>
    <w:link w:val="3"/>
    <w:qFormat/>
    <w:uiPriority w:val="0"/>
    <w:rPr>
      <w:kern w:val="2"/>
      <w:sz w:val="21"/>
      <w:szCs w:val="22"/>
    </w:rPr>
  </w:style>
  <w:style w:type="character" w:customStyle="1" w:styleId="24">
    <w:name w:val="批注主题 字符"/>
    <w:basedOn w:val="23"/>
    <w:link w:val="7"/>
    <w:semiHidden/>
    <w:qFormat/>
    <w:uiPriority w:val="99"/>
    <w:rPr>
      <w:b/>
      <w:bCs/>
      <w:kern w:val="2"/>
      <w:sz w:val="21"/>
      <w:szCs w:val="22"/>
    </w:rPr>
  </w:style>
  <w:style w:type="paragraph" w:customStyle="1" w:styleId="25">
    <w:name w:val="Table Text"/>
    <w:basedOn w:val="1"/>
    <w:semiHidden/>
    <w:qFormat/>
    <w:uiPriority w:val="0"/>
    <w:pPr>
      <w:widowControl/>
      <w:kinsoku w:val="0"/>
      <w:autoSpaceDE w:val="0"/>
      <w:autoSpaceDN w:val="0"/>
      <w:snapToGrid w:val="0"/>
      <w:jc w:val="left"/>
      <w:textAlignment w:val="baseline"/>
    </w:pPr>
    <w:rPr>
      <w:rFonts w:ascii="宋体" w:hAnsi="宋体" w:cs="宋体"/>
      <w:snapToGrid w:val="0"/>
      <w:color w:val="000000"/>
      <w:kern w:val="0"/>
      <w:lang w:eastAsia="en-US"/>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C1C64-6043-42F9-B6F5-BD8B0715A85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9525</Words>
  <Characters>10914</Characters>
  <Lines>238</Lines>
  <Paragraphs>145</Paragraphs>
  <TotalTime>0</TotalTime>
  <ScaleCrop>false</ScaleCrop>
  <LinksUpToDate>false</LinksUpToDate>
  <CharactersWithSpaces>11008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2025-06-09T07:59:00Z</dcterms:created>
  <dc:creator>Ulica</dc:creator>
  <cp:lastModifiedBy>Administrator</cp:lastModifiedBy>
  <cp:lastPrinted>2025-04-24T07:37:00Z</cp:lastPrinted>
  <dcterms:modified xsi:type="dcterms:W3CDTF">2025-08-14T08:52:23Z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5D56F37BB27643ACACF4361A0360C08A_13</vt:lpwstr>
  </property>
  <property fmtid="{D5CDD505-2E9C-101B-9397-08002B2CF9AE}" pid="4" name="KSOTemplateDocerSaveRecord">
    <vt:lpwstr>eyJoZGlkIjoiYmUxZDYzMjkxODI1Mjk4OWVjMTYxNmVkNGZjODA2Y2QifQ==</vt:lpwstr>
  </property>
</Properties>
</file>