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ascii="Times New Roman"/>
        </w:rPr>
      </w:pPr>
      <w:bookmarkStart w:id="370" w:name="_GoBack"/>
      <w:bookmarkEnd w:id="370"/>
      <w:r>
        <w:rPr>
          <w:rFonts w:ascii="Times New Roman"/>
        </w:rPr>
        <w:t>ICS</w:t>
      </w:r>
      <w:r>
        <w:rPr>
          <w:rFonts w:ascii="Times New Roman" w:eastAsia="MS Mincho"/>
        </w:rPr>
        <w:t> </w:t>
      </w:r>
      <w:r>
        <w:rPr>
          <w:rFonts w:hint="eastAsia" w:ascii="Times New Roman" w:eastAsia="MS Mincho"/>
        </w:rPr>
        <w:t>13.200</w:t>
      </w:r>
    </w:p>
    <w:p>
      <w:pPr>
        <w:pStyle w:val="125"/>
        <w:framePr w:wrap="around"/>
        <w:rPr>
          <w:rFonts w:ascii="Times New Roman"/>
        </w:rPr>
      </w:pPr>
      <w:r>
        <w:rPr>
          <w:rFonts w:hint="eastAsia" w:ascii="Times New Roman"/>
        </w:rPr>
        <w:t xml:space="preserve">CCS A 90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5"/>
              <w:framePr w:wrap="around"/>
              <w:rPr>
                <w:rFonts w:ascii="Times New Roman"/>
              </w:rPr>
            </w:pP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PsUqS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O1&#10;fMGZF44G/vHDlyzLGLGh6FN8hIuHZGaOJw0u/6l7dipSnq9SqlNikjZXy+X9/R1nkkL1+1W9KFJX&#10;L4cjYPqsgmPZaDnQpIqA4vgVExWk1N8puRYGa7qdsbY40O8/WWBHQVPdlS93TEf+SrM+J/uQj03h&#10;vFNlYhOVbO1DdyYFRroCLcfngwDF2SGC6Qdqqy64OY/0LxUudyUP+E+/4L68j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HPsUqSvAQAAZwMAAA4AAAAAAAAAAQAgAAAAOgEAAGRycy9lMm9E&#10;b2MueG1sUEsFBgAAAAAGAAYAWQEAAFsF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20"/>
        <w:framePr w:wrap="around"/>
      </w:pPr>
      <w:r>
        <w:t>DB</w:t>
      </w:r>
      <w:bookmarkStart w:id="1" w:name="c3"/>
      <w:r>
        <w:fldChar w:fldCharType="begin">
          <w:ffData>
            <w:name w:val="c3"/>
            <w:enabled/>
            <w:calcOnExit w:val="0"/>
            <w:entryMacro w:val="ShowHelp16"/>
            <w:textInput>
              <w:maxLength w:val="2"/>
            </w:textInput>
          </w:ffData>
        </w:fldChar>
      </w:r>
      <w:r>
        <w:instrText xml:space="preserve"> FORMTEXT </w:instrText>
      </w:r>
      <w:r>
        <w:fldChar w:fldCharType="separate"/>
      </w:r>
      <w:r>
        <w:t>11</w:t>
      </w:r>
      <w:r>
        <w:fldChar w:fldCharType="end"/>
      </w:r>
      <w:bookmarkEnd w:id="1"/>
    </w:p>
    <w:p>
      <w:pPr>
        <w:pStyle w:val="133"/>
        <w:framePr w:wrap="around"/>
        <w:rPr>
          <w:rFonts w:ascii="Times New Roman" w:hAnsi="Times New Roman"/>
        </w:rPr>
      </w:pPr>
      <w:bookmarkStart w:id="2" w:name="c4"/>
      <w:r>
        <w:rPr>
          <w:rFonts w:ascii="Times New Roman" w:hAnsi="Times New Roman"/>
        </w:rPr>
        <w:fldChar w:fldCharType="begin">
          <w:ffData>
            <w:name w:val="c4"/>
            <w:enabled/>
            <w:calcOnExit w:val="0"/>
            <w:entryMacro w:val="showhelp1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北京市</w:t>
      </w:r>
      <w:r>
        <w:rPr>
          <w:rFonts w:ascii="Times New Roman" w:hAnsi="Times New Roman"/>
        </w:rPr>
        <w:fldChar w:fldCharType="end"/>
      </w:r>
      <w:bookmarkEnd w:id="2"/>
      <w:r>
        <w:rPr>
          <w:rFonts w:ascii="Times New Roman" w:hAnsi="Times New Roman"/>
        </w:rPr>
        <w:t>地方标准</w:t>
      </w:r>
    </w:p>
    <w:p>
      <w:pPr>
        <w:pStyle w:val="131"/>
        <w:framePr w:wrap="around"/>
        <w:rPr>
          <w:rFonts w:ascii="Times New Roman"/>
        </w:rPr>
      </w:pPr>
      <w:r>
        <w:rPr>
          <w:rFonts w:ascii="Times New Roman"/>
        </w:rPr>
        <w:t>DB</w:t>
      </w:r>
      <w:r>
        <w:rPr>
          <w:rFonts w:hint="eastAsia" w:ascii="Times New Roman"/>
        </w:rPr>
        <w:t>11</w:t>
      </w:r>
      <w:r>
        <w:rPr>
          <w:rFonts w:ascii="Times New Roman"/>
        </w:rPr>
        <w:t>/</w:t>
      </w:r>
      <w:r>
        <w:rPr>
          <w:rFonts w:hint="eastAsia" w:ascii="Times New Roman"/>
        </w:rPr>
        <w:t>T</w:t>
      </w:r>
      <w:r>
        <w:rPr>
          <w:rFonts w:ascii="Times New Roman"/>
        </w:rPr>
        <w:t xml:space="preserve"> </w:t>
      </w:r>
      <w:r>
        <w:rPr>
          <w:rFonts w:hint="eastAsia" w:ascii="Times New Roman"/>
        </w:rPr>
        <w:t>XXXX</w:t>
      </w:r>
      <w:r>
        <w:rPr>
          <w:rFonts w:ascii="Times New Roman"/>
        </w:rPr>
        <w:t>—</w:t>
      </w:r>
      <w:bookmarkStart w:id="3"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3"/>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8"/>
              <w:framePr w:wrap="around"/>
              <w:wordWrap w:val="0"/>
              <w:rPr>
                <w:rFonts w:ascii="Times New Roman"/>
              </w:rPr>
            </w:pPr>
            <w:bookmarkStart w:id="4"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9p9RCqoBAABnAwAADgAAAAAAAAABACAAAAA7AQAAZHJzL2Uyb0RvYy54&#10;bWxQSwUGAAAAAAYABgBZAQAAVwUAAAAA&#10;">
                      <v:fill on="t" focussize="0,0"/>
                      <v:stroke on="f"/>
                      <v:imagedata o:title=""/>
                      <o:lock v:ext="edit" aspectratio="f"/>
                    </v:rect>
                  </w:pict>
                </mc:Fallback>
              </mc:AlternateContent>
            </w:r>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r>
              <w:rPr>
                <w:rFonts w:ascii="Times New Roman"/>
              </w:rPr>
              <w:t xml:space="preserve">          </w:t>
            </w:r>
          </w:p>
        </w:tc>
      </w:tr>
    </w:tbl>
    <w:p>
      <w:pPr>
        <w:pStyle w:val="131"/>
        <w:framePr w:wrap="around"/>
        <w:rPr>
          <w:rFonts w:ascii="Times New Roman"/>
        </w:rPr>
      </w:pPr>
    </w:p>
    <w:p>
      <w:pPr>
        <w:pStyle w:val="131"/>
        <w:framePr w:wrap="around"/>
        <w:rPr>
          <w:rFonts w:ascii="Times New Roman"/>
        </w:rPr>
      </w:pPr>
    </w:p>
    <w:p>
      <w:pPr>
        <w:pStyle w:val="114"/>
        <w:framePr w:wrap="around" w:hAnchor="page" w:x="1495" w:y="14115"/>
      </w:pPr>
      <w:bookmarkStart w:id="5" w:name="FY"/>
      <w:r>
        <w:rPr>
          <w:rFonts w:hint="eastAsia"/>
        </w:rPr>
        <w:t>XXXX</w:t>
      </w:r>
      <w:bookmarkEnd w:id="5"/>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t>发布</w:t>
      </w:r>
    </w:p>
    <w:p>
      <w:pPr>
        <w:pStyle w:val="136"/>
        <w:framePr w:wrap="around"/>
        <w:ind w:right="560"/>
        <w:jc w:val="both"/>
      </w:pPr>
      <w:bookmarkStart w:id="7"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7"/>
      <w:r>
        <w:t xml:space="preserve"> - </w:t>
      </w:r>
      <w:bookmarkStart w:id="8"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8"/>
      <w:r>
        <w:t xml:space="preserve"> - </w:t>
      </w:r>
      <w:bookmarkStart w:id="9"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9"/>
      <w:r>
        <w:t>实施</w:t>
      </w:r>
    </w:p>
    <w:p>
      <w:pPr>
        <w:pStyle w:val="101"/>
        <w:framePr w:wrap="around"/>
        <w:rPr>
          <w:rFonts w:ascii="Times New Roman"/>
        </w:rPr>
      </w:pPr>
      <w:bookmarkStart w:id="10"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北京市</w:t>
      </w:r>
      <w:r>
        <w:rPr>
          <w:rFonts w:hint="eastAsia" w:ascii="Times New Roman"/>
        </w:rPr>
        <w:t>市场监督管理</w:t>
      </w:r>
      <w:r>
        <w:rPr>
          <w:rFonts w:ascii="Times New Roman"/>
        </w:rPr>
        <w:t>局</w:t>
      </w:r>
      <w:r>
        <w:rPr>
          <w:rFonts w:ascii="Times New Roman"/>
        </w:rPr>
        <w:fldChar w:fldCharType="end"/>
      </w:r>
      <w:bookmarkEnd w:id="10"/>
      <w:r>
        <w:rPr>
          <w:rFonts w:ascii="Times New Roman" w:eastAsia="MS Mincho"/>
        </w:rPr>
        <w:t>   </w:t>
      </w:r>
      <w:r>
        <w:rPr>
          <w:rStyle w:val="56"/>
          <w:rFonts w:ascii="Times New Roman"/>
        </w:rPr>
        <w:t>发布</w:t>
      </w:r>
    </w:p>
    <w:p>
      <w:pPr>
        <w:pStyle w:val="74"/>
        <w:framePr w:wrap="around"/>
        <w:ind w:firstLine="210"/>
        <w:rPr>
          <w:rFonts w:ascii="Times New Roman"/>
        </w:rPr>
      </w:pPr>
      <w:r>
        <w:rPr>
          <w:rFonts w:ascii="Times New Roman"/>
        </w:rPr>
        <w:fldChar w:fldCharType="begin">
          <w:ffData>
            <w:name w:val="StdName"/>
            <w:enabled/>
            <w:calcOnExit w:val="0"/>
            <w:textInput>
              <w:default w:val="重大活动应急预案编制指南"/>
            </w:textInput>
          </w:ffData>
        </w:fldChar>
      </w:r>
      <w:bookmarkStart w:id="11" w:name="StdName"/>
      <w:r>
        <w:rPr>
          <w:rFonts w:ascii="Times New Roman"/>
        </w:rPr>
        <w:instrText xml:space="preserve"> FORMTEXT </w:instrText>
      </w:r>
      <w:r>
        <w:rPr>
          <w:rFonts w:ascii="Times New Roman"/>
        </w:rPr>
        <w:fldChar w:fldCharType="separate"/>
      </w:r>
      <w:r>
        <w:rPr>
          <w:rFonts w:hint="eastAsia" w:ascii="Times New Roman"/>
        </w:rPr>
        <w:t>重大活动应急预案编制指南</w:t>
      </w:r>
      <w:r>
        <w:rPr>
          <w:rFonts w:ascii="Times New Roman"/>
        </w:rPr>
        <w:fldChar w:fldCharType="end"/>
      </w:r>
      <w:bookmarkEnd w:id="11"/>
    </w:p>
    <w:p>
      <w:pPr>
        <w:pStyle w:val="73"/>
        <w:framePr w:wrap="around"/>
        <w:rPr>
          <w:rFonts w:ascii="黑体"/>
        </w:rPr>
      </w:pPr>
      <w:r>
        <w:rPr>
          <w:rFonts w:ascii="黑体"/>
        </w:rPr>
        <w:fldChar w:fldCharType="begin">
          <w:ffData>
            <w:name w:val="StdEnglishName"/>
            <w:enabled/>
            <w:calcOnExit w:val="0"/>
            <w:textInput>
              <w:default w:val="Guidelines for organiser to develop emergency response plan for major events"/>
            </w:textInput>
          </w:ffData>
        </w:fldChar>
      </w:r>
      <w:bookmarkStart w:id="12" w:name="StdEnglishName"/>
      <w:r>
        <w:rPr>
          <w:rFonts w:ascii="黑体"/>
        </w:rPr>
        <w:instrText xml:space="preserve"> FORMTEXT </w:instrText>
      </w:r>
      <w:r>
        <w:rPr>
          <w:rFonts w:ascii="黑体"/>
        </w:rPr>
        <w:fldChar w:fldCharType="separate"/>
      </w:r>
      <w:r>
        <w:rPr>
          <w:rFonts w:ascii="黑体"/>
        </w:rPr>
        <w:t>Guidelines for organiser to develop emergency response plan for major events</w:t>
      </w:r>
      <w:r>
        <w:rPr>
          <w:rFonts w:ascii="黑体"/>
        </w:rPr>
        <w:fldChar w:fldCharType="end"/>
      </w:r>
      <w:bookmarkEnd w:id="12"/>
    </w:p>
    <w:p>
      <w:pPr>
        <w:pStyle w:val="72"/>
        <w:framePr w:wrap="around"/>
        <w:spacing w:before="156" w:after="156"/>
        <w:rPr>
          <w:rFonts w:ascii="Times New Roman"/>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1"/>
              <w:framePr w:wrap="around"/>
              <w:spacing w:before="156" w:after="156"/>
              <w:rPr>
                <w:rFonts w:ascii="Times New Roman"/>
              </w:rPr>
            </w:pPr>
            <w:r>
              <w:rPr>
                <w:rFonts w:ascii="Times New Roman"/>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WJrpLVAAAACgEAAA8AAAAAAAAAAQAgAAAAOAAAAGRycy9kb3ducmV2LnhtbFBL&#10;AQIUABQAAAAIAIdO4kAQmAjuqgEAAGcDAAAOAAAAAAAAAAEAIAAAADoBAABkcnMvZTJvRG9jLnht&#10;bFBLBQYAAAAABgAGAFkBAABWBQ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D4Yvl1gAAAAkBAAAPAAAAAAAAAAEAIAAAADgAAABkcnMvZG93bnJldi54bWxQ&#10;SwECFAAUAAAACACHTuJASvrPqaoBAABnAwAADgAAAAAAAAABACAAAAA7AQAAZHJzL2Uyb0RvYy54&#10;bWxQSwUGAAAAAAYABgBZAQAAVwUAAAAA&#10;">
                      <v:fill on="t" focussize="0,0"/>
                      <v:stroke on="f"/>
                      <v:imagedata o:title=""/>
                      <o:lock v:ext="edit" aspectratio="f"/>
                    </v:rect>
                  </w:pict>
                </mc:Fallback>
              </mc:AlternateContent>
            </w:r>
            <w:r>
              <w:rPr>
                <w:rFonts w:hint="eastAsia" w:asci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3"/>
              <w:framePr w:wrap="around"/>
              <w:spacing w:before="936" w:beforeLines="300" w:after="93" w:afterLines="30" w:line="240" w:lineRule="auto"/>
              <w:textAlignment w:val="bottom"/>
              <w:rPr>
                <w:rFonts w:hAnsi="宋体"/>
              </w:rPr>
            </w:pPr>
          </w:p>
        </w:tc>
      </w:tr>
    </w:tbl>
    <w:p>
      <w:pPr>
        <w:pStyle w:val="24"/>
        <w:rPr>
          <w:rFonts w:ascii="Times New Roman"/>
        </w:rPr>
        <w:sectPr>
          <w:headerReference r:id="rId3" w:type="even"/>
          <w:footerReference r:id="rId4" w:type="even"/>
          <w:pgSz w:w="11906" w:h="16838"/>
          <w:pgMar w:top="567" w:right="850" w:bottom="1134" w:left="1418"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64384" behindDoc="0" locked="1" layoutInCell="1" allowOverlap="1">
                <wp:simplePos x="0" y="0"/>
                <wp:positionH relativeFrom="column">
                  <wp:posOffset>65405</wp:posOffset>
                </wp:positionH>
                <wp:positionV relativeFrom="page">
                  <wp:posOffset>9251950</wp:posOffset>
                </wp:positionV>
                <wp:extent cx="6184900" cy="0"/>
                <wp:effectExtent l="0" t="0" r="0" b="0"/>
                <wp:wrapNone/>
                <wp:docPr id="6" name="直线 16"/>
                <wp:cNvGraphicFramePr/>
                <a:graphic xmlns:a="http://schemas.openxmlformats.org/drawingml/2006/main">
                  <a:graphicData uri="http://schemas.microsoft.com/office/word/2010/wordprocessingShape">
                    <wps:wsp>
                      <wps:cNvCnPr/>
                      <wps:spPr>
                        <a:xfrm>
                          <a:off x="0" y="0"/>
                          <a:ext cx="618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5.15pt;margin-top:728.5pt;height:0pt;width:487pt;mso-position-vertical-relative:page;z-index:251664384;mso-width-relative:page;mso-height-relative:page;" filled="f" stroked="t" coordsize="21600,21600" o:gfxdata="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n5Daq1QAAAAwBAAAPAAAAAAAAAAEAIAAAADgAAABkcnMvZG93bnJldi54bWxQSwEC&#10;FAAUAAAACACHTuJA7LgKAOEBAADQAwAADgAAAAAAAAABACAAAAA6AQAAZHJzL2Uyb0RvYy54bWxQ&#10;SwUGAAAAAAYABgBZAQAAjQUAAAAA&#10;">
                <v:fill on="f" focussize="0,0"/>
                <v:stroke color="#000000" joinstyle="round"/>
                <v:imagedata o:title=""/>
                <o:lock v:ext="edit" aspectratio="f"/>
                <w10:anchorlock/>
              </v:lin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CQeJf1wAAAAkBAAAPAAAAAAAAAAEAIAAAADgAAABkcnMvZG93bnJldi54bWxQSwEC&#10;FAAUAAAACACHTuJAbNgTpN8BAADQAwAADgAAAAAAAAABACAAAAA8AQAAZHJzL2Uyb0RvYy54bWxQ&#10;SwUGAAAAAAYABgBZAQAAjQUAAAAA&#10;">
                <v:fill on="f" focussize="0,0"/>
                <v:stroke color="#000000" joinstyle="round"/>
                <v:imagedata o:title=""/>
                <o:lock v:ext="edit" aspectratio="f"/>
              </v:line>
            </w:pict>
          </mc:Fallback>
        </mc:AlternateContent>
      </w:r>
    </w:p>
    <w:p>
      <w:pPr>
        <w:pStyle w:val="20"/>
        <w:spacing w:before="624" w:beforeLines="200" w:after="624" w:afterLines="200"/>
        <w:jc w:val="center"/>
        <w:rPr>
          <w:rFonts w:ascii="黑体" w:hAnsi="黑体" w:eastAsia="黑体" w:cs="黑体"/>
          <w:sz w:val="32"/>
          <w:szCs w:val="40"/>
        </w:rPr>
      </w:pPr>
      <w:bookmarkStart w:id="13" w:name="_Toc159834045"/>
      <w:bookmarkStart w:id="14" w:name="_Toc437577432"/>
      <w:bookmarkStart w:id="15" w:name="_Toc162173273"/>
      <w:bookmarkStart w:id="16" w:name="_Toc163200027"/>
      <w:bookmarkStart w:id="17" w:name="_Toc163724896"/>
      <w:bookmarkStart w:id="18" w:name="_Toc161732563"/>
      <w:bookmarkStart w:id="19" w:name="_Toc426119177"/>
      <w:bookmarkStart w:id="20" w:name="_Toc160454773"/>
      <w:bookmarkStart w:id="21" w:name="_Toc149589908"/>
      <w:bookmarkStart w:id="22" w:name="_Toc160455202"/>
      <w:bookmarkStart w:id="23" w:name="_Toc434327028"/>
      <w:bookmarkStart w:id="24" w:name="_Toc151857409"/>
      <w:r>
        <w:rPr>
          <w:rFonts w:hint="eastAsia" w:ascii="黑体" w:hAnsi="黑体" w:eastAsia="黑体" w:cs="黑体"/>
          <w:sz w:val="32"/>
          <w:szCs w:val="40"/>
        </w:rPr>
        <w:t>目</w:t>
      </w:r>
      <w:bookmarkStart w:id="25" w:name="BKML"/>
      <w:r>
        <w:rPr>
          <w:rFonts w:hint="eastAsia" w:ascii="黑体" w:hAnsi="黑体" w:eastAsia="黑体" w:cs="黑体"/>
          <w:sz w:val="32"/>
          <w:szCs w:val="40"/>
        </w:rPr>
        <w:t>  次</w:t>
      </w:r>
      <w:bookmarkEnd w:id="13"/>
      <w:bookmarkEnd w:id="14"/>
      <w:bookmarkEnd w:id="15"/>
      <w:bookmarkEnd w:id="16"/>
      <w:bookmarkEnd w:id="17"/>
      <w:bookmarkEnd w:id="18"/>
      <w:bookmarkEnd w:id="19"/>
      <w:bookmarkEnd w:id="20"/>
      <w:bookmarkEnd w:id="21"/>
      <w:bookmarkEnd w:id="22"/>
      <w:bookmarkEnd w:id="23"/>
      <w:bookmarkEnd w:id="24"/>
      <w:bookmarkEnd w:id="25"/>
    </w:p>
    <w:p>
      <w:pPr>
        <w:pStyle w:val="20"/>
        <w:spacing w:before="78" w:after="78"/>
        <w:rPr>
          <w:rFonts w:asciiTheme="majorEastAsia" w:hAnsiTheme="majorEastAsia" w:eastAsiaTheme="majorEastAsia" w:cstheme="minorBidi"/>
          <w:szCs w:val="22"/>
          <w14:ligatures w14:val="standardContextual"/>
        </w:rPr>
      </w:pPr>
      <w:r>
        <w:rPr>
          <w:rFonts w:ascii="Times New Roman" w:hAnsi="宋体"/>
          <w:szCs w:val="24"/>
        </w:rPr>
        <w:fldChar w:fldCharType="begin"/>
      </w:r>
      <w:r>
        <w:rPr>
          <w:rFonts w:hAnsi="宋体"/>
        </w:rPr>
        <w:instrText xml:space="preserve"> TOC \o "1-3" \h \z \u </w:instrText>
      </w:r>
      <w:r>
        <w:rPr>
          <w:rFonts w:ascii="Times New Roman" w:hAnsi="宋体"/>
          <w:szCs w:val="24"/>
        </w:rPr>
        <w:fldChar w:fldCharType="separate"/>
      </w:r>
      <w:r>
        <w:fldChar w:fldCharType="begin"/>
      </w:r>
      <w:r>
        <w:instrText xml:space="preserve"> HYPERLINK \l "_Toc166532018" </w:instrText>
      </w:r>
      <w:r>
        <w:fldChar w:fldCharType="separate"/>
      </w:r>
      <w:r>
        <w:rPr>
          <w:rStyle w:val="42"/>
          <w:rFonts w:asciiTheme="majorEastAsia" w:hAnsiTheme="majorEastAsia" w:eastAsiaTheme="majorEastAsia"/>
        </w:rPr>
        <w:t>前  言</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_Toc166532018 \h </w:instrText>
      </w:r>
      <w:r>
        <w:rPr>
          <w:rFonts w:asciiTheme="majorEastAsia" w:hAnsiTheme="majorEastAsia" w:eastAsiaTheme="majorEastAsia"/>
        </w:rPr>
        <w:fldChar w:fldCharType="separate"/>
      </w:r>
      <w:r>
        <w:rPr>
          <w:rFonts w:asciiTheme="majorEastAsia" w:hAnsiTheme="majorEastAsia" w:eastAsiaTheme="majorEastAsia"/>
        </w:rPr>
        <w:t>II</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"_Toc166532020" </w:instrText>
      </w:r>
      <w:r>
        <w:fldChar w:fldCharType="separate"/>
      </w:r>
      <w:r>
        <w:rPr>
          <w:rStyle w:val="42"/>
          <w:rFonts w:asciiTheme="majorEastAsia" w:hAnsiTheme="majorEastAsia" w:eastAsiaTheme="majorEastAsia"/>
        </w:rPr>
        <w:t>1 范围</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_Toc166532020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"_Toc166532021" </w:instrText>
      </w:r>
      <w:r>
        <w:fldChar w:fldCharType="separate"/>
      </w:r>
      <w:r>
        <w:rPr>
          <w:rStyle w:val="42"/>
          <w:rFonts w:asciiTheme="majorEastAsia" w:hAnsiTheme="majorEastAsia" w:eastAsiaTheme="majorEastAsia"/>
        </w:rPr>
        <w:t>2 规范性文件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_Toc166532021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"_Toc166532022" </w:instrText>
      </w:r>
      <w:r>
        <w:fldChar w:fldCharType="separate"/>
      </w:r>
      <w:r>
        <w:rPr>
          <w:rStyle w:val="42"/>
          <w:rFonts w:asciiTheme="majorEastAsia" w:hAnsiTheme="majorEastAsia" w:eastAsiaTheme="majorEastAsia"/>
        </w:rPr>
        <w:t>3 术语和定义</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_Toc166532022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"_Toc166532025" </w:instrText>
      </w:r>
      <w:r>
        <w:fldChar w:fldCharType="separate"/>
      </w:r>
      <w:r>
        <w:rPr>
          <w:rStyle w:val="42"/>
          <w:rFonts w:asciiTheme="majorEastAsia" w:hAnsiTheme="majorEastAsia" w:eastAsiaTheme="majorEastAsia"/>
        </w:rPr>
        <w:t>4 编制原则</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_Toc166532025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"_Toc166532026" </w:instrText>
      </w:r>
      <w:r>
        <w:fldChar w:fldCharType="separate"/>
      </w:r>
      <w:r>
        <w:rPr>
          <w:rStyle w:val="42"/>
          <w:rFonts w:asciiTheme="majorEastAsia" w:hAnsiTheme="majorEastAsia" w:eastAsiaTheme="majorEastAsia"/>
        </w:rPr>
        <w:t>4.1 首都特色</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_Toc166532026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"_Toc166532027" </w:instrText>
      </w:r>
      <w:r>
        <w:fldChar w:fldCharType="separate"/>
      </w:r>
      <w:r>
        <w:rPr>
          <w:rStyle w:val="42"/>
          <w:rFonts w:asciiTheme="majorEastAsia" w:hAnsiTheme="majorEastAsia" w:eastAsiaTheme="majorEastAsia"/>
        </w:rPr>
        <w:t>4.2 系统全面</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_Toc166532027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"_Toc166532028" </w:instrText>
      </w:r>
      <w:r>
        <w:fldChar w:fldCharType="separate"/>
      </w:r>
      <w:r>
        <w:rPr>
          <w:rStyle w:val="42"/>
          <w:rFonts w:asciiTheme="majorEastAsia" w:hAnsiTheme="majorEastAsia" w:eastAsiaTheme="majorEastAsia"/>
        </w:rPr>
        <w:t>4.3 分级负责</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_Toc166532028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"_Toc166532029" </w:instrText>
      </w:r>
      <w:r>
        <w:fldChar w:fldCharType="separate"/>
      </w:r>
      <w:r>
        <w:rPr>
          <w:rStyle w:val="42"/>
          <w:rFonts w:asciiTheme="majorEastAsia" w:hAnsiTheme="majorEastAsia" w:eastAsiaTheme="majorEastAsia"/>
        </w:rPr>
        <w:t>4.4 动态完善</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_Toc166532029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"_Toc166532030" </w:instrText>
      </w:r>
      <w:r>
        <w:fldChar w:fldCharType="separate"/>
      </w:r>
      <w:r>
        <w:rPr>
          <w:rStyle w:val="42"/>
          <w:rFonts w:asciiTheme="majorEastAsia" w:hAnsiTheme="majorEastAsia" w:eastAsiaTheme="majorEastAsia"/>
        </w:rPr>
        <w:t>5 编制程序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_Toc166532030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"_Toc166532031" </w:instrText>
      </w:r>
      <w:r>
        <w:fldChar w:fldCharType="separate"/>
      </w:r>
      <w:r>
        <w:rPr>
          <w:rStyle w:val="42"/>
          <w:rFonts w:asciiTheme="majorEastAsia" w:hAnsiTheme="majorEastAsia" w:eastAsiaTheme="majorEastAsia"/>
        </w:rPr>
        <w:t>5.1 确定编制工作组</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_Toc166532031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"_Toc166532032" </w:instrText>
      </w:r>
      <w:r>
        <w:fldChar w:fldCharType="separate"/>
      </w:r>
      <w:r>
        <w:rPr>
          <w:rStyle w:val="42"/>
          <w:rFonts w:asciiTheme="majorEastAsia" w:hAnsiTheme="majorEastAsia" w:eastAsiaTheme="majorEastAsia"/>
        </w:rPr>
        <w:t>5.2 开展资源调查与风险识别及评估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_Toc166532032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"_Toc166532036" </w:instrText>
      </w:r>
      <w:r>
        <w:fldChar w:fldCharType="separate"/>
      </w:r>
      <w:r>
        <w:rPr>
          <w:rStyle w:val="42"/>
          <w:rFonts w:asciiTheme="majorEastAsia" w:hAnsiTheme="majorEastAsia" w:eastAsiaTheme="majorEastAsia"/>
        </w:rPr>
        <w:t>5.3 构建预案体系</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_Toc166532036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"_Toc166532043" </w:instrText>
      </w:r>
      <w:r>
        <w:fldChar w:fldCharType="separate"/>
      </w:r>
      <w:r>
        <w:rPr>
          <w:rStyle w:val="42"/>
          <w:rFonts w:asciiTheme="majorEastAsia" w:hAnsiTheme="majorEastAsia" w:eastAsiaTheme="majorEastAsia"/>
        </w:rPr>
        <w:t>6 内容要素</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_Toc166532043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"_Toc166532044" </w:instrText>
      </w:r>
      <w:r>
        <w:fldChar w:fldCharType="separate"/>
      </w:r>
      <w:r>
        <w:rPr>
          <w:rStyle w:val="42"/>
          <w:rFonts w:asciiTheme="majorEastAsia" w:hAnsiTheme="majorEastAsia" w:eastAsiaTheme="majorEastAsia"/>
        </w:rPr>
        <w:t>6.1 总指挥机构总体应急预案</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_Toc166532044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"_Toc166532053" </w:instrText>
      </w:r>
      <w:r>
        <w:fldChar w:fldCharType="separate"/>
      </w:r>
      <w:r>
        <w:rPr>
          <w:rStyle w:val="42"/>
          <w:rFonts w:asciiTheme="majorEastAsia" w:hAnsiTheme="majorEastAsia" w:eastAsiaTheme="majorEastAsia"/>
        </w:rPr>
        <w:t>6.2 总指挥机构专项应急预案</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_Toc166532053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9"/>
        <w:rPr>
          <w:rFonts w:asciiTheme="majorEastAsia" w:hAnsiTheme="majorEastAsia" w:eastAsiaTheme="majorEastAsia" w:cstheme="minorBidi"/>
          <w:szCs w:val="22"/>
          <w14:ligatures w14:val="standardContextual"/>
        </w:rPr>
      </w:pPr>
      <w:r>
        <w:fldChar w:fldCharType="begin"/>
      </w:r>
      <w:r>
        <w:instrText xml:space="preserve"> HYPERLINK \l "_Toc166532064" </w:instrText>
      </w:r>
      <w:r>
        <w:fldChar w:fldCharType="separate"/>
      </w:r>
      <w:r>
        <w:rPr>
          <w:rStyle w:val="42"/>
          <w:rFonts w:asciiTheme="majorEastAsia" w:hAnsiTheme="majorEastAsia" w:eastAsiaTheme="majorEastAsia"/>
        </w:rPr>
        <w:t>6.3 现场处置方案</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_Toc166532064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"_Toc166532071" </w:instrText>
      </w:r>
      <w:r>
        <w:fldChar w:fldCharType="separate"/>
      </w:r>
      <w:r>
        <w:rPr>
          <w:rStyle w:val="42"/>
          <w:rFonts w:asciiTheme="majorEastAsia" w:hAnsiTheme="majorEastAsia" w:eastAsiaTheme="majorEastAsia"/>
        </w:rPr>
        <w:t>附  录  A （资料性） 重大活动风险排查要素参考表</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_Toc166532071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spacing w:before="78" w:after="78"/>
        <w:rPr>
          <w:rFonts w:asciiTheme="majorEastAsia" w:hAnsiTheme="majorEastAsia" w:eastAsiaTheme="majorEastAsia" w:cstheme="minorBidi"/>
          <w:szCs w:val="22"/>
          <w14:ligatures w14:val="standardContextual"/>
        </w:rPr>
      </w:pPr>
      <w:r>
        <w:fldChar w:fldCharType="begin"/>
      </w:r>
      <w:r>
        <w:instrText xml:space="preserve"> HYPERLINK \l "_Toc166532072" </w:instrText>
      </w:r>
      <w:r>
        <w:fldChar w:fldCharType="separate"/>
      </w:r>
      <w:r>
        <w:rPr>
          <w:rStyle w:val="42"/>
          <w:rFonts w:asciiTheme="majorEastAsia" w:hAnsiTheme="majorEastAsia" w:eastAsiaTheme="majorEastAsia"/>
        </w:rPr>
        <w:t>附  录  B （资料性） 预案体系构建参考表</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_Toc166532072 \h </w:instrText>
      </w:r>
      <w:r>
        <w:rPr>
          <w:rFonts w:asciiTheme="majorEastAsia" w:hAnsiTheme="majorEastAsia" w:eastAsiaTheme="majorEastAsia"/>
        </w:rPr>
        <w:fldChar w:fldCharType="separate"/>
      </w:r>
      <w:r>
        <w:rPr>
          <w:rFonts w:asciiTheme="majorEastAsia" w:hAnsiTheme="majorEastAsia" w:eastAsiaTheme="majorEastAsia"/>
        </w:rPr>
        <w:t>12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0"/>
        <w:tabs>
          <w:tab w:val="right" w:leader="dot" w:pos="9354"/>
          <w:tab w:val="clear" w:pos="9241"/>
        </w:tabs>
        <w:spacing w:before="78" w:after="78"/>
        <w:rPr>
          <w:rFonts w:hAnsi="宋体"/>
        </w:rPr>
      </w:pPr>
      <w:r>
        <w:rPr>
          <w:rFonts w:hAnsi="宋体"/>
        </w:rPr>
        <w:fldChar w:fldCharType="end"/>
      </w:r>
      <w:bookmarkStart w:id="26" w:name="_Toc163724897"/>
    </w:p>
    <w:p>
      <w:pPr>
        <w:pStyle w:val="121"/>
        <w:rPr>
          <w:rFonts w:ascii="Times New Roman"/>
        </w:rPr>
      </w:pPr>
      <w:bookmarkStart w:id="27" w:name="_Toc166532018"/>
      <w:r>
        <w:rPr>
          <w:rFonts w:ascii="Times New Roman"/>
        </w:rPr>
        <w:t>前</w:t>
      </w:r>
      <w:bookmarkStart w:id="28" w:name="BKQY"/>
      <w:r>
        <w:rPr>
          <w:rFonts w:ascii="Times New Roman" w:eastAsia="MS Mincho"/>
        </w:rPr>
        <w:t>  </w:t>
      </w:r>
      <w:r>
        <w:rPr>
          <w:rFonts w:ascii="Times New Roman"/>
        </w:rPr>
        <w:t>言</w:t>
      </w:r>
      <w:bookmarkEnd w:id="26"/>
      <w:bookmarkEnd w:id="27"/>
      <w:bookmarkEnd w:id="28"/>
    </w:p>
    <w:p>
      <w:pPr>
        <w:pStyle w:val="24"/>
        <w:rPr>
          <w:rFonts w:hAnsi="宋体"/>
        </w:rPr>
      </w:pPr>
      <w:r>
        <w:rPr>
          <w:rFonts w:hint="eastAsia" w:hAnsi="宋体"/>
        </w:rPr>
        <w:t>本文件按照GB/T 1.1—2020《标准化工作导则  第1部分：标准化文件的结构和起草规则》的规定起草。</w:t>
      </w:r>
    </w:p>
    <w:p>
      <w:pPr>
        <w:pStyle w:val="24"/>
        <w:rPr>
          <w:rFonts w:hAnsi="宋体"/>
        </w:rPr>
      </w:pPr>
      <w:r>
        <w:rPr>
          <w:rFonts w:hint="eastAsia" w:hAnsi="宋体"/>
        </w:rPr>
        <w:t>本文件由北京市应急管理局提出并归口管理。</w:t>
      </w:r>
    </w:p>
    <w:p>
      <w:pPr>
        <w:pStyle w:val="24"/>
        <w:rPr>
          <w:rFonts w:hAnsi="宋体"/>
        </w:rPr>
      </w:pPr>
      <w:r>
        <w:rPr>
          <w:rFonts w:hint="eastAsia" w:hAnsi="宋体"/>
        </w:rPr>
        <w:t>本文件由北京市应急管理局统筹组织实施。</w:t>
      </w:r>
    </w:p>
    <w:p>
      <w:pPr>
        <w:pStyle w:val="24"/>
        <w:rPr>
          <w:rFonts w:hAnsi="宋体"/>
        </w:rPr>
      </w:pPr>
      <w:r>
        <w:rPr>
          <w:rFonts w:hint="eastAsia" w:hAnsi="宋体"/>
        </w:rPr>
        <w:t>本文件起草单位：北京市应急管理局、北京和信安诚风险管理技术有限公司。</w:t>
      </w:r>
    </w:p>
    <w:p>
      <w:pPr>
        <w:pStyle w:val="24"/>
        <w:rPr>
          <w:rFonts w:hAnsi="宋体"/>
        </w:rPr>
        <w:sectPr>
          <w:headerReference r:id="rId5" w:type="default"/>
          <w:footerReference r:id="rId7" w:type="default"/>
          <w:headerReference r:id="rId6" w:type="even"/>
          <w:pgSz w:w="11906" w:h="16838"/>
          <w:pgMar w:top="567" w:right="1134" w:bottom="1134" w:left="1418" w:header="1418" w:footer="1134" w:gutter="0"/>
          <w:pgNumType w:fmt="upperRoman" w:start="1"/>
          <w:cols w:space="720" w:num="1"/>
          <w:formProt w:val="0"/>
          <w:docGrid w:type="lines" w:linePitch="312" w:charSpace="0"/>
        </w:sectPr>
      </w:pPr>
      <w:r>
        <w:rPr>
          <w:rFonts w:hint="eastAsia" w:hAnsi="宋体"/>
        </w:rPr>
        <w:t>本文件主要起草人： ----------</w:t>
      </w:r>
    </w:p>
    <w:p>
      <w:pPr>
        <w:pStyle w:val="111"/>
        <w:rPr>
          <w:rFonts w:ascii="Times New Roman"/>
        </w:rPr>
      </w:pPr>
      <w:bookmarkStart w:id="29" w:name="_Toc163200029"/>
      <w:bookmarkStart w:id="30" w:name="_Toc157026117"/>
      <w:bookmarkStart w:id="31" w:name="_Toc161732565"/>
      <w:bookmarkStart w:id="32" w:name="_Toc166532019"/>
      <w:bookmarkStart w:id="33" w:name="_Toc160454775"/>
      <w:bookmarkStart w:id="34" w:name="_Toc151857411"/>
      <w:bookmarkStart w:id="35" w:name="_Toc160455204"/>
      <w:bookmarkStart w:id="36" w:name="_Toc159834047"/>
      <w:bookmarkStart w:id="37" w:name="_Toc163724898"/>
      <w:bookmarkStart w:id="38" w:name="_Toc162173275"/>
      <w:bookmarkStart w:id="39" w:name="_Toc149589910"/>
      <w:r>
        <w:rPr>
          <w:rFonts w:hint="eastAsia" w:ascii="Times New Roman"/>
        </w:rPr>
        <w:t>重大活动应急预案编制指南</w:t>
      </w:r>
      <w:bookmarkEnd w:id="29"/>
      <w:bookmarkEnd w:id="30"/>
      <w:bookmarkEnd w:id="31"/>
      <w:bookmarkEnd w:id="32"/>
      <w:bookmarkEnd w:id="33"/>
      <w:bookmarkEnd w:id="34"/>
      <w:bookmarkEnd w:id="35"/>
      <w:bookmarkEnd w:id="36"/>
      <w:bookmarkEnd w:id="37"/>
      <w:bookmarkEnd w:id="38"/>
      <w:bookmarkEnd w:id="39"/>
    </w:p>
    <w:p>
      <w:pPr>
        <w:pStyle w:val="76"/>
        <w:spacing w:before="156" w:beforeLines="50" w:after="312" w:afterLines="0"/>
        <w:rPr>
          <w:rFonts w:ascii="Times New Roman"/>
        </w:rPr>
      </w:pPr>
      <w:bookmarkStart w:id="40" w:name="_Toc426113701"/>
      <w:bookmarkStart w:id="41" w:name="_Toc166532020"/>
      <w:bookmarkStart w:id="42" w:name="_Toc163724899"/>
      <w:r>
        <w:rPr>
          <w:rFonts w:ascii="Times New Roman"/>
        </w:rPr>
        <w:t>范围</w:t>
      </w:r>
      <w:bookmarkEnd w:id="40"/>
      <w:bookmarkEnd w:id="41"/>
      <w:bookmarkEnd w:id="42"/>
    </w:p>
    <w:p>
      <w:pPr>
        <w:pStyle w:val="24"/>
        <w:rPr>
          <w:rFonts w:hAnsi="宋体"/>
          <w:szCs w:val="21"/>
        </w:rPr>
      </w:pPr>
      <w:bookmarkStart w:id="43" w:name="_Toc426113702"/>
      <w:r>
        <w:rPr>
          <w:rFonts w:hint="eastAsia" w:hAnsi="宋体"/>
          <w:szCs w:val="21"/>
        </w:rPr>
        <w:t>本文件提供了重大活动应急预案编制原则、编制程序、内容要素的指导。</w:t>
      </w:r>
    </w:p>
    <w:p>
      <w:pPr>
        <w:pStyle w:val="24"/>
        <w:rPr>
          <w:rFonts w:hAnsi="宋体"/>
          <w:szCs w:val="21"/>
        </w:rPr>
      </w:pPr>
      <w:r>
        <w:rPr>
          <w:rFonts w:hint="eastAsia" w:hAnsi="宋体"/>
          <w:szCs w:val="21"/>
        </w:rPr>
        <w:t>本文件适用于指导北京行政区域内开展的重大活动突发事件应急预案编制工作。</w:t>
      </w:r>
    </w:p>
    <w:p>
      <w:pPr>
        <w:pStyle w:val="76"/>
        <w:spacing w:before="156" w:beforeLines="50" w:after="312" w:afterLines="0"/>
        <w:rPr>
          <w:rFonts w:ascii="Times New Roman"/>
        </w:rPr>
      </w:pPr>
      <w:bookmarkStart w:id="44" w:name="_Toc166532021"/>
      <w:bookmarkStart w:id="45" w:name="_Toc163724900"/>
      <w:r>
        <w:rPr>
          <w:rFonts w:hint="eastAsia" w:ascii="Times New Roman"/>
        </w:rPr>
        <w:t>规范性</w:t>
      </w:r>
      <w:r>
        <w:rPr>
          <w:rFonts w:ascii="Times New Roman"/>
        </w:rPr>
        <w:t>文件</w:t>
      </w:r>
      <w:bookmarkEnd w:id="43"/>
      <w:bookmarkEnd w:id="44"/>
      <w:bookmarkEnd w:id="45"/>
    </w:p>
    <w:p>
      <w:pPr>
        <w:pStyle w:val="24"/>
        <w:spacing w:before="156" w:beforeLines="50"/>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Ansi="宋体"/>
          <w:szCs w:val="21"/>
        </w:rPr>
      </w:pPr>
      <w:r>
        <w:rPr>
          <w:rFonts w:hint="eastAsia" w:hAnsi="宋体"/>
          <w:szCs w:val="21"/>
        </w:rPr>
        <w:t>GB/T</w:t>
      </w:r>
      <w:r>
        <w:rPr>
          <w:rFonts w:hAnsi="宋体"/>
          <w:szCs w:val="21"/>
        </w:rPr>
        <w:t xml:space="preserve"> </w:t>
      </w:r>
      <w:r>
        <w:rPr>
          <w:rFonts w:hint="eastAsia" w:hAnsi="宋体"/>
          <w:szCs w:val="21"/>
        </w:rPr>
        <w:t>27921</w:t>
      </w:r>
      <w:r>
        <w:rPr>
          <w:rFonts w:hAnsi="宋体"/>
          <w:szCs w:val="21"/>
        </w:rPr>
        <w:t xml:space="preserve"> </w:t>
      </w:r>
      <w:r>
        <w:rPr>
          <w:rFonts w:hint="eastAsia" w:hAnsi="宋体"/>
          <w:szCs w:val="21"/>
        </w:rPr>
        <w:t>风险管理 风险评估技术</w:t>
      </w:r>
    </w:p>
    <w:p>
      <w:pPr>
        <w:pStyle w:val="24"/>
        <w:rPr>
          <w:rFonts w:hAnsi="宋体"/>
          <w:szCs w:val="21"/>
        </w:rPr>
      </w:pPr>
      <w:r>
        <w:rPr>
          <w:rFonts w:hint="eastAsia" w:hAnsi="宋体"/>
          <w:szCs w:val="21"/>
        </w:rPr>
        <w:t>GB/T 33170.1 大型活动安全要求 第1部分：安全评估</w:t>
      </w:r>
    </w:p>
    <w:p>
      <w:pPr>
        <w:pStyle w:val="76"/>
        <w:spacing w:before="156" w:beforeLines="50" w:after="312" w:afterLines="0"/>
        <w:rPr>
          <w:rFonts w:ascii="Times New Roman"/>
        </w:rPr>
      </w:pPr>
      <w:bookmarkStart w:id="46" w:name="_Toc426113703"/>
      <w:bookmarkEnd w:id="46"/>
      <w:bookmarkStart w:id="47" w:name="_Toc163724901"/>
      <w:bookmarkStart w:id="48" w:name="_Toc166532022"/>
      <w:r>
        <w:rPr>
          <w:rFonts w:ascii="Times New Roman"/>
        </w:rPr>
        <w:t>术语和定义</w:t>
      </w:r>
      <w:bookmarkEnd w:id="47"/>
      <w:bookmarkEnd w:id="48"/>
    </w:p>
    <w:p>
      <w:pPr>
        <w:pStyle w:val="24"/>
        <w:spacing w:before="156" w:beforeLines="50"/>
        <w:rPr>
          <w:rFonts w:hAnsi="宋体"/>
          <w:szCs w:val="21"/>
        </w:rPr>
      </w:pPr>
      <w:r>
        <w:rPr>
          <w:rFonts w:hAnsi="宋体"/>
          <w:szCs w:val="21"/>
        </w:rPr>
        <w:t>下列术语和定义适用于本</w:t>
      </w:r>
      <w:r>
        <w:rPr>
          <w:rFonts w:hint="eastAsia" w:hAnsi="宋体"/>
          <w:szCs w:val="21"/>
        </w:rPr>
        <w:t>文件</w:t>
      </w:r>
      <w:r>
        <w:rPr>
          <w:rFonts w:hAnsi="宋体"/>
          <w:szCs w:val="21"/>
        </w:rPr>
        <w:t>。</w:t>
      </w:r>
    </w:p>
    <w:p>
      <w:pPr>
        <w:pStyle w:val="88"/>
        <w:numPr>
          <w:ilvl w:val="2"/>
          <w:numId w:val="3"/>
        </w:numPr>
        <w:spacing w:before="156" w:after="156" w:afterLines="0"/>
        <w:rPr>
          <w:rFonts w:hAnsi="黑体"/>
        </w:rPr>
      </w:pPr>
      <w:bookmarkStart w:id="49" w:name="_Toc405550803"/>
      <w:bookmarkEnd w:id="49"/>
      <w:bookmarkStart w:id="50" w:name="_Toc405542282"/>
      <w:bookmarkEnd w:id="50"/>
      <w:bookmarkStart w:id="51" w:name="_Toc343784514"/>
      <w:bookmarkEnd w:id="51"/>
      <w:bookmarkStart w:id="52" w:name="_Toc166532023"/>
      <w:bookmarkEnd w:id="52"/>
      <w:bookmarkStart w:id="53" w:name="_Toc400636856"/>
      <w:bookmarkEnd w:id="53"/>
      <w:bookmarkStart w:id="54" w:name="_Toc426119183"/>
      <w:bookmarkEnd w:id="54"/>
      <w:bookmarkStart w:id="55" w:name="_Toc435431335"/>
      <w:bookmarkEnd w:id="55"/>
      <w:bookmarkStart w:id="56" w:name="_Toc405550809"/>
      <w:bookmarkEnd w:id="56"/>
      <w:bookmarkStart w:id="57" w:name="_Toc405550808"/>
      <w:bookmarkEnd w:id="57"/>
      <w:bookmarkStart w:id="58" w:name="_Toc435431336"/>
      <w:bookmarkEnd w:id="58"/>
      <w:bookmarkStart w:id="59" w:name="_Toc400211735"/>
      <w:bookmarkEnd w:id="59"/>
      <w:bookmarkStart w:id="60" w:name="_Toc163724902"/>
      <w:bookmarkEnd w:id="60"/>
      <w:bookmarkStart w:id="61" w:name="_Toc426112595"/>
      <w:bookmarkEnd w:id="61"/>
      <w:bookmarkStart w:id="62" w:name="_Toc341965387"/>
      <w:bookmarkEnd w:id="62"/>
      <w:bookmarkStart w:id="63" w:name="_Toc341965392"/>
      <w:bookmarkEnd w:id="63"/>
      <w:bookmarkStart w:id="64" w:name="_Toc405553008"/>
      <w:bookmarkEnd w:id="64"/>
      <w:bookmarkStart w:id="65" w:name="_Toc405542281"/>
      <w:bookmarkEnd w:id="65"/>
      <w:bookmarkStart w:id="66" w:name="_Toc341965391"/>
      <w:bookmarkEnd w:id="66"/>
      <w:bookmarkStart w:id="67" w:name="_Toc426119188"/>
      <w:bookmarkEnd w:id="67"/>
      <w:bookmarkStart w:id="68" w:name="_Toc405553051"/>
      <w:bookmarkEnd w:id="68"/>
      <w:bookmarkStart w:id="69" w:name="_Toc405542286"/>
      <w:bookmarkEnd w:id="69"/>
      <w:bookmarkStart w:id="70" w:name="_Toc343784519"/>
      <w:bookmarkEnd w:id="70"/>
      <w:bookmarkStart w:id="71" w:name="_Toc343784513"/>
      <w:bookmarkEnd w:id="71"/>
      <w:bookmarkStart w:id="72" w:name="_Toc426112590"/>
      <w:bookmarkEnd w:id="72"/>
      <w:bookmarkStart w:id="73" w:name="_Toc405553046"/>
      <w:bookmarkEnd w:id="73"/>
      <w:bookmarkStart w:id="74" w:name="_Toc426112591"/>
      <w:bookmarkEnd w:id="74"/>
      <w:bookmarkStart w:id="75" w:name="_Toc434327034"/>
      <w:bookmarkEnd w:id="75"/>
      <w:bookmarkStart w:id="76" w:name="_Toc400211739"/>
      <w:bookmarkEnd w:id="76"/>
      <w:bookmarkStart w:id="77" w:name="_Toc405553003"/>
      <w:bookmarkEnd w:id="77"/>
      <w:bookmarkStart w:id="78" w:name="_Toc426119189"/>
      <w:bookmarkEnd w:id="78"/>
      <w:bookmarkStart w:id="79" w:name="_Toc405553047"/>
      <w:bookmarkEnd w:id="79"/>
      <w:bookmarkStart w:id="80" w:name="_Toc400636850"/>
      <w:bookmarkEnd w:id="80"/>
      <w:bookmarkStart w:id="81" w:name="_Toc149589914"/>
      <w:bookmarkEnd w:id="81"/>
      <w:bookmarkStart w:id="82" w:name="_Toc405553052"/>
      <w:bookmarkEnd w:id="82"/>
      <w:bookmarkStart w:id="83" w:name="_Toc343784518"/>
      <w:bookmarkEnd w:id="83"/>
      <w:bookmarkStart w:id="84" w:name="_Toc434327035"/>
      <w:bookmarkEnd w:id="84"/>
      <w:bookmarkStart w:id="85" w:name="_Toc426119184"/>
      <w:bookmarkEnd w:id="85"/>
      <w:bookmarkStart w:id="86" w:name="_Toc405542287"/>
      <w:bookmarkEnd w:id="86"/>
      <w:bookmarkStart w:id="87" w:name="_Toc400636851"/>
      <w:bookmarkEnd w:id="87"/>
      <w:bookmarkStart w:id="88" w:name="_Toc400211734"/>
      <w:bookmarkEnd w:id="88"/>
      <w:bookmarkStart w:id="89" w:name="_Toc405553007"/>
      <w:bookmarkEnd w:id="89"/>
      <w:bookmarkStart w:id="90" w:name="_Toc405550804"/>
      <w:bookmarkEnd w:id="90"/>
      <w:bookmarkStart w:id="91" w:name="_Toc426112596"/>
      <w:bookmarkEnd w:id="91"/>
      <w:bookmarkStart w:id="92" w:name="_Toc437577438"/>
      <w:bookmarkEnd w:id="92"/>
      <w:bookmarkStart w:id="93" w:name="_Toc400211740"/>
      <w:bookmarkEnd w:id="93"/>
      <w:bookmarkStart w:id="94" w:name="_Toc400636855"/>
      <w:bookmarkEnd w:id="94"/>
      <w:bookmarkStart w:id="95" w:name="_Toc405553002"/>
      <w:bookmarkEnd w:id="95"/>
      <w:bookmarkStart w:id="96" w:name="_Toc151857415"/>
      <w:bookmarkStart w:id="97" w:name="_Toc160454779"/>
      <w:bookmarkStart w:id="98" w:name="_Toc160455208"/>
      <w:bookmarkStart w:id="99" w:name="_Toc157026121"/>
      <w:bookmarkStart w:id="100" w:name="_Toc162173279"/>
      <w:bookmarkStart w:id="101" w:name="_Toc159834051"/>
      <w:bookmarkStart w:id="102" w:name="_Toc157686400"/>
      <w:bookmarkStart w:id="103" w:name="_Toc161732569"/>
    </w:p>
    <w:p>
      <w:pPr>
        <w:pStyle w:val="63"/>
        <w:numPr>
          <w:ilvl w:val="0"/>
          <w:numId w:val="0"/>
        </w:numPr>
        <w:spacing w:before="156" w:afterLines="0" w:line="360" w:lineRule="auto"/>
        <w:ind w:firstLine="420" w:firstLineChars="200"/>
        <w:outlineLvl w:val="9"/>
        <w:rPr>
          <w:rFonts w:hAnsi="黑体"/>
        </w:rPr>
      </w:pPr>
      <w:r>
        <w:rPr>
          <w:rFonts w:hint="eastAsia" w:hAnsi="黑体"/>
        </w:rPr>
        <w:t>重大活动</w:t>
      </w:r>
      <w:bookmarkEnd w:id="96"/>
      <w:r>
        <w:rPr>
          <w:rFonts w:hint="eastAsia" w:hAnsi="黑体"/>
        </w:rPr>
        <w:t xml:space="preserve"> </w:t>
      </w:r>
      <w:r>
        <w:rPr>
          <w:rFonts w:hAnsi="黑体"/>
        </w:rPr>
        <w:t>major event</w:t>
      </w:r>
      <w:bookmarkEnd w:id="97"/>
      <w:bookmarkEnd w:id="98"/>
      <w:bookmarkEnd w:id="99"/>
      <w:bookmarkEnd w:id="100"/>
      <w:bookmarkEnd w:id="101"/>
      <w:bookmarkEnd w:id="102"/>
      <w:bookmarkEnd w:id="103"/>
    </w:p>
    <w:p>
      <w:pPr>
        <w:pStyle w:val="24"/>
        <w:jc w:val="left"/>
      </w:pPr>
      <w:r>
        <w:rPr>
          <w:rFonts w:hint="eastAsia"/>
        </w:rPr>
        <w:t>具有重大意义或者重要影响的活动，包括：</w:t>
      </w:r>
    </w:p>
    <w:p>
      <w:pPr>
        <w:pStyle w:val="167"/>
        <w:numPr>
          <w:ilvl w:val="0"/>
          <w:numId w:val="11"/>
        </w:numPr>
        <w:jc w:val="left"/>
      </w:pPr>
      <w:r>
        <w:rPr>
          <w:rFonts w:hint="eastAsia"/>
        </w:rPr>
        <w:t>市政府主办或承办的活动；</w:t>
      </w:r>
    </w:p>
    <w:p>
      <w:pPr>
        <w:pStyle w:val="167"/>
        <w:numPr>
          <w:ilvl w:val="0"/>
          <w:numId w:val="11"/>
        </w:numPr>
        <w:jc w:val="left"/>
      </w:pPr>
      <w:r>
        <w:rPr>
          <w:rFonts w:hint="eastAsia"/>
        </w:rPr>
        <w:t>市政府相关委办局主办或承办的相关业务领域活动；</w:t>
      </w:r>
    </w:p>
    <w:p>
      <w:pPr>
        <w:pStyle w:val="167"/>
        <w:numPr>
          <w:ilvl w:val="0"/>
          <w:numId w:val="11"/>
        </w:numPr>
        <w:jc w:val="left"/>
      </w:pPr>
      <w:r>
        <w:rPr>
          <w:rFonts w:hint="eastAsia"/>
        </w:rPr>
        <w:t>《大型群众性活动安全管理条例》所定义的大型群众性活动。</w:t>
      </w:r>
    </w:p>
    <w:p>
      <w:pPr>
        <w:pStyle w:val="88"/>
        <w:numPr>
          <w:ilvl w:val="2"/>
          <w:numId w:val="3"/>
        </w:numPr>
        <w:spacing w:before="156" w:after="156" w:afterLines="0"/>
        <w:rPr>
          <w:rFonts w:hAnsi="黑体"/>
        </w:rPr>
      </w:pPr>
      <w:bookmarkStart w:id="104" w:name="_Toc166532024"/>
      <w:bookmarkEnd w:id="104"/>
      <w:bookmarkStart w:id="105" w:name="_Toc163724903"/>
      <w:bookmarkEnd w:id="105"/>
      <w:bookmarkStart w:id="106" w:name="_Toc161732570"/>
      <w:bookmarkStart w:id="107" w:name="_Toc162173280"/>
      <w:bookmarkStart w:id="108" w:name="_Toc160455209"/>
      <w:bookmarkStart w:id="109" w:name="_Toc160454780"/>
    </w:p>
    <w:p>
      <w:pPr>
        <w:pStyle w:val="63"/>
        <w:numPr>
          <w:ilvl w:val="0"/>
          <w:numId w:val="0"/>
        </w:numPr>
        <w:spacing w:before="156" w:afterLines="0"/>
        <w:ind w:firstLine="420" w:firstLineChars="200"/>
        <w:outlineLvl w:val="9"/>
        <w:rPr>
          <w:rFonts w:hAnsi="黑体"/>
        </w:rPr>
      </w:pPr>
      <w:r>
        <w:rPr>
          <w:rFonts w:hint="eastAsia" w:hAnsi="黑体"/>
        </w:rPr>
        <w:t>应急预案 emergencyresponse plan</w:t>
      </w:r>
      <w:bookmarkEnd w:id="106"/>
      <w:bookmarkEnd w:id="107"/>
      <w:bookmarkEnd w:id="108"/>
      <w:bookmarkEnd w:id="109"/>
      <w:r>
        <w:rPr>
          <w:rFonts w:hint="eastAsia" w:hAnsi="黑体"/>
        </w:rPr>
        <w:t xml:space="preserve"> for </w:t>
      </w:r>
      <w:r>
        <w:rPr>
          <w:rFonts w:hAnsi="黑体"/>
        </w:rPr>
        <w:t>major event</w:t>
      </w:r>
    </w:p>
    <w:p>
      <w:pPr>
        <w:pStyle w:val="24"/>
        <w:spacing w:before="156" w:beforeLines="50"/>
      </w:pPr>
      <w:r>
        <w:rPr>
          <w:rFonts w:hint="eastAsia"/>
        </w:rPr>
        <w:t>重大活动主办或承办方为依法、迅速、科学、有序应对活动期间突发事件,最大程度减少突发事件及其造成的损害，保障活动安全顺利举行而预先制定的工作方案。</w:t>
      </w:r>
    </w:p>
    <w:p>
      <w:pPr>
        <w:pStyle w:val="76"/>
        <w:spacing w:before="156" w:beforeLines="50" w:after="312" w:afterLines="0"/>
        <w:rPr>
          <w:rFonts w:ascii="Times New Roman"/>
        </w:rPr>
      </w:pPr>
      <w:bookmarkStart w:id="110" w:name="_Toc149589916"/>
      <w:bookmarkEnd w:id="110"/>
      <w:bookmarkStart w:id="111" w:name="_Toc166532025"/>
      <w:bookmarkStart w:id="112" w:name="_Toc163724904"/>
      <w:r>
        <w:rPr>
          <w:rFonts w:hint="eastAsia" w:ascii="Times New Roman"/>
        </w:rPr>
        <w:t>编制原则</w:t>
      </w:r>
      <w:bookmarkEnd w:id="111"/>
      <w:bookmarkEnd w:id="112"/>
    </w:p>
    <w:p>
      <w:pPr>
        <w:pStyle w:val="88"/>
        <w:numPr>
          <w:ilvl w:val="2"/>
          <w:numId w:val="3"/>
        </w:numPr>
        <w:spacing w:before="156" w:after="156" w:afterLines="0"/>
        <w:rPr>
          <w:rFonts w:hAnsi="黑体"/>
        </w:rPr>
      </w:pPr>
      <w:bookmarkStart w:id="113" w:name="_Toc161732577"/>
      <w:bookmarkStart w:id="114" w:name="_Toc160455217"/>
      <w:bookmarkStart w:id="115" w:name="_Toc166532026"/>
      <w:bookmarkStart w:id="116" w:name="_Toc162173282"/>
      <w:bookmarkStart w:id="117" w:name="_Toc163724905"/>
      <w:bookmarkStart w:id="118" w:name="_Toc160454788"/>
      <w:r>
        <w:rPr>
          <w:rFonts w:hint="eastAsia" w:hAnsi="黑体"/>
        </w:rPr>
        <w:t>首都特色</w:t>
      </w:r>
      <w:bookmarkEnd w:id="113"/>
      <w:bookmarkEnd w:id="114"/>
      <w:bookmarkEnd w:id="115"/>
      <w:bookmarkEnd w:id="116"/>
      <w:bookmarkEnd w:id="117"/>
      <w:bookmarkEnd w:id="118"/>
    </w:p>
    <w:p>
      <w:pPr>
        <w:pStyle w:val="24"/>
        <w:spacing w:before="156" w:beforeLines="50"/>
        <w:rPr>
          <w:szCs w:val="22"/>
        </w:rPr>
      </w:pPr>
      <w:r>
        <w:rPr>
          <w:rFonts w:hint="eastAsia"/>
          <w:szCs w:val="22"/>
        </w:rPr>
        <w:t>考虑首都“四个中心”城市战略定位和“四个服务”基本职责对重大活动突发事件应对的各项需求，因地制宜吸收借鉴本市及国内外以往同类活动应急管理经验，建立健全系统完备、科学规范的应急预案体系。</w:t>
      </w:r>
    </w:p>
    <w:p>
      <w:pPr>
        <w:pStyle w:val="88"/>
        <w:numPr>
          <w:ilvl w:val="2"/>
          <w:numId w:val="3"/>
        </w:numPr>
        <w:spacing w:before="156" w:after="156" w:afterLines="0"/>
        <w:rPr>
          <w:rFonts w:hAnsi="黑体"/>
        </w:rPr>
      </w:pPr>
      <w:bookmarkStart w:id="119" w:name="_Toc166532027"/>
      <w:bookmarkStart w:id="120" w:name="_Toc163724906"/>
      <w:bookmarkStart w:id="121" w:name="_Toc162173283"/>
      <w:r>
        <w:rPr>
          <w:rFonts w:hint="eastAsia" w:hAnsi="黑体"/>
        </w:rPr>
        <w:t>系统全面</w:t>
      </w:r>
      <w:bookmarkEnd w:id="119"/>
      <w:bookmarkEnd w:id="120"/>
      <w:bookmarkEnd w:id="121"/>
    </w:p>
    <w:p>
      <w:pPr>
        <w:pStyle w:val="24"/>
        <w:spacing w:before="156" w:beforeLines="50" w:after="78"/>
        <w:rPr>
          <w:rFonts w:hAnsi="宋体" w:cs="宋体"/>
          <w:bCs/>
          <w:sz w:val="18"/>
          <w:szCs w:val="18"/>
        </w:rPr>
      </w:pPr>
      <w:r>
        <w:rPr>
          <w:rFonts w:hint="eastAsia"/>
        </w:rPr>
        <w:t>根据重大活动筹备组织体系、举办流程环节、活动层级规模等特点，科学构建应急预案体系，</w:t>
      </w:r>
      <w:r>
        <w:rPr>
          <w:rFonts w:hint="eastAsia"/>
          <w:szCs w:val="22"/>
        </w:rPr>
        <w:t>加强</w:t>
      </w:r>
      <w:r>
        <w:rPr>
          <w:rFonts w:hint="eastAsia"/>
        </w:rPr>
        <w:t>重大活动应急指挥体系、责任体系、分级响应的内部衔接，注重应急预案与政府及其部门相关预案之间在协同处置、扩大响应等方面的外部衔接，</w:t>
      </w:r>
      <w:r>
        <w:rPr>
          <w:rFonts w:hint="eastAsia"/>
          <w:szCs w:val="22"/>
        </w:rPr>
        <w:t>实现应急预案对各类风险的有效覆盖。</w:t>
      </w:r>
    </w:p>
    <w:p>
      <w:pPr>
        <w:pStyle w:val="88"/>
        <w:numPr>
          <w:ilvl w:val="2"/>
          <w:numId w:val="3"/>
        </w:numPr>
        <w:spacing w:before="156" w:after="156" w:afterLines="0"/>
        <w:rPr>
          <w:rFonts w:hAnsi="黑体"/>
        </w:rPr>
      </w:pPr>
      <w:bookmarkStart w:id="122" w:name="_Toc162173284"/>
      <w:bookmarkStart w:id="123" w:name="_Toc166532028"/>
      <w:bookmarkStart w:id="124" w:name="_Toc163724907"/>
      <w:r>
        <w:rPr>
          <w:rFonts w:hint="eastAsia" w:hAnsi="黑体"/>
        </w:rPr>
        <w:t>分级负责</w:t>
      </w:r>
      <w:bookmarkEnd w:id="122"/>
      <w:bookmarkEnd w:id="123"/>
      <w:bookmarkEnd w:id="124"/>
    </w:p>
    <w:p>
      <w:pPr>
        <w:pStyle w:val="160"/>
        <w:numPr>
          <w:ilvl w:val="3"/>
          <w:numId w:val="3"/>
        </w:numPr>
        <w:spacing w:before="0" w:beforeLines="0" w:after="0" w:afterLines="0"/>
        <w:ind w:left="0"/>
        <w:rPr>
          <w:rFonts w:asciiTheme="minorEastAsia" w:hAnsiTheme="minorEastAsia" w:eastAsiaTheme="minorEastAsia"/>
        </w:rPr>
      </w:pPr>
      <w:r>
        <w:rPr>
          <w:rFonts w:hint="eastAsia" w:asciiTheme="minorEastAsia" w:hAnsiTheme="minorEastAsia" w:eastAsiaTheme="minorEastAsia"/>
        </w:rPr>
        <w:t>坚持“谁使用、谁编制”的工作原则，建立逐级负责的工作机制。重大活动应急指挥机构根据需要，可设为多层级（即：总指挥机构、分指挥机构、各工作组）或双层级（即：总指挥机构、各工作组）。</w:t>
      </w:r>
    </w:p>
    <w:p>
      <w:pPr>
        <w:pStyle w:val="160"/>
        <w:numPr>
          <w:ilvl w:val="3"/>
          <w:numId w:val="3"/>
        </w:numPr>
        <w:spacing w:before="0" w:beforeLines="0" w:after="0" w:afterLines="0"/>
        <w:ind w:left="0"/>
        <w:rPr>
          <w:rFonts w:asciiTheme="minorEastAsia" w:hAnsiTheme="minorEastAsia" w:eastAsiaTheme="minorEastAsia"/>
        </w:rPr>
      </w:pPr>
      <w:r>
        <w:rPr>
          <w:rFonts w:hint="eastAsia" w:asciiTheme="minorEastAsia" w:hAnsiTheme="minorEastAsia" w:eastAsiaTheme="minorEastAsia"/>
        </w:rPr>
        <w:t>重大活动总指挥机构统筹规划、综合协调重大活动应急预案体系建设和管理工作，并负责本级应急预案的编制；各级分指挥机构负责分管领域的应急预案体系建设和管理工作，并负责本级应急预案的编制；各工作组负责根据任务需要编制相应的应急预案或现场处置方案。</w:t>
      </w:r>
    </w:p>
    <w:p>
      <w:pPr>
        <w:pStyle w:val="88"/>
        <w:numPr>
          <w:ilvl w:val="2"/>
          <w:numId w:val="3"/>
        </w:numPr>
        <w:spacing w:before="156" w:after="156" w:afterLines="0"/>
        <w:rPr>
          <w:rFonts w:hAnsi="黑体"/>
        </w:rPr>
      </w:pPr>
      <w:bookmarkStart w:id="125" w:name="_Toc163724908"/>
      <w:bookmarkStart w:id="126" w:name="_Toc162173286"/>
      <w:bookmarkStart w:id="127" w:name="_Toc166532029"/>
      <w:r>
        <w:rPr>
          <w:rFonts w:hint="eastAsia" w:hAnsi="黑体"/>
        </w:rPr>
        <w:t>动态完善</w:t>
      </w:r>
      <w:bookmarkEnd w:id="125"/>
      <w:bookmarkEnd w:id="126"/>
      <w:bookmarkEnd w:id="127"/>
    </w:p>
    <w:p>
      <w:pPr>
        <w:pStyle w:val="24"/>
        <w:spacing w:before="156" w:beforeLines="50"/>
      </w:pPr>
      <w:r>
        <w:rPr>
          <w:rFonts w:hint="eastAsia"/>
        </w:rPr>
        <w:t>应急预案应根据重大活动风险评估与控制结果的变化、重点关注突发事件应对机制和措施的变化，以及重大活动各级应急指挥机构及其职责的调整、重要应急资源的变化、应急演练和彩排预演中发现的问题等情况，及时进行修订完善，提升应急预案的针对性和实用性。</w:t>
      </w:r>
    </w:p>
    <w:p>
      <w:pPr>
        <w:pStyle w:val="76"/>
        <w:spacing w:before="156" w:beforeLines="50" w:after="312" w:afterLines="0"/>
        <w:rPr>
          <w:rFonts w:ascii="Times New Roman"/>
        </w:rPr>
      </w:pPr>
      <w:bookmarkStart w:id="128" w:name="_Toc163724909"/>
      <w:bookmarkStart w:id="129" w:name="_Toc166532030"/>
      <w:r>
        <w:rPr>
          <w:rFonts w:hint="eastAsia" w:ascii="Times New Roman"/>
        </w:rPr>
        <w:t>编制程序</w:t>
      </w:r>
      <w:bookmarkEnd w:id="128"/>
      <w:bookmarkEnd w:id="129"/>
    </w:p>
    <w:p>
      <w:pPr>
        <w:pStyle w:val="88"/>
        <w:numPr>
          <w:ilvl w:val="2"/>
          <w:numId w:val="3"/>
        </w:numPr>
        <w:spacing w:before="156" w:after="156" w:afterLines="0"/>
        <w:rPr>
          <w:rFonts w:hAnsi="黑体"/>
        </w:rPr>
      </w:pPr>
      <w:bookmarkStart w:id="130" w:name="_Toc157686406"/>
      <w:bookmarkStart w:id="131" w:name="_Toc159834057"/>
      <w:bookmarkStart w:id="132" w:name="_Toc157026127"/>
      <w:bookmarkStart w:id="133" w:name="_Toc160455222"/>
      <w:bookmarkStart w:id="134" w:name="_Toc161732583"/>
      <w:bookmarkStart w:id="135" w:name="_Toc163724910"/>
      <w:bookmarkStart w:id="136" w:name="_Toc160454793"/>
      <w:bookmarkStart w:id="137" w:name="_Toc162173292"/>
      <w:bookmarkStart w:id="138" w:name="_Toc166532031"/>
      <w:r>
        <w:rPr>
          <w:rFonts w:hint="eastAsia" w:hAnsi="黑体"/>
        </w:rPr>
        <w:t>确定编制工作组</w:t>
      </w:r>
      <w:bookmarkEnd w:id="130"/>
      <w:bookmarkEnd w:id="131"/>
      <w:bookmarkEnd w:id="132"/>
      <w:bookmarkEnd w:id="133"/>
      <w:bookmarkEnd w:id="134"/>
      <w:bookmarkEnd w:id="135"/>
      <w:bookmarkEnd w:id="136"/>
      <w:bookmarkEnd w:id="137"/>
      <w:bookmarkEnd w:id="138"/>
    </w:p>
    <w:p>
      <w:pPr>
        <w:pStyle w:val="24"/>
        <w:spacing w:before="156" w:beforeLines="50"/>
      </w:pPr>
      <w:r>
        <w:rPr>
          <w:rFonts w:hint="eastAsia"/>
        </w:rPr>
        <w:t>重大活动各级应急指挥机构根据需要组成应急预案编制工作小组，宜吸收预案管理专家及有现场处置经验的人员共同参与编制工作。</w:t>
      </w:r>
    </w:p>
    <w:p>
      <w:pPr>
        <w:pStyle w:val="88"/>
        <w:numPr>
          <w:ilvl w:val="2"/>
          <w:numId w:val="3"/>
        </w:numPr>
        <w:spacing w:before="156" w:after="156" w:afterLines="0"/>
        <w:rPr>
          <w:rFonts w:hAnsi="黑体"/>
        </w:rPr>
      </w:pPr>
      <w:bookmarkStart w:id="139" w:name="_Toc163724911"/>
      <w:bookmarkStart w:id="140" w:name="_Toc162173293"/>
      <w:bookmarkStart w:id="141" w:name="_Toc160455223"/>
      <w:bookmarkStart w:id="142" w:name="_Toc160454794"/>
      <w:bookmarkStart w:id="143" w:name="_Toc159834058"/>
      <w:bookmarkStart w:id="144" w:name="_Toc157026128"/>
      <w:bookmarkStart w:id="145" w:name="_Toc157686407"/>
      <w:bookmarkStart w:id="146" w:name="_Toc161732584"/>
      <w:bookmarkStart w:id="147" w:name="_Toc166532032"/>
      <w:r>
        <w:rPr>
          <w:rFonts w:hint="eastAsia" w:hAnsi="黑体"/>
        </w:rPr>
        <w:t>开展资源调查</w:t>
      </w:r>
      <w:bookmarkEnd w:id="139"/>
      <w:bookmarkEnd w:id="140"/>
      <w:bookmarkEnd w:id="141"/>
      <w:bookmarkEnd w:id="142"/>
      <w:bookmarkEnd w:id="143"/>
      <w:bookmarkEnd w:id="144"/>
      <w:bookmarkEnd w:id="145"/>
      <w:bookmarkEnd w:id="146"/>
      <w:r>
        <w:rPr>
          <w:rFonts w:hint="eastAsia" w:hAnsi="黑体"/>
        </w:rPr>
        <w:t>与风险识别及评估</w:t>
      </w:r>
      <w:bookmarkEnd w:id="147"/>
    </w:p>
    <w:p>
      <w:pPr>
        <w:pStyle w:val="160"/>
        <w:numPr>
          <w:ilvl w:val="3"/>
          <w:numId w:val="3"/>
        </w:numPr>
        <w:spacing w:before="156" w:after="156" w:afterLines="0"/>
        <w:ind w:left="0"/>
      </w:pPr>
      <w:bookmarkStart w:id="148" w:name="_Toc166532033"/>
      <w:r>
        <w:rPr>
          <w:rFonts w:hint="eastAsia"/>
        </w:rPr>
        <w:t>概述</w:t>
      </w:r>
      <w:bookmarkEnd w:id="148"/>
    </w:p>
    <w:p>
      <w:pPr>
        <w:pStyle w:val="24"/>
        <w:spacing w:before="156" w:beforeLines="50"/>
      </w:pPr>
      <w:r>
        <w:rPr>
          <w:rFonts w:hint="eastAsia"/>
        </w:rPr>
        <w:t>组织应急资源调查、危险源排查，识别分析与重大活动相关安全风险，评估危险程度、可能后果及应对能力，为构建突发事件情景、编制应急预案提供依据。</w:t>
      </w:r>
    </w:p>
    <w:p>
      <w:pPr>
        <w:pStyle w:val="160"/>
        <w:numPr>
          <w:ilvl w:val="3"/>
          <w:numId w:val="3"/>
        </w:numPr>
        <w:spacing w:before="156" w:after="156" w:afterLines="0"/>
        <w:ind w:left="0"/>
      </w:pPr>
      <w:bookmarkStart w:id="149" w:name="_Toc166532034"/>
      <w:r>
        <w:rPr>
          <w:rFonts w:hint="eastAsia"/>
        </w:rPr>
        <w:t>应急资源调查</w:t>
      </w:r>
      <w:bookmarkEnd w:id="149"/>
    </w:p>
    <w:p>
      <w:pPr>
        <w:pStyle w:val="24"/>
        <w:jc w:val="left"/>
      </w:pPr>
      <w:r>
        <w:rPr>
          <w:rFonts w:hint="eastAsia"/>
        </w:rPr>
        <w:t>全面调查和客观分析重大活动承办区域内可调用的应急资源，以及周边单位和政府部门可请求援助的应急资源状况，包括但不限于下列内容：</w:t>
      </w:r>
      <w:r>
        <w:t xml:space="preserve"> </w:t>
      </w:r>
    </w:p>
    <w:p>
      <w:pPr>
        <w:pStyle w:val="167"/>
        <w:numPr>
          <w:ilvl w:val="0"/>
          <w:numId w:val="12"/>
        </w:numPr>
        <w:jc w:val="left"/>
      </w:pPr>
      <w:r>
        <w:rPr>
          <w:rFonts w:hint="eastAsia"/>
        </w:rPr>
        <w:t>应急队伍、装备、物资、场所等；</w:t>
      </w:r>
    </w:p>
    <w:p>
      <w:pPr>
        <w:pStyle w:val="167"/>
        <w:numPr>
          <w:ilvl w:val="0"/>
          <w:numId w:val="11"/>
        </w:numPr>
        <w:jc w:val="left"/>
      </w:pPr>
      <w:r>
        <w:rPr>
          <w:rFonts w:hint="eastAsia"/>
        </w:rPr>
        <w:t>针对活动举办过程中涉及的风险可采用的监测、监控及报警设施等；</w:t>
      </w:r>
    </w:p>
    <w:p>
      <w:pPr>
        <w:pStyle w:val="167"/>
        <w:numPr>
          <w:ilvl w:val="0"/>
          <w:numId w:val="11"/>
        </w:numPr>
        <w:jc w:val="left"/>
      </w:pPr>
      <w:r>
        <w:rPr>
          <w:rFonts w:hint="eastAsia"/>
        </w:rPr>
        <w:t>可协调使用的治安、医疗、消防、专业抢险救援队伍及其他社会化应急救援力量等；</w:t>
      </w:r>
    </w:p>
    <w:p>
      <w:pPr>
        <w:pStyle w:val="167"/>
        <w:numPr>
          <w:ilvl w:val="0"/>
          <w:numId w:val="11"/>
        </w:numPr>
        <w:jc w:val="left"/>
      </w:pPr>
      <w:r>
        <w:rPr>
          <w:rFonts w:hint="eastAsia"/>
        </w:rPr>
        <w:t>通过改造可利用的应急资源状况。</w:t>
      </w:r>
    </w:p>
    <w:p>
      <w:pPr>
        <w:pStyle w:val="160"/>
        <w:numPr>
          <w:ilvl w:val="3"/>
          <w:numId w:val="3"/>
        </w:numPr>
        <w:spacing w:before="156" w:after="156" w:afterLines="0"/>
        <w:ind w:left="0"/>
      </w:pPr>
      <w:bookmarkStart w:id="150" w:name="_Toc166532035"/>
      <w:r>
        <w:rPr>
          <w:rFonts w:hint="eastAsia"/>
        </w:rPr>
        <w:t>风险识别及评估</w:t>
      </w:r>
      <w:bookmarkEnd w:id="150"/>
    </w:p>
    <w:p>
      <w:pPr>
        <w:pStyle w:val="24"/>
        <w:spacing w:before="156" w:beforeLines="50"/>
      </w:pPr>
      <w:r>
        <w:rPr>
          <w:rFonts w:hint="eastAsia"/>
        </w:rPr>
        <w:t>风险识别可从人员行为因素、设备设施因素、外部环境因素、管理因素等方面辨识可能存在的风险。风险要素参见附录A。风险评估方法宜符合</w:t>
      </w:r>
      <w:r>
        <w:t>GB/T 27921</w:t>
      </w:r>
      <w:r>
        <w:rPr>
          <w:rFonts w:hint="eastAsia"/>
        </w:rPr>
        <w:t>和GB/T</w:t>
      </w:r>
      <w:r>
        <w:t xml:space="preserve"> 33170.1</w:t>
      </w:r>
      <w:r>
        <w:rPr>
          <w:rFonts w:hint="eastAsia"/>
        </w:rPr>
        <w:t>相关要求。</w:t>
      </w:r>
    </w:p>
    <w:p>
      <w:pPr>
        <w:pStyle w:val="88"/>
        <w:numPr>
          <w:ilvl w:val="2"/>
          <w:numId w:val="3"/>
        </w:numPr>
        <w:spacing w:before="156" w:after="156" w:afterLines="0"/>
        <w:rPr>
          <w:rFonts w:hAnsi="黑体"/>
        </w:rPr>
      </w:pPr>
      <w:bookmarkStart w:id="151" w:name="_Toc163724912"/>
      <w:bookmarkStart w:id="152" w:name="_Toc166532036"/>
      <w:bookmarkStart w:id="153" w:name="_Toc162173294"/>
      <w:r>
        <w:rPr>
          <w:rFonts w:hint="eastAsia" w:hAnsi="黑体"/>
        </w:rPr>
        <w:t>构建预案体系</w:t>
      </w:r>
      <w:bookmarkEnd w:id="151"/>
      <w:bookmarkEnd w:id="152"/>
      <w:bookmarkEnd w:id="153"/>
    </w:p>
    <w:p>
      <w:pPr>
        <w:pStyle w:val="160"/>
        <w:numPr>
          <w:ilvl w:val="3"/>
          <w:numId w:val="3"/>
        </w:numPr>
        <w:spacing w:before="156" w:after="156" w:afterLines="0"/>
        <w:ind w:left="0"/>
      </w:pPr>
      <w:bookmarkStart w:id="154" w:name="_Toc166532037"/>
      <w:r>
        <w:rPr>
          <w:rFonts w:hint="eastAsia"/>
        </w:rPr>
        <w:t>分级分类</w:t>
      </w:r>
      <w:bookmarkEnd w:id="154"/>
    </w:p>
    <w:p>
      <w:pPr>
        <w:pStyle w:val="24"/>
        <w:spacing w:before="156" w:beforeLines="50"/>
        <w:jc w:val="left"/>
      </w:pPr>
      <w:r>
        <w:rPr>
          <w:rFonts w:hint="eastAsia"/>
        </w:rPr>
        <w:t>应急预案按照指挥层级划分为总指挥机构应急预案、分指挥机构应急预案，以及各工作组应急预案；按照功能类别划分为总体应急预案、专项应急预案、现场处置方案。</w:t>
      </w:r>
    </w:p>
    <w:p>
      <w:pPr>
        <w:pStyle w:val="160"/>
        <w:numPr>
          <w:ilvl w:val="3"/>
          <w:numId w:val="3"/>
        </w:numPr>
        <w:spacing w:before="156" w:after="156" w:afterLines="0"/>
        <w:ind w:left="0"/>
      </w:pPr>
      <w:bookmarkStart w:id="155" w:name="_Toc166532038"/>
      <w:r>
        <w:rPr>
          <w:rFonts w:hint="eastAsia"/>
        </w:rPr>
        <w:t>规划设计</w:t>
      </w:r>
      <w:bookmarkEnd w:id="155"/>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重大活动各级应急指挥机构应根据重要风险复杂程度，逐级明确预案体系，制定本级应急预案。</w:t>
      </w:r>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重大活动总指挥机构规划明确重大活动应急预案体系，制定总体应急预案、应对极端天气等重要风险的专项应急预案。</w:t>
      </w:r>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重大活动分指挥机构规划明确本领域应急预案体系具体组成，制定分指挥机构总体应急预案、专项应急预案，指导各工作组根据任务需要制定各类现场处置方案。</w:t>
      </w:r>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重大活动风险相对单一，应急指挥机构设置比较简单时，可在总体预案中增加主要突发事件类型的应对机制和流程措施，将总体应急预案与专项应急预案合并编制。预案体系构建可参考附录</w:t>
      </w:r>
      <w:r>
        <w:rPr>
          <w:rFonts w:cs="宋体" w:asciiTheme="minorEastAsia" w:hAnsiTheme="minorEastAsia" w:eastAsiaTheme="minorEastAsia"/>
          <w:bCs/>
        </w:rPr>
        <w:t>B。</w:t>
      </w:r>
    </w:p>
    <w:p>
      <w:pPr>
        <w:pStyle w:val="160"/>
        <w:numPr>
          <w:ilvl w:val="3"/>
          <w:numId w:val="3"/>
        </w:numPr>
        <w:spacing w:before="156" w:after="156" w:afterLines="0"/>
        <w:ind w:left="0"/>
        <w:rPr>
          <w:rFonts w:hAnsi="黑体"/>
        </w:rPr>
      </w:pPr>
      <w:bookmarkStart w:id="156" w:name="_Toc157686409"/>
      <w:bookmarkStart w:id="157" w:name="_Toc159834060"/>
      <w:bookmarkStart w:id="158" w:name="_Toc160454796"/>
      <w:bookmarkStart w:id="159" w:name="_Toc161732586"/>
      <w:bookmarkStart w:id="160" w:name="_Toc160455225"/>
      <w:bookmarkStart w:id="161" w:name="_Toc166532039"/>
      <w:bookmarkStart w:id="162" w:name="_Toc163724913"/>
      <w:bookmarkStart w:id="163" w:name="_Toc157026130"/>
      <w:bookmarkStart w:id="164" w:name="_Toc162173295"/>
      <w:r>
        <w:rPr>
          <w:rFonts w:hint="eastAsia" w:hAnsi="黑体"/>
        </w:rPr>
        <w:t>编写应急预案</w:t>
      </w:r>
      <w:bookmarkEnd w:id="156"/>
      <w:bookmarkEnd w:id="157"/>
      <w:bookmarkEnd w:id="158"/>
      <w:bookmarkEnd w:id="159"/>
      <w:bookmarkEnd w:id="160"/>
      <w:bookmarkEnd w:id="161"/>
      <w:bookmarkEnd w:id="162"/>
      <w:bookmarkEnd w:id="163"/>
      <w:bookmarkEnd w:id="164"/>
    </w:p>
    <w:p>
      <w:pPr>
        <w:pStyle w:val="24"/>
        <w:spacing w:before="156" w:beforeLines="50"/>
        <w:jc w:val="left"/>
        <w:rPr>
          <w:rFonts w:hAnsi="宋体" w:cs="宋体"/>
          <w:bCs/>
        </w:rPr>
      </w:pPr>
      <w:bookmarkStart w:id="165" w:name="_Toc400211742"/>
      <w:bookmarkEnd w:id="165"/>
      <w:bookmarkStart w:id="166" w:name="_Toc405553010"/>
      <w:bookmarkEnd w:id="166"/>
      <w:bookmarkStart w:id="167" w:name="_Toc434327039"/>
      <w:bookmarkEnd w:id="167"/>
      <w:bookmarkStart w:id="168" w:name="_Toc149589920"/>
      <w:bookmarkEnd w:id="168"/>
      <w:bookmarkStart w:id="169" w:name="_Toc426112598"/>
      <w:bookmarkEnd w:id="169"/>
      <w:bookmarkStart w:id="170" w:name="_Toc341965395"/>
      <w:bookmarkEnd w:id="170"/>
      <w:bookmarkStart w:id="171" w:name="_Toc149589919"/>
      <w:bookmarkEnd w:id="171"/>
      <w:bookmarkStart w:id="172" w:name="_Toc405542289"/>
      <w:bookmarkEnd w:id="172"/>
      <w:bookmarkStart w:id="173" w:name="_Toc149589922"/>
      <w:bookmarkEnd w:id="173"/>
      <w:bookmarkStart w:id="174" w:name="_Toc343784522"/>
      <w:bookmarkEnd w:id="174"/>
      <w:bookmarkStart w:id="175" w:name="_Toc400636858"/>
      <w:bookmarkEnd w:id="175"/>
      <w:bookmarkStart w:id="176" w:name="_Toc435431339"/>
      <w:bookmarkEnd w:id="176"/>
      <w:bookmarkStart w:id="177" w:name="_Toc437577442"/>
      <w:bookmarkEnd w:id="177"/>
      <w:bookmarkStart w:id="178" w:name="_Toc149589921"/>
      <w:bookmarkEnd w:id="178"/>
      <w:bookmarkStart w:id="179" w:name="_Toc426119191"/>
      <w:bookmarkEnd w:id="179"/>
      <w:bookmarkStart w:id="180" w:name="_Toc405553054"/>
      <w:bookmarkEnd w:id="180"/>
      <w:bookmarkStart w:id="181" w:name="_Toc405550811"/>
      <w:bookmarkEnd w:id="181"/>
      <w:bookmarkStart w:id="182" w:name="_Toc437577446"/>
      <w:bookmarkStart w:id="183" w:name="_Toc435431343"/>
      <w:r>
        <w:rPr>
          <w:rFonts w:hint="eastAsia" w:hAnsi="宋体" w:cs="宋体"/>
          <w:bCs/>
        </w:rPr>
        <w:t>按照本文件第6章的内容要素</w:t>
      </w:r>
      <w:r>
        <w:rPr>
          <w:rFonts w:hint="eastAsia"/>
          <w:szCs w:val="22"/>
        </w:rPr>
        <w:t>编写应急预案。</w:t>
      </w:r>
    </w:p>
    <w:bookmarkEnd w:id="182"/>
    <w:bookmarkEnd w:id="183"/>
    <w:p>
      <w:pPr>
        <w:pStyle w:val="160"/>
        <w:numPr>
          <w:ilvl w:val="3"/>
          <w:numId w:val="3"/>
        </w:numPr>
        <w:spacing w:before="156" w:after="156" w:afterLines="0"/>
        <w:ind w:left="0"/>
        <w:rPr>
          <w:rFonts w:hAnsi="黑体"/>
        </w:rPr>
      </w:pPr>
      <w:bookmarkStart w:id="184" w:name="_Toc149589927"/>
      <w:bookmarkEnd w:id="184"/>
      <w:bookmarkStart w:id="185" w:name="_Toc149589925"/>
      <w:bookmarkEnd w:id="185"/>
      <w:bookmarkStart w:id="186" w:name="_Toc149589929"/>
      <w:bookmarkEnd w:id="186"/>
      <w:bookmarkStart w:id="187" w:name="_Toc149589928"/>
      <w:bookmarkEnd w:id="187"/>
      <w:bookmarkStart w:id="188" w:name="_Toc149589926"/>
      <w:bookmarkEnd w:id="188"/>
      <w:bookmarkStart w:id="189" w:name="_Toc149589923"/>
      <w:bookmarkEnd w:id="189"/>
      <w:bookmarkStart w:id="190" w:name="_Toc159834061"/>
      <w:bookmarkStart w:id="191" w:name="_Toc151857430"/>
      <w:bookmarkStart w:id="192" w:name="_Toc157026131"/>
      <w:bookmarkStart w:id="193" w:name="_Toc166532040"/>
      <w:bookmarkStart w:id="194" w:name="_Toc160454797"/>
      <w:bookmarkStart w:id="195" w:name="_Toc157686410"/>
      <w:bookmarkStart w:id="196" w:name="_Toc161732587"/>
      <w:bookmarkStart w:id="197" w:name="_Toc163724914"/>
      <w:bookmarkStart w:id="198" w:name="_Toc160455226"/>
      <w:bookmarkStart w:id="199" w:name="_Toc162173296"/>
      <w:bookmarkStart w:id="200" w:name="_Toc437577452"/>
      <w:bookmarkStart w:id="201" w:name="_Toc435431348"/>
      <w:r>
        <w:rPr>
          <w:rFonts w:hint="eastAsia" w:hAnsi="黑体"/>
        </w:rPr>
        <w:t>征求意见</w:t>
      </w:r>
      <w:bookmarkEnd w:id="190"/>
      <w:bookmarkEnd w:id="191"/>
      <w:bookmarkEnd w:id="192"/>
      <w:bookmarkEnd w:id="193"/>
      <w:bookmarkEnd w:id="194"/>
      <w:bookmarkEnd w:id="195"/>
      <w:bookmarkEnd w:id="196"/>
      <w:bookmarkEnd w:id="197"/>
      <w:bookmarkEnd w:id="198"/>
      <w:bookmarkEnd w:id="199"/>
    </w:p>
    <w:bookmarkEnd w:id="200"/>
    <w:bookmarkEnd w:id="201"/>
    <w:p>
      <w:pPr>
        <w:pStyle w:val="24"/>
        <w:spacing w:before="156" w:beforeLines="50"/>
        <w:jc w:val="left"/>
        <w:rPr>
          <w:rFonts w:hAnsi="宋体" w:cs="宋体"/>
          <w:bCs/>
        </w:rPr>
      </w:pPr>
      <w:bookmarkStart w:id="202" w:name="_Toc426112607"/>
      <w:r>
        <w:rPr>
          <w:rFonts w:hint="eastAsia" w:hAnsi="宋体" w:cs="宋体"/>
          <w:bCs/>
        </w:rPr>
        <w:t>形成应急预案初稿后，宜征求本预案涉及部门、单位意见建议。</w:t>
      </w:r>
    </w:p>
    <w:p>
      <w:pPr>
        <w:pStyle w:val="160"/>
        <w:numPr>
          <w:ilvl w:val="3"/>
          <w:numId w:val="3"/>
        </w:numPr>
        <w:spacing w:before="156" w:after="156" w:afterLines="0"/>
        <w:ind w:left="0"/>
        <w:rPr>
          <w:rFonts w:hAnsi="黑体"/>
        </w:rPr>
      </w:pPr>
      <w:bookmarkStart w:id="203" w:name="_Toc149589930"/>
      <w:bookmarkEnd w:id="203"/>
      <w:bookmarkStart w:id="204" w:name="_Toc166532041"/>
      <w:bookmarkStart w:id="205" w:name="_Toc163724915"/>
      <w:bookmarkStart w:id="206" w:name="_Toc151857431"/>
      <w:bookmarkStart w:id="207" w:name="_Toc160455227"/>
      <w:bookmarkStart w:id="208" w:name="_Toc157026132"/>
      <w:bookmarkStart w:id="209" w:name="_Toc160454798"/>
      <w:bookmarkStart w:id="210" w:name="_Toc161732588"/>
      <w:bookmarkStart w:id="211" w:name="_Toc162173297"/>
      <w:bookmarkStart w:id="212" w:name="_Toc159834062"/>
      <w:bookmarkStart w:id="213" w:name="_Toc157686411"/>
      <w:bookmarkStart w:id="214" w:name="_Toc437577454"/>
      <w:bookmarkStart w:id="215" w:name="_Toc435431350"/>
      <w:r>
        <w:rPr>
          <w:rFonts w:hint="eastAsia" w:hAnsi="黑体"/>
        </w:rPr>
        <w:t>开展预案推演</w:t>
      </w:r>
      <w:bookmarkEnd w:id="204"/>
      <w:bookmarkEnd w:id="205"/>
      <w:bookmarkEnd w:id="206"/>
      <w:bookmarkEnd w:id="207"/>
      <w:bookmarkEnd w:id="208"/>
      <w:bookmarkEnd w:id="209"/>
      <w:bookmarkEnd w:id="210"/>
      <w:bookmarkEnd w:id="211"/>
      <w:bookmarkEnd w:id="212"/>
      <w:bookmarkEnd w:id="213"/>
    </w:p>
    <w:p>
      <w:pPr>
        <w:pStyle w:val="24"/>
        <w:spacing w:before="156" w:beforeLines="50"/>
        <w:jc w:val="left"/>
        <w:rPr>
          <w:rFonts w:hAnsi="宋体" w:cs="宋体"/>
          <w:bCs/>
        </w:rPr>
      </w:pPr>
      <w:r>
        <w:rPr>
          <w:rFonts w:hint="eastAsia" w:hAnsi="宋体" w:cs="宋体"/>
          <w:bCs/>
        </w:rPr>
        <w:t>重大活动开展前宜组织应急预案桌面</w:t>
      </w:r>
      <w:r>
        <w:rPr>
          <w:rFonts w:hint="eastAsia" w:hAnsi="黑体"/>
        </w:rPr>
        <w:t>推</w:t>
      </w:r>
      <w:r>
        <w:rPr>
          <w:rFonts w:hint="eastAsia" w:hAnsi="宋体" w:cs="宋体"/>
          <w:bCs/>
        </w:rPr>
        <w:t>演或实战演练，验证预案的合理性和可行性，根据演练评估结果修订完善预案。</w:t>
      </w:r>
    </w:p>
    <w:p>
      <w:pPr>
        <w:pStyle w:val="160"/>
        <w:numPr>
          <w:ilvl w:val="3"/>
          <w:numId w:val="3"/>
        </w:numPr>
        <w:spacing w:before="156" w:after="156" w:afterLines="0"/>
        <w:ind w:left="0"/>
        <w:rPr>
          <w:rFonts w:hAnsi="黑体"/>
        </w:rPr>
      </w:pPr>
      <w:bookmarkStart w:id="216" w:name="_Toc157026133"/>
      <w:bookmarkStart w:id="217" w:name="_Toc160454799"/>
      <w:bookmarkStart w:id="218" w:name="_Toc160455228"/>
      <w:bookmarkStart w:id="219" w:name="_Toc162173298"/>
      <w:bookmarkStart w:id="220" w:name="_Toc157686412"/>
      <w:bookmarkStart w:id="221" w:name="_Toc159834063"/>
      <w:bookmarkStart w:id="222" w:name="_Toc151857432"/>
      <w:bookmarkStart w:id="223" w:name="_Toc161732589"/>
      <w:bookmarkStart w:id="224" w:name="_Toc163724916"/>
      <w:bookmarkStart w:id="225" w:name="_Toc166532042"/>
      <w:r>
        <w:rPr>
          <w:rFonts w:hint="eastAsia" w:hAnsi="黑体"/>
        </w:rPr>
        <w:t>审核发布</w:t>
      </w:r>
      <w:bookmarkEnd w:id="216"/>
      <w:bookmarkEnd w:id="217"/>
      <w:bookmarkEnd w:id="218"/>
      <w:bookmarkEnd w:id="219"/>
      <w:bookmarkEnd w:id="220"/>
      <w:bookmarkEnd w:id="221"/>
      <w:bookmarkEnd w:id="222"/>
      <w:bookmarkEnd w:id="223"/>
      <w:r>
        <w:rPr>
          <w:rFonts w:hint="eastAsia" w:hAnsi="黑体"/>
        </w:rPr>
        <w:t>预案</w:t>
      </w:r>
      <w:bookmarkEnd w:id="224"/>
      <w:bookmarkEnd w:id="225"/>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总指挥机构总体应急预案、专项应急预案宜由重大活动总指挥机构审核同意后印发。</w:t>
      </w:r>
    </w:p>
    <w:p>
      <w:pPr>
        <w:pStyle w:val="161"/>
        <w:numPr>
          <w:ilvl w:val="4"/>
          <w:numId w:val="3"/>
        </w:numPr>
        <w:spacing w:before="0" w:beforeLines="0" w:after="0" w:afterLines="0"/>
        <w:jc w:val="left"/>
        <w:rPr>
          <w:rFonts w:asciiTheme="minorEastAsia" w:hAnsiTheme="minorEastAsia" w:eastAsiaTheme="minorEastAsia"/>
        </w:rPr>
      </w:pPr>
      <w:r>
        <w:rPr>
          <w:rFonts w:hint="eastAsia" w:cs="宋体" w:asciiTheme="minorEastAsia" w:hAnsiTheme="minorEastAsia" w:eastAsiaTheme="minorEastAsia"/>
          <w:bCs/>
        </w:rPr>
        <w:t>分指挥机构应急预案、现场处置工作方案，宜分别由重大活动分指挥机构审核同意后印发，报重大活动总指挥机构备案。</w:t>
      </w:r>
      <w:r>
        <w:rPr>
          <w:rFonts w:hint="eastAsia" w:asciiTheme="minorEastAsia" w:hAnsiTheme="minorEastAsia" w:eastAsiaTheme="minorEastAsia"/>
        </w:rPr>
        <w:t>注明发布主体、施行日期、解释权限、版本号等相关信息。</w:t>
      </w:r>
    </w:p>
    <w:bookmarkEnd w:id="202"/>
    <w:bookmarkEnd w:id="214"/>
    <w:bookmarkEnd w:id="215"/>
    <w:p>
      <w:pPr>
        <w:pStyle w:val="76"/>
        <w:spacing w:before="156" w:beforeLines="50" w:after="312" w:afterLines="0"/>
        <w:rPr>
          <w:rFonts w:ascii="Times New Roman"/>
        </w:rPr>
      </w:pPr>
      <w:bookmarkStart w:id="226" w:name="_Toc163724917"/>
      <w:bookmarkStart w:id="227" w:name="_Toc166532043"/>
      <w:r>
        <w:rPr>
          <w:rFonts w:hint="eastAsia" w:ascii="Times New Roman"/>
        </w:rPr>
        <w:t>内容要素</w:t>
      </w:r>
      <w:bookmarkEnd w:id="226"/>
      <w:bookmarkEnd w:id="227"/>
    </w:p>
    <w:p>
      <w:pPr>
        <w:pStyle w:val="88"/>
        <w:numPr>
          <w:ilvl w:val="2"/>
          <w:numId w:val="3"/>
        </w:numPr>
        <w:spacing w:before="156" w:after="156" w:afterLines="0"/>
        <w:rPr>
          <w:rFonts w:hAnsi="黑体"/>
        </w:rPr>
      </w:pPr>
      <w:bookmarkStart w:id="228" w:name="_Toc163724918"/>
      <w:bookmarkStart w:id="229" w:name="_Toc166532044"/>
      <w:r>
        <w:rPr>
          <w:rFonts w:hint="eastAsia" w:hAnsi="黑体"/>
        </w:rPr>
        <w:t>指挥机构总体应急预案</w:t>
      </w:r>
      <w:bookmarkEnd w:id="228"/>
      <w:bookmarkEnd w:id="229"/>
    </w:p>
    <w:p>
      <w:pPr>
        <w:pStyle w:val="160"/>
        <w:numPr>
          <w:ilvl w:val="3"/>
          <w:numId w:val="3"/>
        </w:numPr>
        <w:spacing w:before="156" w:after="156" w:afterLines="0"/>
        <w:ind w:left="0"/>
        <w:rPr>
          <w:rFonts w:hAnsi="宋体" w:cs="宋体"/>
          <w:bCs/>
        </w:rPr>
      </w:pPr>
      <w:bookmarkStart w:id="230" w:name="_Toc166532045"/>
      <w:r>
        <w:rPr>
          <w:rFonts w:hint="eastAsia" w:hAnsi="宋体" w:cs="宋体"/>
          <w:bCs/>
        </w:rPr>
        <w:t>概述</w:t>
      </w:r>
      <w:bookmarkEnd w:id="230"/>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asciiTheme="minorEastAsia" w:hAnsiTheme="minorEastAsia" w:eastAsiaTheme="minorEastAsia"/>
        </w:rPr>
        <w:t>总指挥机构</w:t>
      </w:r>
      <w:r>
        <w:rPr>
          <w:rFonts w:hint="eastAsia" w:cs="宋体" w:asciiTheme="minorEastAsia" w:hAnsiTheme="minorEastAsia" w:eastAsiaTheme="minorEastAsia"/>
          <w:bCs/>
        </w:rPr>
        <w:t>总体应急预案侧重明确应对重大活动各类突发事件的总体制度安排，内容框架宜包括总则、风险概述、预案体系构成、应急指挥体系、突发事件应对机制、信息发布、应急保障、附件等内容，根据实际需要进行调整。</w:t>
      </w:r>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rPr>
        <w:t>分指挥机构总体应急预案内容可参照总指挥机构总体应急预案进行编写。</w:t>
      </w:r>
    </w:p>
    <w:p>
      <w:pPr>
        <w:pStyle w:val="160"/>
        <w:numPr>
          <w:ilvl w:val="3"/>
          <w:numId w:val="3"/>
        </w:numPr>
        <w:spacing w:before="156" w:after="156" w:afterLines="0"/>
        <w:ind w:left="0"/>
        <w:rPr>
          <w:rFonts w:ascii="Times New Roman"/>
        </w:rPr>
      </w:pPr>
      <w:bookmarkStart w:id="231" w:name="_Toc166532046"/>
      <w:bookmarkStart w:id="232" w:name="_Toc160454802"/>
      <w:bookmarkStart w:id="233" w:name="_Toc160455231"/>
      <w:bookmarkStart w:id="234" w:name="_Toc161732592"/>
      <w:r>
        <w:rPr>
          <w:rFonts w:hint="eastAsia" w:ascii="Times New Roman"/>
        </w:rPr>
        <w:t>总则</w:t>
      </w:r>
      <w:bookmarkEnd w:id="231"/>
      <w:bookmarkEnd w:id="232"/>
      <w:bookmarkEnd w:id="233"/>
      <w:bookmarkEnd w:id="234"/>
    </w:p>
    <w:p>
      <w:pPr>
        <w:pStyle w:val="161"/>
        <w:numPr>
          <w:ilvl w:val="4"/>
          <w:numId w:val="3"/>
        </w:numPr>
        <w:spacing w:before="156" w:after="156" w:afterLines="0"/>
        <w:outlineLvl w:val="9"/>
        <w:rPr>
          <w:rFonts w:ascii="Times New Roman"/>
        </w:rPr>
      </w:pPr>
      <w:r>
        <w:rPr>
          <w:rFonts w:hint="eastAsia" w:ascii="Times New Roman"/>
        </w:rPr>
        <w:t>指导思想</w:t>
      </w:r>
    </w:p>
    <w:p>
      <w:pPr>
        <w:pStyle w:val="24"/>
        <w:jc w:val="left"/>
      </w:pPr>
      <w:r>
        <w:rPr>
          <w:rFonts w:hint="eastAsia"/>
        </w:rPr>
        <w:t>宜包括下列内容：</w:t>
      </w:r>
    </w:p>
    <w:p>
      <w:pPr>
        <w:pStyle w:val="167"/>
        <w:numPr>
          <w:ilvl w:val="0"/>
          <w:numId w:val="12"/>
        </w:numPr>
        <w:jc w:val="left"/>
      </w:pPr>
      <w:r>
        <w:rPr>
          <w:rFonts w:hint="eastAsia"/>
        </w:rPr>
        <w:t>重大活动突发事件应对的总体任务目标;</w:t>
      </w:r>
    </w:p>
    <w:p>
      <w:pPr>
        <w:pStyle w:val="167"/>
        <w:numPr>
          <w:ilvl w:val="0"/>
          <w:numId w:val="11"/>
        </w:numPr>
        <w:jc w:val="left"/>
      </w:pPr>
      <w:r>
        <w:rPr>
          <w:rFonts w:hint="eastAsia"/>
        </w:rPr>
        <w:t>最大程度减少突发事件发生及其造成的影响的基本要求。</w:t>
      </w:r>
    </w:p>
    <w:p>
      <w:pPr>
        <w:pStyle w:val="161"/>
        <w:numPr>
          <w:ilvl w:val="4"/>
          <w:numId w:val="3"/>
        </w:numPr>
        <w:spacing w:before="156" w:after="156" w:afterLines="0"/>
        <w:outlineLvl w:val="9"/>
        <w:rPr>
          <w:rFonts w:ascii="Times New Roman"/>
        </w:rPr>
      </w:pPr>
      <w:r>
        <w:rPr>
          <w:rFonts w:hint="eastAsia" w:ascii="Times New Roman"/>
        </w:rPr>
        <w:t>适用范围</w:t>
      </w:r>
    </w:p>
    <w:p>
      <w:pPr>
        <w:pStyle w:val="24"/>
        <w:jc w:val="left"/>
      </w:pPr>
      <w:r>
        <w:rPr>
          <w:rFonts w:hint="eastAsia"/>
        </w:rPr>
        <w:t>宜包括但不限于下列内容：</w:t>
      </w:r>
    </w:p>
    <w:p>
      <w:pPr>
        <w:pStyle w:val="167"/>
        <w:numPr>
          <w:ilvl w:val="0"/>
          <w:numId w:val="13"/>
        </w:numPr>
        <w:jc w:val="left"/>
      </w:pPr>
      <w:r>
        <w:rPr>
          <w:rFonts w:hint="eastAsia"/>
        </w:rPr>
        <w:t>预案适用的时间、空间范围；</w:t>
      </w:r>
    </w:p>
    <w:p>
      <w:pPr>
        <w:pStyle w:val="167"/>
        <w:numPr>
          <w:ilvl w:val="0"/>
          <w:numId w:val="13"/>
        </w:numPr>
        <w:jc w:val="left"/>
      </w:pPr>
      <w:r>
        <w:rPr>
          <w:rFonts w:hint="eastAsia"/>
        </w:rPr>
        <w:t>预案适用的应急保障对象及应对突发事件类型。</w:t>
      </w:r>
    </w:p>
    <w:p>
      <w:pPr>
        <w:pStyle w:val="160"/>
        <w:numPr>
          <w:ilvl w:val="3"/>
          <w:numId w:val="3"/>
        </w:numPr>
        <w:spacing w:before="156" w:after="156" w:afterLines="0"/>
        <w:ind w:left="0"/>
        <w:rPr>
          <w:rFonts w:ascii="Times New Roman"/>
        </w:rPr>
      </w:pPr>
      <w:bookmarkStart w:id="235" w:name="_Toc160455232"/>
      <w:bookmarkStart w:id="236" w:name="_Toc161732593"/>
      <w:bookmarkStart w:id="237" w:name="_Toc160454803"/>
      <w:bookmarkStart w:id="238" w:name="_Toc166532047"/>
      <w:r>
        <w:rPr>
          <w:rFonts w:hint="eastAsia" w:ascii="Times New Roman"/>
        </w:rPr>
        <w:t>风险概述</w:t>
      </w:r>
      <w:bookmarkEnd w:id="235"/>
      <w:bookmarkEnd w:id="236"/>
      <w:bookmarkEnd w:id="237"/>
      <w:bookmarkEnd w:id="238"/>
    </w:p>
    <w:p>
      <w:pPr>
        <w:pStyle w:val="24"/>
        <w:jc w:val="left"/>
        <w:rPr>
          <w:szCs w:val="22"/>
        </w:rPr>
      </w:pPr>
      <w:r>
        <w:rPr>
          <w:rFonts w:hint="eastAsia"/>
          <w:szCs w:val="22"/>
        </w:rPr>
        <w:t>宜包括但不限于下列内容：</w:t>
      </w:r>
    </w:p>
    <w:p>
      <w:pPr>
        <w:pStyle w:val="167"/>
        <w:numPr>
          <w:ilvl w:val="0"/>
          <w:numId w:val="14"/>
        </w:numPr>
        <w:jc w:val="left"/>
      </w:pPr>
      <w:r>
        <w:rPr>
          <w:rFonts w:hint="eastAsia"/>
        </w:rPr>
        <w:t>重大活动总体风险及各类风险概况，风险分布的位置、存在的活动环节及时间；</w:t>
      </w:r>
    </w:p>
    <w:p>
      <w:pPr>
        <w:pStyle w:val="167"/>
        <w:jc w:val="left"/>
      </w:pPr>
      <w:r>
        <w:rPr>
          <w:rFonts w:hint="eastAsia"/>
        </w:rPr>
        <w:t>需要重点关注的风险概况；</w:t>
      </w:r>
    </w:p>
    <w:p>
      <w:pPr>
        <w:pStyle w:val="167"/>
        <w:jc w:val="left"/>
      </w:pPr>
      <w:r>
        <w:rPr>
          <w:rFonts w:hint="eastAsia"/>
        </w:rPr>
        <w:t>重点防护区域和重要保护目标情况。</w:t>
      </w:r>
    </w:p>
    <w:p>
      <w:pPr>
        <w:pStyle w:val="160"/>
        <w:numPr>
          <w:ilvl w:val="3"/>
          <w:numId w:val="3"/>
        </w:numPr>
        <w:spacing w:before="156" w:after="156" w:afterLines="0"/>
        <w:ind w:left="0"/>
        <w:rPr>
          <w:rFonts w:ascii="Times New Roman"/>
        </w:rPr>
      </w:pPr>
      <w:bookmarkStart w:id="239" w:name="_Toc160454804"/>
      <w:bookmarkStart w:id="240" w:name="_Toc161732594"/>
      <w:bookmarkStart w:id="241" w:name="_Toc160455233"/>
      <w:bookmarkStart w:id="242" w:name="_Toc166532048"/>
      <w:r>
        <w:rPr>
          <w:rFonts w:hint="eastAsia" w:ascii="Times New Roman"/>
        </w:rPr>
        <w:t>体系</w:t>
      </w:r>
      <w:bookmarkEnd w:id="239"/>
      <w:bookmarkEnd w:id="240"/>
      <w:bookmarkEnd w:id="241"/>
      <w:r>
        <w:rPr>
          <w:rFonts w:hint="eastAsia" w:ascii="Times New Roman"/>
        </w:rPr>
        <w:t>构成</w:t>
      </w:r>
      <w:bookmarkEnd w:id="242"/>
    </w:p>
    <w:p>
      <w:pPr>
        <w:pStyle w:val="24"/>
        <w:jc w:val="left"/>
        <w:rPr>
          <w:szCs w:val="22"/>
        </w:rPr>
      </w:pPr>
      <w:r>
        <w:rPr>
          <w:rFonts w:hint="eastAsia"/>
          <w:szCs w:val="22"/>
        </w:rPr>
        <w:t>宜包括但不限于下列内容：</w:t>
      </w:r>
    </w:p>
    <w:p>
      <w:pPr>
        <w:pStyle w:val="167"/>
        <w:numPr>
          <w:ilvl w:val="0"/>
          <w:numId w:val="15"/>
        </w:numPr>
        <w:jc w:val="left"/>
      </w:pPr>
      <w:r>
        <w:rPr>
          <w:rFonts w:hint="eastAsia"/>
        </w:rPr>
        <w:t>预案体系分级、分类构成的描述；</w:t>
      </w:r>
    </w:p>
    <w:p>
      <w:pPr>
        <w:pStyle w:val="167"/>
        <w:numPr>
          <w:ilvl w:val="0"/>
          <w:numId w:val="15"/>
        </w:numPr>
        <w:jc w:val="left"/>
      </w:pPr>
      <w:r>
        <w:rPr>
          <w:rFonts w:hint="eastAsia"/>
        </w:rPr>
        <w:t>下一级预案目录（可用附件以图表陈列）。</w:t>
      </w:r>
    </w:p>
    <w:p>
      <w:pPr>
        <w:pStyle w:val="160"/>
        <w:numPr>
          <w:ilvl w:val="3"/>
          <w:numId w:val="3"/>
        </w:numPr>
        <w:spacing w:before="156" w:after="156" w:afterLines="0"/>
        <w:ind w:left="0"/>
        <w:rPr>
          <w:rFonts w:ascii="Times New Roman"/>
        </w:rPr>
      </w:pPr>
      <w:bookmarkStart w:id="243" w:name="_Toc151857435"/>
      <w:bookmarkStart w:id="244" w:name="_Toc157686415"/>
      <w:bookmarkStart w:id="245" w:name="_Toc157026136"/>
      <w:bookmarkStart w:id="246" w:name="_Toc149589937"/>
      <w:bookmarkStart w:id="247" w:name="_Toc159834066"/>
      <w:bookmarkStart w:id="248" w:name="_Toc160454805"/>
      <w:bookmarkStart w:id="249" w:name="_Toc160455234"/>
      <w:bookmarkStart w:id="250" w:name="_Toc166532049"/>
      <w:bookmarkStart w:id="251" w:name="_Toc161732595"/>
      <w:r>
        <w:rPr>
          <w:rFonts w:hint="eastAsia" w:ascii="Times New Roman"/>
        </w:rPr>
        <w:t>应急</w:t>
      </w:r>
      <w:bookmarkEnd w:id="243"/>
      <w:bookmarkEnd w:id="244"/>
      <w:bookmarkEnd w:id="245"/>
      <w:bookmarkEnd w:id="246"/>
      <w:bookmarkEnd w:id="247"/>
      <w:r>
        <w:rPr>
          <w:rFonts w:hint="eastAsia" w:ascii="Times New Roman"/>
        </w:rPr>
        <w:t>指挥体系</w:t>
      </w:r>
      <w:bookmarkEnd w:id="248"/>
      <w:bookmarkEnd w:id="249"/>
      <w:bookmarkEnd w:id="250"/>
      <w:bookmarkEnd w:id="251"/>
    </w:p>
    <w:p>
      <w:pPr>
        <w:pStyle w:val="24"/>
        <w:jc w:val="left"/>
      </w:pPr>
      <w:r>
        <w:rPr>
          <w:rFonts w:hint="eastAsia"/>
        </w:rPr>
        <w:t>宜包括但不限于下列内容：</w:t>
      </w:r>
    </w:p>
    <w:p>
      <w:pPr>
        <w:pStyle w:val="167"/>
        <w:numPr>
          <w:ilvl w:val="0"/>
          <w:numId w:val="16"/>
        </w:numPr>
        <w:jc w:val="left"/>
        <w:rPr>
          <w:rFonts w:ascii="Times New Roman"/>
          <w:szCs w:val="21"/>
        </w:rPr>
      </w:pPr>
      <w:r>
        <w:rPr>
          <w:rFonts w:hint="eastAsia"/>
        </w:rPr>
        <w:t>重大活动应急指挥机构层级设置（可以结构图陈列）；</w:t>
      </w:r>
    </w:p>
    <w:p>
      <w:pPr>
        <w:pStyle w:val="167"/>
        <w:numPr>
          <w:ilvl w:val="0"/>
          <w:numId w:val="16"/>
        </w:numPr>
        <w:jc w:val="left"/>
      </w:pPr>
      <w:r>
        <w:rPr>
          <w:rFonts w:hint="eastAsia" w:ascii="Times New Roman"/>
          <w:szCs w:val="21"/>
        </w:rPr>
        <w:t>应急指挥机构组成人员、单位（部门）；</w:t>
      </w:r>
      <w:r>
        <w:t xml:space="preserve"> </w:t>
      </w:r>
    </w:p>
    <w:p>
      <w:pPr>
        <w:pStyle w:val="167"/>
        <w:numPr>
          <w:ilvl w:val="0"/>
          <w:numId w:val="16"/>
        </w:numPr>
        <w:jc w:val="left"/>
      </w:pPr>
      <w:r>
        <w:rPr>
          <w:rFonts w:hint="eastAsia"/>
        </w:rPr>
        <w:t>指挥人员、各成员单位应急工作职责。</w:t>
      </w:r>
    </w:p>
    <w:p>
      <w:pPr>
        <w:pStyle w:val="160"/>
        <w:numPr>
          <w:ilvl w:val="3"/>
          <w:numId w:val="3"/>
        </w:numPr>
        <w:spacing w:before="156" w:after="156" w:afterLines="0"/>
        <w:ind w:left="0"/>
        <w:rPr>
          <w:rFonts w:ascii="Times New Roman"/>
        </w:rPr>
      </w:pPr>
      <w:bookmarkStart w:id="252" w:name="_Toc160454806"/>
      <w:bookmarkStart w:id="253" w:name="_Toc160455235"/>
      <w:bookmarkStart w:id="254" w:name="_Toc166532050"/>
      <w:bookmarkStart w:id="255" w:name="_Toc161732596"/>
      <w:r>
        <w:rPr>
          <w:rFonts w:hint="eastAsia" w:ascii="Times New Roman"/>
        </w:rPr>
        <w:t>突发事件应对机制</w:t>
      </w:r>
      <w:bookmarkEnd w:id="252"/>
      <w:bookmarkEnd w:id="253"/>
      <w:bookmarkEnd w:id="254"/>
      <w:bookmarkEnd w:id="255"/>
    </w:p>
    <w:p>
      <w:pPr>
        <w:pStyle w:val="161"/>
        <w:numPr>
          <w:ilvl w:val="4"/>
          <w:numId w:val="3"/>
        </w:numPr>
        <w:spacing w:before="156" w:after="156" w:afterLines="0"/>
        <w:outlineLvl w:val="9"/>
        <w:rPr>
          <w:rFonts w:ascii="Times New Roman"/>
        </w:rPr>
      </w:pPr>
      <w:r>
        <w:rPr>
          <w:rFonts w:hint="eastAsia" w:ascii="Times New Roman"/>
        </w:rPr>
        <w:t>信息接报</w:t>
      </w:r>
    </w:p>
    <w:p>
      <w:pPr>
        <w:pStyle w:val="24"/>
        <w:jc w:val="left"/>
      </w:pPr>
      <w:r>
        <w:rPr>
          <w:rFonts w:hint="eastAsia"/>
        </w:rPr>
        <w:t>宜包括但不限于下列内容：</w:t>
      </w:r>
    </w:p>
    <w:p>
      <w:pPr>
        <w:pStyle w:val="167"/>
        <w:numPr>
          <w:ilvl w:val="0"/>
          <w:numId w:val="17"/>
        </w:numPr>
        <w:jc w:val="left"/>
        <w:rPr>
          <w:rFonts w:ascii="Times New Roman"/>
          <w:szCs w:val="21"/>
        </w:rPr>
      </w:pPr>
      <w:r>
        <w:rPr>
          <w:rFonts w:hint="eastAsia"/>
        </w:rPr>
        <w:t>指挥机构应急值守安排及联络方式（可在附件中陈列）；</w:t>
      </w:r>
    </w:p>
    <w:p>
      <w:pPr>
        <w:pStyle w:val="167"/>
        <w:numPr>
          <w:ilvl w:val="0"/>
          <w:numId w:val="17"/>
        </w:numPr>
        <w:jc w:val="left"/>
      </w:pPr>
      <w:r>
        <w:rPr>
          <w:rFonts w:hint="eastAsia" w:ascii="Times New Roman"/>
          <w:szCs w:val="21"/>
        </w:rPr>
        <w:t>信息接收及内部报送程序、方式和责任人；</w:t>
      </w:r>
    </w:p>
    <w:p>
      <w:pPr>
        <w:pStyle w:val="167"/>
        <w:numPr>
          <w:ilvl w:val="0"/>
          <w:numId w:val="17"/>
        </w:numPr>
        <w:jc w:val="left"/>
      </w:pPr>
      <w:r>
        <w:rPr>
          <w:rFonts w:hint="eastAsia"/>
        </w:rPr>
        <w:t>向上级</w:t>
      </w:r>
      <w:r>
        <w:rPr>
          <w:rFonts w:hint="eastAsia" w:ascii="Times New Roman"/>
          <w:szCs w:val="21"/>
        </w:rPr>
        <w:t>初报、续报、终报信息的</w:t>
      </w:r>
      <w:r>
        <w:rPr>
          <w:rFonts w:hint="eastAsia"/>
        </w:rPr>
        <w:t>渠道、流程、内容、时限和责任人等</w:t>
      </w:r>
      <w:r>
        <w:rPr>
          <w:rFonts w:hint="eastAsia" w:ascii="Times New Roman"/>
          <w:szCs w:val="21"/>
        </w:rPr>
        <w:t>要求</w:t>
      </w:r>
      <w:r>
        <w:rPr>
          <w:rFonts w:hint="eastAsia"/>
        </w:rPr>
        <w:t>。</w:t>
      </w:r>
    </w:p>
    <w:p>
      <w:pPr>
        <w:pStyle w:val="161"/>
        <w:numPr>
          <w:ilvl w:val="4"/>
          <w:numId w:val="3"/>
        </w:numPr>
        <w:spacing w:before="156" w:after="156" w:afterLines="0"/>
        <w:outlineLvl w:val="9"/>
        <w:rPr>
          <w:rFonts w:ascii="Times New Roman"/>
        </w:rPr>
      </w:pPr>
      <w:r>
        <w:rPr>
          <w:rFonts w:hint="eastAsia" w:ascii="Times New Roman"/>
        </w:rPr>
        <w:t>分级响应</w:t>
      </w:r>
    </w:p>
    <w:p>
      <w:pPr>
        <w:pStyle w:val="24"/>
        <w:jc w:val="left"/>
        <w:rPr>
          <w:szCs w:val="22"/>
        </w:rPr>
      </w:pPr>
      <w:r>
        <w:rPr>
          <w:rFonts w:hint="eastAsia"/>
        </w:rPr>
        <w:t>宜包括但不限于</w:t>
      </w:r>
      <w:r>
        <w:rPr>
          <w:rFonts w:hint="eastAsia"/>
          <w:szCs w:val="22"/>
        </w:rPr>
        <w:t>下列内容：</w:t>
      </w:r>
    </w:p>
    <w:p>
      <w:pPr>
        <w:pStyle w:val="167"/>
        <w:numPr>
          <w:ilvl w:val="0"/>
          <w:numId w:val="18"/>
        </w:numPr>
        <w:jc w:val="left"/>
      </w:pPr>
      <w:r>
        <w:rPr>
          <w:rFonts w:hint="eastAsia"/>
        </w:rPr>
        <w:t>明确各级应急响应启动的条件、主体和程序。</w:t>
      </w:r>
    </w:p>
    <w:p>
      <w:pPr>
        <w:pStyle w:val="167"/>
        <w:numPr>
          <w:ilvl w:val="0"/>
          <w:numId w:val="18"/>
        </w:numPr>
        <w:jc w:val="left"/>
      </w:pPr>
      <w:r>
        <w:rPr>
          <w:rFonts w:hint="eastAsia" w:ascii="Times New Roman"/>
          <w:szCs w:val="21"/>
        </w:rPr>
        <w:t>分级处置的原则、各层级指挥机构的处置权限及处置程序。</w:t>
      </w:r>
    </w:p>
    <w:p>
      <w:pPr>
        <w:pStyle w:val="161"/>
        <w:numPr>
          <w:ilvl w:val="4"/>
          <w:numId w:val="3"/>
        </w:numPr>
        <w:spacing w:before="156" w:after="156" w:afterLines="0"/>
        <w:outlineLvl w:val="9"/>
        <w:rPr>
          <w:rFonts w:ascii="Times New Roman"/>
        </w:rPr>
      </w:pPr>
      <w:r>
        <w:rPr>
          <w:rFonts w:hint="eastAsia" w:ascii="Times New Roman"/>
        </w:rPr>
        <w:t>处置流程</w:t>
      </w:r>
    </w:p>
    <w:p>
      <w:pPr>
        <w:pStyle w:val="24"/>
        <w:jc w:val="left"/>
        <w:rPr>
          <w:szCs w:val="22"/>
        </w:rPr>
      </w:pPr>
      <w:r>
        <w:rPr>
          <w:rFonts w:hint="eastAsia"/>
          <w:szCs w:val="22"/>
        </w:rPr>
        <w:t>宜包括但不限于下列内容：</w:t>
      </w:r>
    </w:p>
    <w:p>
      <w:pPr>
        <w:pStyle w:val="167"/>
        <w:numPr>
          <w:ilvl w:val="0"/>
          <w:numId w:val="19"/>
        </w:numPr>
        <w:jc w:val="left"/>
      </w:pPr>
      <w:r>
        <w:rPr>
          <w:rFonts w:hint="eastAsia"/>
        </w:rPr>
        <w:t>先期响应控制事态、减少影响的主要工作；</w:t>
      </w:r>
    </w:p>
    <w:p>
      <w:pPr>
        <w:pStyle w:val="167"/>
        <w:numPr>
          <w:ilvl w:val="0"/>
          <w:numId w:val="19"/>
        </w:numPr>
        <w:jc w:val="left"/>
      </w:pPr>
      <w:r>
        <w:rPr>
          <w:rFonts w:hint="eastAsia"/>
        </w:rPr>
        <w:t>重大活动各级应急指挥机构和相关单位的指挥协同关系；</w:t>
      </w:r>
    </w:p>
    <w:p>
      <w:pPr>
        <w:pStyle w:val="167"/>
        <w:numPr>
          <w:ilvl w:val="0"/>
          <w:numId w:val="19"/>
        </w:numPr>
        <w:jc w:val="left"/>
      </w:pPr>
      <w:r>
        <w:rPr>
          <w:rFonts w:hint="eastAsia"/>
        </w:rPr>
        <w:t>专业处置的工作流程及内容；</w:t>
      </w:r>
    </w:p>
    <w:p>
      <w:pPr>
        <w:pStyle w:val="143"/>
        <w:numPr>
          <w:ilvl w:val="0"/>
          <w:numId w:val="0"/>
        </w:numPr>
        <w:spacing w:before="156" w:beforeLines="50"/>
        <w:ind w:firstLine="360" w:firstLineChars="200"/>
        <w:jc w:val="left"/>
        <w:rPr>
          <w:sz w:val="18"/>
          <w:szCs w:val="16"/>
        </w:rPr>
      </w:pPr>
      <w:r>
        <w:rPr>
          <w:rFonts w:hint="eastAsia" w:ascii="黑体" w:hAnsi="黑体" w:eastAsia="黑体" w:cs="黑体"/>
          <w:sz w:val="18"/>
        </w:rPr>
        <w:t>注：</w:t>
      </w:r>
      <w:r>
        <w:rPr>
          <w:rFonts w:hint="eastAsia"/>
          <w:sz w:val="18"/>
        </w:rPr>
        <w:t>如需将总体预案和专项预案合并编制，在此分项列举需要重点防范的突发事件及其应对处置机制</w:t>
      </w:r>
      <w:r>
        <w:rPr>
          <w:rFonts w:hint="eastAsia"/>
          <w:sz w:val="18"/>
          <w:szCs w:val="16"/>
        </w:rPr>
        <w:t>，包括但不限于</w:t>
      </w:r>
      <w:r>
        <w:rPr>
          <w:rFonts w:hint="eastAsia"/>
          <w:sz w:val="18"/>
        </w:rPr>
        <w:t>主责和协同处置责任、</w:t>
      </w:r>
      <w:r>
        <w:rPr>
          <w:rFonts w:hint="eastAsia"/>
          <w:sz w:val="18"/>
          <w:szCs w:val="16"/>
        </w:rPr>
        <w:t>信息报告流程、应急处置的主要</w:t>
      </w:r>
      <w:r>
        <w:rPr>
          <w:rFonts w:hint="eastAsia"/>
          <w:sz w:val="18"/>
        </w:rPr>
        <w:t>措施和目标要求等，详细内容可在附件中表述。</w:t>
      </w:r>
    </w:p>
    <w:p>
      <w:pPr>
        <w:pStyle w:val="161"/>
        <w:numPr>
          <w:ilvl w:val="4"/>
          <w:numId w:val="3"/>
        </w:numPr>
        <w:spacing w:before="156" w:after="156" w:afterLines="0"/>
      </w:pPr>
      <w:r>
        <w:rPr>
          <w:rFonts w:hint="eastAsia" w:ascii="Times New Roman"/>
        </w:rPr>
        <w:t>扩大响应</w:t>
      </w:r>
    </w:p>
    <w:p>
      <w:pPr>
        <w:pStyle w:val="24"/>
        <w:spacing w:before="156" w:beforeLines="50"/>
        <w:jc w:val="left"/>
      </w:pPr>
      <w:r>
        <w:rPr>
          <w:rFonts w:hint="eastAsia"/>
        </w:rPr>
        <w:t>扩大响应的条件及程序，明确重大活动应急指挥机构与上级有关部门、属地政府、驻京单位、社会力量等之间的应急联动工作机制，需要协调处置的工作任务和联系单位。</w:t>
      </w:r>
    </w:p>
    <w:p>
      <w:pPr>
        <w:pStyle w:val="161"/>
        <w:numPr>
          <w:ilvl w:val="4"/>
          <w:numId w:val="3"/>
        </w:numPr>
        <w:spacing w:before="156" w:after="156" w:afterLines="0"/>
        <w:outlineLvl w:val="9"/>
        <w:rPr>
          <w:rFonts w:ascii="Times New Roman"/>
        </w:rPr>
      </w:pPr>
      <w:r>
        <w:rPr>
          <w:rFonts w:hint="eastAsia" w:ascii="Times New Roman"/>
        </w:rPr>
        <w:t>熔断调整</w:t>
      </w:r>
    </w:p>
    <w:p>
      <w:pPr>
        <w:pStyle w:val="24"/>
        <w:jc w:val="left"/>
        <w:rPr>
          <w:szCs w:val="22"/>
        </w:rPr>
      </w:pPr>
      <w:r>
        <w:rPr>
          <w:rFonts w:hint="eastAsia"/>
          <w:szCs w:val="22"/>
        </w:rPr>
        <w:t>宜主要包括下列内容：</w:t>
      </w:r>
    </w:p>
    <w:p>
      <w:pPr>
        <w:pStyle w:val="167"/>
        <w:numPr>
          <w:ilvl w:val="0"/>
          <w:numId w:val="20"/>
        </w:numPr>
        <w:jc w:val="left"/>
      </w:pPr>
      <w:r>
        <w:rPr>
          <w:rFonts w:hint="eastAsia"/>
        </w:rPr>
        <w:t>明确</w:t>
      </w:r>
      <w:r>
        <w:rPr>
          <w:rFonts w:hint="eastAsia" w:ascii="Helvetica" w:hAnsi="Helvetica"/>
          <w:szCs w:val="21"/>
          <w:shd w:val="clear" w:color="auto" w:fill="FFFFFF"/>
        </w:rPr>
        <w:t>启动熔断调整的</w:t>
      </w:r>
      <w:r>
        <w:rPr>
          <w:rFonts w:hint="eastAsia"/>
        </w:rPr>
        <w:t>相应情形，如：接到政府有关部门发布的对重大活动有严重危害的自然灾害类别和预警信息等级，或者活动过程中实时监测发现的影响活动正常举行的</w:t>
      </w:r>
      <w:r>
        <w:rPr>
          <w:rFonts w:ascii="Helvetica" w:hAnsi="Helvetica"/>
          <w:szCs w:val="21"/>
          <w:shd w:val="clear" w:color="auto" w:fill="FFFFFF"/>
        </w:rPr>
        <w:t>事故灾难、公共卫生和社会安全事件</w:t>
      </w:r>
      <w:r>
        <w:rPr>
          <w:rFonts w:hint="eastAsia" w:ascii="Helvetica" w:hAnsi="Helvetica"/>
          <w:szCs w:val="21"/>
          <w:shd w:val="clear" w:color="auto" w:fill="FFFFFF"/>
        </w:rPr>
        <w:t>；</w:t>
      </w:r>
    </w:p>
    <w:p>
      <w:pPr>
        <w:pStyle w:val="167"/>
        <w:numPr>
          <w:ilvl w:val="0"/>
          <w:numId w:val="20"/>
        </w:numPr>
        <w:jc w:val="left"/>
      </w:pPr>
      <w:r>
        <w:rPr>
          <w:rFonts w:hint="eastAsia"/>
        </w:rPr>
        <w:t>明确熔断调整的相关事项，</w:t>
      </w:r>
      <w:r>
        <w:rPr>
          <w:rFonts w:hint="eastAsia" w:ascii="Times New Roman"/>
          <w:szCs w:val="22"/>
        </w:rPr>
        <w:t>如：调整</w:t>
      </w:r>
      <w:r>
        <w:rPr>
          <w:rFonts w:hint="eastAsia"/>
        </w:rPr>
        <w:t>活动举办时间、地点、内容，直至中断活动举办，避免或减少危害损失的工作机制。</w:t>
      </w:r>
    </w:p>
    <w:p>
      <w:pPr>
        <w:pStyle w:val="161"/>
        <w:numPr>
          <w:ilvl w:val="4"/>
          <w:numId w:val="3"/>
        </w:numPr>
        <w:spacing w:before="156" w:after="156" w:afterLines="0"/>
        <w:rPr>
          <w:rFonts w:ascii="Times New Roman"/>
        </w:rPr>
      </w:pPr>
      <w:bookmarkStart w:id="256" w:name="_Toc151857439"/>
      <w:bookmarkStart w:id="257" w:name="_Toc161732597"/>
      <w:bookmarkStart w:id="258" w:name="_Toc159834070"/>
      <w:bookmarkStart w:id="259" w:name="_Toc157026140"/>
      <w:bookmarkStart w:id="260" w:name="_Toc149589941"/>
      <w:bookmarkStart w:id="261" w:name="_Toc157686419"/>
      <w:r>
        <w:rPr>
          <w:rFonts w:hint="eastAsia" w:ascii="Times New Roman"/>
        </w:rPr>
        <w:t>信息发布</w:t>
      </w:r>
      <w:bookmarkEnd w:id="256"/>
      <w:bookmarkEnd w:id="257"/>
      <w:bookmarkEnd w:id="258"/>
      <w:bookmarkEnd w:id="259"/>
      <w:bookmarkEnd w:id="260"/>
      <w:bookmarkEnd w:id="261"/>
    </w:p>
    <w:p>
      <w:pPr>
        <w:pStyle w:val="24"/>
        <w:spacing w:before="156" w:beforeLines="50"/>
        <w:jc w:val="left"/>
        <w:rPr>
          <w:szCs w:val="22"/>
        </w:rPr>
      </w:pPr>
      <w:r>
        <w:rPr>
          <w:rFonts w:hint="eastAsia"/>
          <w:szCs w:val="22"/>
        </w:rPr>
        <w:t>按照政府及其相关部门有关规定，明确重大活动主办、承办机构或应急指挥机构负责或配合做好突发事件信息发布工作的有关机制。</w:t>
      </w:r>
    </w:p>
    <w:p>
      <w:pPr>
        <w:pStyle w:val="160"/>
        <w:numPr>
          <w:ilvl w:val="3"/>
          <w:numId w:val="3"/>
        </w:numPr>
        <w:spacing w:before="156" w:after="156" w:afterLines="0"/>
        <w:ind w:left="0"/>
        <w:rPr>
          <w:rFonts w:ascii="Times New Roman"/>
        </w:rPr>
      </w:pPr>
      <w:bookmarkStart w:id="262" w:name="_Toc161732598"/>
      <w:bookmarkStart w:id="263" w:name="_Toc166532051"/>
      <w:r>
        <w:rPr>
          <w:rFonts w:hint="eastAsia" w:ascii="Times New Roman"/>
        </w:rPr>
        <w:t>应急保障</w:t>
      </w:r>
      <w:bookmarkEnd w:id="262"/>
      <w:bookmarkEnd w:id="263"/>
    </w:p>
    <w:p>
      <w:pPr>
        <w:pStyle w:val="24"/>
        <w:jc w:val="left"/>
        <w:rPr>
          <w:szCs w:val="22"/>
        </w:rPr>
      </w:pPr>
      <w:r>
        <w:rPr>
          <w:rFonts w:hint="eastAsia"/>
          <w:szCs w:val="22"/>
        </w:rPr>
        <w:t>宜包括但不限于下列内容：</w:t>
      </w:r>
    </w:p>
    <w:p>
      <w:pPr>
        <w:pStyle w:val="143"/>
        <w:numPr>
          <w:ilvl w:val="0"/>
          <w:numId w:val="21"/>
        </w:numPr>
        <w:jc w:val="left"/>
      </w:pPr>
      <w:r>
        <w:rPr>
          <w:rFonts w:hint="eastAsia"/>
        </w:rPr>
        <w:t>应急力量保障，包括安保、消防、医疗、志愿者、后勤等应急力量总体部署情况；</w:t>
      </w:r>
    </w:p>
    <w:p>
      <w:pPr>
        <w:pStyle w:val="143"/>
        <w:numPr>
          <w:ilvl w:val="0"/>
          <w:numId w:val="21"/>
        </w:numPr>
        <w:jc w:val="left"/>
      </w:pPr>
      <w:r>
        <w:rPr>
          <w:rFonts w:hint="eastAsia"/>
        </w:rPr>
        <w:t>交通保障，包括交通引导、车辆部署、应急通道设置等情况；</w:t>
      </w:r>
    </w:p>
    <w:p>
      <w:pPr>
        <w:pStyle w:val="143"/>
        <w:numPr>
          <w:ilvl w:val="0"/>
          <w:numId w:val="21"/>
        </w:numPr>
        <w:jc w:val="left"/>
      </w:pPr>
      <w:r>
        <w:rPr>
          <w:rFonts w:hint="eastAsia"/>
        </w:rPr>
        <w:t>通信保障，包括重大活动应急通信保障力量部署情况；</w:t>
      </w:r>
    </w:p>
    <w:p>
      <w:pPr>
        <w:pStyle w:val="143"/>
        <w:numPr>
          <w:ilvl w:val="0"/>
          <w:numId w:val="21"/>
        </w:numPr>
        <w:jc w:val="left"/>
      </w:pPr>
      <w:r>
        <w:rPr>
          <w:rFonts w:hint="eastAsia"/>
        </w:rPr>
        <w:t>其他保障，包括对场地、设备设施等要素的服务保障情况。</w:t>
      </w:r>
    </w:p>
    <w:p>
      <w:pPr>
        <w:pStyle w:val="160"/>
        <w:numPr>
          <w:ilvl w:val="3"/>
          <w:numId w:val="3"/>
        </w:numPr>
        <w:spacing w:before="156" w:after="156" w:afterLines="0"/>
        <w:ind w:left="0"/>
        <w:jc w:val="left"/>
        <w:rPr>
          <w:rFonts w:ascii="Times New Roman"/>
        </w:rPr>
      </w:pPr>
      <w:bookmarkStart w:id="264" w:name="_Toc166532052"/>
      <w:bookmarkStart w:id="265" w:name="_Toc159834072"/>
      <w:bookmarkStart w:id="266" w:name="_Toc161732599"/>
      <w:bookmarkStart w:id="267" w:name="_Toc160454808"/>
      <w:bookmarkStart w:id="268" w:name="_Toc157686421"/>
      <w:bookmarkStart w:id="269" w:name="_Toc160455237"/>
      <w:r>
        <w:rPr>
          <w:rFonts w:hint="eastAsia" w:ascii="Times New Roman"/>
        </w:rPr>
        <w:t>附件</w:t>
      </w:r>
      <w:bookmarkEnd w:id="264"/>
      <w:bookmarkEnd w:id="265"/>
      <w:bookmarkEnd w:id="266"/>
      <w:bookmarkEnd w:id="267"/>
      <w:bookmarkEnd w:id="268"/>
      <w:bookmarkEnd w:id="269"/>
    </w:p>
    <w:p>
      <w:pPr>
        <w:pStyle w:val="24"/>
        <w:jc w:val="left"/>
      </w:pPr>
      <w:r>
        <w:rPr>
          <w:rFonts w:hint="eastAsia"/>
        </w:rPr>
        <w:t>宜包括但不限于下列内容：</w:t>
      </w:r>
    </w:p>
    <w:p>
      <w:pPr>
        <w:pStyle w:val="143"/>
        <w:numPr>
          <w:ilvl w:val="0"/>
          <w:numId w:val="22"/>
        </w:numPr>
        <w:jc w:val="left"/>
      </w:pPr>
      <w:r>
        <w:rPr>
          <w:rFonts w:hint="eastAsia"/>
        </w:rPr>
        <w:t>应急指挥体系、指挥部各成员单位应急联络表；</w:t>
      </w:r>
    </w:p>
    <w:p>
      <w:pPr>
        <w:pStyle w:val="143"/>
        <w:numPr>
          <w:ilvl w:val="0"/>
          <w:numId w:val="22"/>
        </w:numPr>
        <w:jc w:val="left"/>
      </w:pPr>
      <w:r>
        <w:rPr>
          <w:rFonts w:hint="eastAsia"/>
        </w:rPr>
        <w:t>重大活动应急指挥机构位置、区域划分、疏散路线和集结点的标识。</w:t>
      </w:r>
    </w:p>
    <w:p>
      <w:pPr>
        <w:pStyle w:val="88"/>
        <w:numPr>
          <w:ilvl w:val="2"/>
          <w:numId w:val="3"/>
        </w:numPr>
        <w:spacing w:before="156" w:after="156" w:afterLines="0"/>
        <w:rPr>
          <w:rFonts w:hAnsi="黑体"/>
        </w:rPr>
      </w:pPr>
      <w:bookmarkStart w:id="270" w:name="_Toc163724919"/>
      <w:bookmarkStart w:id="271" w:name="_Toc166532053"/>
      <w:r>
        <w:rPr>
          <w:rFonts w:hint="eastAsia" w:hAnsi="黑体"/>
        </w:rPr>
        <w:t>指挥机构专项应急预案</w:t>
      </w:r>
      <w:bookmarkEnd w:id="270"/>
      <w:bookmarkEnd w:id="271"/>
    </w:p>
    <w:p>
      <w:pPr>
        <w:pStyle w:val="160"/>
        <w:numPr>
          <w:ilvl w:val="3"/>
          <w:numId w:val="3"/>
        </w:numPr>
        <w:spacing w:before="156" w:after="156" w:afterLines="0"/>
        <w:ind w:left="0"/>
        <w:rPr>
          <w:rFonts w:ascii="Times New Roman"/>
        </w:rPr>
      </w:pPr>
      <w:bookmarkStart w:id="272" w:name="_Toc166532054"/>
      <w:r>
        <w:rPr>
          <w:rFonts w:hint="eastAsia" w:ascii="Times New Roman"/>
        </w:rPr>
        <w:t>概述</w:t>
      </w:r>
      <w:bookmarkEnd w:id="272"/>
    </w:p>
    <w:p>
      <w:pPr>
        <w:pStyle w:val="161"/>
        <w:numPr>
          <w:ilvl w:val="4"/>
          <w:numId w:val="3"/>
        </w:numPr>
        <w:spacing w:before="0" w:beforeLines="0" w:after="0" w:afterLines="0"/>
        <w:jc w:val="left"/>
        <w:rPr>
          <w:rFonts w:cs="宋体" w:asciiTheme="minorEastAsia" w:hAnsiTheme="minorEastAsia" w:eastAsiaTheme="minorEastAsia"/>
          <w:bCs/>
        </w:rPr>
      </w:pPr>
      <w:r>
        <w:rPr>
          <w:rFonts w:hint="eastAsia" w:cs="宋体" w:asciiTheme="minorEastAsia" w:hAnsiTheme="minorEastAsia" w:eastAsiaTheme="minorEastAsia"/>
          <w:bCs/>
          <w:szCs w:val="21"/>
        </w:rPr>
        <w:t>总指挥机构专项应急预案侧重明确应对拥挤踩踏、突发伤病、紧急疏散等重大活动某一类型或某几种类型突发事件的制度安排，重点落实相关任务，细化工作流程，体现应急处置的主体职责和针对性、可操作性。内容框架宜包括适用范围、风险分析、应急指挥机构及任务分工、监测预警、信息接报、指挥处置、响应终止、应急保障、附件等内容，根据实际需要进行调整。</w:t>
      </w:r>
    </w:p>
    <w:p>
      <w:pPr>
        <w:pStyle w:val="161"/>
        <w:numPr>
          <w:ilvl w:val="4"/>
          <w:numId w:val="3"/>
        </w:numPr>
        <w:spacing w:before="0" w:beforeLines="0" w:after="0" w:afterLines="0"/>
        <w:jc w:val="left"/>
        <w:rPr>
          <w:rFonts w:ascii="Times New Roman"/>
          <w:szCs w:val="21"/>
        </w:rPr>
      </w:pPr>
      <w:r>
        <w:rPr>
          <w:rFonts w:hint="eastAsia" w:cs="宋体" w:asciiTheme="minorEastAsia" w:hAnsiTheme="minorEastAsia" w:eastAsiaTheme="minorEastAsia"/>
          <w:bCs/>
          <w:szCs w:val="21"/>
        </w:rPr>
        <w:t>分指挥机构专项应急预案内容可参照总指挥机构专项应急预案进行编写。</w:t>
      </w:r>
    </w:p>
    <w:p>
      <w:pPr>
        <w:pStyle w:val="160"/>
        <w:numPr>
          <w:ilvl w:val="3"/>
          <w:numId w:val="3"/>
        </w:numPr>
        <w:spacing w:before="156" w:after="156" w:afterLines="0"/>
        <w:ind w:left="0"/>
        <w:rPr>
          <w:rFonts w:ascii="Times New Roman"/>
        </w:rPr>
      </w:pPr>
      <w:bookmarkStart w:id="273" w:name="_Toc160454810"/>
      <w:bookmarkStart w:id="274" w:name="_Toc160455239"/>
      <w:bookmarkStart w:id="275" w:name="_Toc157026143"/>
      <w:bookmarkStart w:id="276" w:name="_Toc159834074"/>
      <w:bookmarkStart w:id="277" w:name="_Toc161732601"/>
      <w:bookmarkStart w:id="278" w:name="_Toc166532055"/>
      <w:bookmarkStart w:id="279" w:name="_Toc157686423"/>
      <w:r>
        <w:rPr>
          <w:rFonts w:hint="eastAsia" w:ascii="Times New Roman"/>
        </w:rPr>
        <w:t>适用范围</w:t>
      </w:r>
      <w:bookmarkEnd w:id="273"/>
      <w:bookmarkEnd w:id="274"/>
      <w:bookmarkEnd w:id="275"/>
      <w:bookmarkEnd w:id="276"/>
      <w:bookmarkEnd w:id="277"/>
      <w:bookmarkEnd w:id="278"/>
      <w:bookmarkEnd w:id="279"/>
    </w:p>
    <w:p>
      <w:pPr>
        <w:pStyle w:val="24"/>
        <w:jc w:val="left"/>
      </w:pPr>
      <w:r>
        <w:rPr>
          <w:rFonts w:hint="eastAsia"/>
        </w:rPr>
        <w:t>宜包括但不限于下列内容：</w:t>
      </w:r>
    </w:p>
    <w:p>
      <w:pPr>
        <w:pStyle w:val="143"/>
        <w:numPr>
          <w:ilvl w:val="0"/>
          <w:numId w:val="23"/>
        </w:numPr>
        <w:jc w:val="left"/>
      </w:pPr>
      <w:r>
        <w:rPr>
          <w:rFonts w:hint="eastAsia"/>
        </w:rPr>
        <w:t>预案适用的时间、空间范围；</w:t>
      </w:r>
    </w:p>
    <w:p>
      <w:pPr>
        <w:pStyle w:val="143"/>
        <w:numPr>
          <w:ilvl w:val="0"/>
          <w:numId w:val="23"/>
        </w:numPr>
        <w:tabs>
          <w:tab w:val="left" w:pos="426"/>
          <w:tab w:val="clear" w:pos="839"/>
        </w:tabs>
        <w:jc w:val="left"/>
      </w:pPr>
      <w:r>
        <w:rPr>
          <w:rFonts w:hint="eastAsia"/>
        </w:rPr>
        <w:t>预案适用的应急保障对象或应对的突发事件的类型；</w:t>
      </w:r>
    </w:p>
    <w:p>
      <w:pPr>
        <w:pStyle w:val="143"/>
        <w:numPr>
          <w:ilvl w:val="0"/>
          <w:numId w:val="23"/>
        </w:numPr>
        <w:jc w:val="left"/>
      </w:pPr>
      <w:r>
        <w:rPr>
          <w:rFonts w:hint="eastAsia"/>
        </w:rPr>
        <w:t>与之上下衔接的应急预案名称、体系。</w:t>
      </w:r>
    </w:p>
    <w:p>
      <w:pPr>
        <w:pStyle w:val="160"/>
        <w:numPr>
          <w:ilvl w:val="3"/>
          <w:numId w:val="3"/>
        </w:numPr>
        <w:spacing w:before="156" w:after="156" w:afterLines="0"/>
        <w:ind w:left="0"/>
        <w:rPr>
          <w:rFonts w:ascii="Times New Roman"/>
        </w:rPr>
      </w:pPr>
      <w:bookmarkStart w:id="280" w:name="_Toc166532056"/>
      <w:bookmarkStart w:id="281" w:name="_Toc157026144"/>
      <w:bookmarkStart w:id="282" w:name="_Toc161732602"/>
      <w:bookmarkStart w:id="283" w:name="_Toc160455240"/>
      <w:bookmarkStart w:id="284" w:name="_Toc159834075"/>
      <w:bookmarkStart w:id="285" w:name="_Toc157686424"/>
      <w:bookmarkStart w:id="286" w:name="_Toc160454811"/>
      <w:r>
        <w:rPr>
          <w:rFonts w:hint="eastAsia" w:ascii="Times New Roman"/>
        </w:rPr>
        <w:t>风险分析</w:t>
      </w:r>
      <w:bookmarkEnd w:id="280"/>
    </w:p>
    <w:p>
      <w:pPr>
        <w:pStyle w:val="24"/>
        <w:jc w:val="left"/>
        <w:rPr>
          <w:szCs w:val="22"/>
        </w:rPr>
      </w:pPr>
      <w:r>
        <w:rPr>
          <w:rFonts w:hint="eastAsia"/>
          <w:szCs w:val="22"/>
        </w:rPr>
        <w:t>宜包括但不限于下列内容：</w:t>
      </w:r>
    </w:p>
    <w:p>
      <w:pPr>
        <w:pStyle w:val="143"/>
        <w:numPr>
          <w:ilvl w:val="0"/>
          <w:numId w:val="24"/>
        </w:numPr>
        <w:jc w:val="left"/>
      </w:pPr>
      <w:r>
        <w:rPr>
          <w:rFonts w:hint="eastAsia"/>
        </w:rPr>
        <w:t>本领域或本区域各类风险概况，风险分布的位置、存在的活动环节及时间；</w:t>
      </w:r>
    </w:p>
    <w:p>
      <w:pPr>
        <w:pStyle w:val="143"/>
        <w:numPr>
          <w:ilvl w:val="0"/>
          <w:numId w:val="24"/>
        </w:numPr>
        <w:jc w:val="left"/>
      </w:pPr>
      <w:r>
        <w:rPr>
          <w:rFonts w:hint="eastAsia"/>
        </w:rPr>
        <w:t>需要重点关注的风险概况；</w:t>
      </w:r>
    </w:p>
    <w:p>
      <w:pPr>
        <w:pStyle w:val="143"/>
        <w:numPr>
          <w:ilvl w:val="0"/>
          <w:numId w:val="24"/>
        </w:numPr>
        <w:jc w:val="left"/>
      </w:pPr>
      <w:r>
        <w:rPr>
          <w:rFonts w:hint="eastAsia"/>
        </w:rPr>
        <w:t>重点防护区域和重要保护目标情况。</w:t>
      </w:r>
    </w:p>
    <w:p>
      <w:pPr>
        <w:pStyle w:val="160"/>
        <w:numPr>
          <w:ilvl w:val="3"/>
          <w:numId w:val="3"/>
        </w:numPr>
        <w:spacing w:before="156" w:after="156" w:afterLines="0"/>
        <w:ind w:left="0"/>
        <w:rPr>
          <w:rFonts w:ascii="Times New Roman"/>
        </w:rPr>
      </w:pPr>
      <w:bookmarkStart w:id="287" w:name="_Toc166532057"/>
      <w:r>
        <w:rPr>
          <w:rFonts w:hint="eastAsia" w:ascii="Times New Roman"/>
        </w:rPr>
        <w:t>应急指挥机构及</w:t>
      </w:r>
      <w:bookmarkEnd w:id="281"/>
      <w:bookmarkEnd w:id="282"/>
      <w:bookmarkEnd w:id="283"/>
      <w:bookmarkEnd w:id="284"/>
      <w:bookmarkEnd w:id="285"/>
      <w:bookmarkEnd w:id="286"/>
      <w:r>
        <w:rPr>
          <w:rFonts w:hint="eastAsia" w:ascii="Times New Roman"/>
        </w:rPr>
        <w:t>任务分工</w:t>
      </w:r>
      <w:bookmarkEnd w:id="287"/>
    </w:p>
    <w:p>
      <w:pPr>
        <w:pStyle w:val="24"/>
        <w:jc w:val="left"/>
        <w:rPr>
          <w:rFonts w:hAnsi="宋体" w:cs="宋体"/>
          <w:bCs/>
        </w:rPr>
      </w:pPr>
      <w:r>
        <w:rPr>
          <w:rFonts w:hint="eastAsia" w:hAnsi="宋体" w:cs="宋体"/>
          <w:bCs/>
        </w:rPr>
        <w:t>依据重大活动总体应急预案，明确专项应急指挥机构及任务分工，宜包括但不限于下列内容：</w:t>
      </w:r>
    </w:p>
    <w:p>
      <w:pPr>
        <w:pStyle w:val="143"/>
        <w:numPr>
          <w:ilvl w:val="0"/>
          <w:numId w:val="25"/>
        </w:numPr>
        <w:jc w:val="left"/>
      </w:pPr>
      <w:r>
        <w:rPr>
          <w:rFonts w:hint="eastAsia"/>
        </w:rPr>
        <w:t>明确专项指挥机构组织形式、构成单位(部门)；</w:t>
      </w:r>
    </w:p>
    <w:p>
      <w:pPr>
        <w:pStyle w:val="143"/>
        <w:numPr>
          <w:ilvl w:val="0"/>
          <w:numId w:val="25"/>
        </w:numPr>
        <w:jc w:val="left"/>
      </w:pPr>
      <w:r>
        <w:rPr>
          <w:rFonts w:hint="eastAsia"/>
        </w:rPr>
        <w:t>专项指挥机构指挥人员，以及各成员单位的具体职责；</w:t>
      </w:r>
    </w:p>
    <w:p>
      <w:pPr>
        <w:pStyle w:val="143"/>
        <w:numPr>
          <w:ilvl w:val="0"/>
          <w:numId w:val="25"/>
        </w:numPr>
        <w:jc w:val="left"/>
      </w:pPr>
      <w:r>
        <w:rPr>
          <w:rFonts w:hint="eastAsia"/>
        </w:rPr>
        <w:t>专项指挥机构可以设置相应的现场应急工作组,明确各小组具体构成、位置设置、职责分工及行动任务。</w:t>
      </w:r>
    </w:p>
    <w:p>
      <w:pPr>
        <w:pStyle w:val="160"/>
        <w:numPr>
          <w:ilvl w:val="3"/>
          <w:numId w:val="3"/>
        </w:numPr>
        <w:spacing w:before="156" w:after="156" w:afterLines="0"/>
        <w:ind w:left="0"/>
        <w:rPr>
          <w:rFonts w:ascii="Times New Roman"/>
        </w:rPr>
      </w:pPr>
      <w:bookmarkStart w:id="288" w:name="_Toc157026145"/>
      <w:bookmarkStart w:id="289" w:name="_Toc157686425"/>
      <w:bookmarkStart w:id="290" w:name="_Toc159834076"/>
      <w:bookmarkStart w:id="291" w:name="_Toc166532058"/>
      <w:bookmarkStart w:id="292" w:name="_Toc161732603"/>
      <w:bookmarkStart w:id="293" w:name="_Toc160454812"/>
      <w:bookmarkStart w:id="294" w:name="_Toc160455241"/>
      <w:r>
        <w:rPr>
          <w:rFonts w:hint="eastAsia" w:ascii="Times New Roman"/>
        </w:rPr>
        <w:t>监测</w:t>
      </w:r>
      <w:bookmarkEnd w:id="288"/>
      <w:bookmarkEnd w:id="289"/>
      <w:bookmarkEnd w:id="290"/>
      <w:r>
        <w:rPr>
          <w:rFonts w:hint="eastAsia" w:ascii="Times New Roman"/>
        </w:rPr>
        <w:t>预警</w:t>
      </w:r>
      <w:bookmarkEnd w:id="291"/>
      <w:bookmarkEnd w:id="292"/>
      <w:bookmarkEnd w:id="293"/>
      <w:bookmarkEnd w:id="294"/>
    </w:p>
    <w:p>
      <w:pPr>
        <w:pStyle w:val="24"/>
        <w:jc w:val="left"/>
        <w:rPr>
          <w:rFonts w:hAnsi="宋体" w:cs="宋体"/>
          <w:bCs/>
        </w:rPr>
      </w:pPr>
      <w:bookmarkStart w:id="295" w:name="_Toc157686426"/>
      <w:bookmarkStart w:id="296" w:name="_Toc157026146"/>
      <w:bookmarkStart w:id="297" w:name="_Toc159834077"/>
      <w:r>
        <w:rPr>
          <w:rFonts w:hint="eastAsia"/>
        </w:rPr>
        <w:t>明确</w:t>
      </w:r>
      <w:r>
        <w:rPr>
          <w:rFonts w:hint="eastAsia" w:hAnsi="宋体" w:cs="宋体"/>
          <w:bCs/>
        </w:rPr>
        <w:t>风险监测预警目标任务和职责分工，</w:t>
      </w:r>
      <w:r>
        <w:rPr>
          <w:rFonts w:hint="eastAsia"/>
        </w:rPr>
        <w:t>分析、评估可能产生的后果，确定需要采取的预警响应措施。宜</w:t>
      </w:r>
      <w:r>
        <w:rPr>
          <w:rFonts w:hint="eastAsia" w:hAnsi="宋体" w:cs="宋体"/>
          <w:bCs/>
        </w:rPr>
        <w:t>包括但不限于下列内容：</w:t>
      </w:r>
    </w:p>
    <w:p>
      <w:pPr>
        <w:pStyle w:val="143"/>
        <w:numPr>
          <w:ilvl w:val="0"/>
          <w:numId w:val="26"/>
        </w:numPr>
        <w:jc w:val="left"/>
      </w:pPr>
      <w:r>
        <w:rPr>
          <w:rFonts w:hint="eastAsia"/>
        </w:rPr>
        <w:t>消防安全监测；</w:t>
      </w:r>
    </w:p>
    <w:p>
      <w:pPr>
        <w:pStyle w:val="143"/>
        <w:numPr>
          <w:ilvl w:val="0"/>
          <w:numId w:val="26"/>
        </w:numPr>
        <w:jc w:val="left"/>
      </w:pPr>
      <w:r>
        <w:rPr>
          <w:rFonts w:hint="eastAsia"/>
        </w:rPr>
        <w:t>设施设备运行安全监测；</w:t>
      </w:r>
    </w:p>
    <w:p>
      <w:pPr>
        <w:pStyle w:val="143"/>
        <w:numPr>
          <w:ilvl w:val="0"/>
          <w:numId w:val="26"/>
        </w:numPr>
        <w:jc w:val="left"/>
      </w:pPr>
      <w:r>
        <w:rPr>
          <w:rFonts w:hint="eastAsia"/>
        </w:rPr>
        <w:t>重要场地人员流量及活动秩序监测；</w:t>
      </w:r>
    </w:p>
    <w:p>
      <w:pPr>
        <w:pStyle w:val="143"/>
        <w:numPr>
          <w:ilvl w:val="0"/>
          <w:numId w:val="26"/>
        </w:numPr>
        <w:jc w:val="left"/>
      </w:pPr>
      <w:r>
        <w:rPr>
          <w:rFonts w:hint="eastAsia"/>
        </w:rPr>
        <w:t>活动场所环境安全监测；</w:t>
      </w:r>
    </w:p>
    <w:p>
      <w:pPr>
        <w:pStyle w:val="143"/>
        <w:numPr>
          <w:ilvl w:val="0"/>
          <w:numId w:val="26"/>
        </w:numPr>
        <w:jc w:val="left"/>
      </w:pPr>
      <w:r>
        <w:rPr>
          <w:rFonts w:hint="eastAsia"/>
        </w:rPr>
        <w:t>交通、通讯、卫生、舆情、气象等服务保障事项安全监测。</w:t>
      </w:r>
    </w:p>
    <w:bookmarkEnd w:id="295"/>
    <w:bookmarkEnd w:id="296"/>
    <w:bookmarkEnd w:id="297"/>
    <w:p>
      <w:pPr>
        <w:pStyle w:val="160"/>
        <w:numPr>
          <w:ilvl w:val="3"/>
          <w:numId w:val="3"/>
        </w:numPr>
        <w:spacing w:before="156" w:after="156" w:afterLines="0"/>
        <w:ind w:left="0"/>
        <w:rPr>
          <w:rFonts w:ascii="Times New Roman"/>
        </w:rPr>
      </w:pPr>
      <w:bookmarkStart w:id="298" w:name="_Toc160454813"/>
      <w:bookmarkStart w:id="299" w:name="_Toc161732604"/>
      <w:bookmarkStart w:id="300" w:name="_Toc160455242"/>
      <w:bookmarkStart w:id="301" w:name="_Toc166532059"/>
      <w:r>
        <w:rPr>
          <w:rFonts w:hint="eastAsia" w:ascii="Times New Roman"/>
        </w:rPr>
        <w:t>信息</w:t>
      </w:r>
      <w:bookmarkEnd w:id="298"/>
      <w:bookmarkEnd w:id="299"/>
      <w:bookmarkEnd w:id="300"/>
      <w:r>
        <w:rPr>
          <w:rFonts w:hint="eastAsia" w:ascii="Times New Roman"/>
        </w:rPr>
        <w:t>接报</w:t>
      </w:r>
      <w:bookmarkEnd w:id="301"/>
    </w:p>
    <w:p>
      <w:pPr>
        <w:pStyle w:val="24"/>
        <w:jc w:val="left"/>
        <w:rPr>
          <w:rFonts w:hAnsi="宋体" w:cs="宋体"/>
          <w:bCs/>
        </w:rPr>
      </w:pPr>
      <w:r>
        <w:rPr>
          <w:rFonts w:hint="eastAsia" w:hAnsi="宋体" w:cs="宋体"/>
          <w:bCs/>
        </w:rPr>
        <w:t>宜包括但不限于下列内容：</w:t>
      </w:r>
    </w:p>
    <w:p>
      <w:pPr>
        <w:pStyle w:val="143"/>
        <w:numPr>
          <w:ilvl w:val="0"/>
          <w:numId w:val="27"/>
        </w:numPr>
        <w:jc w:val="left"/>
      </w:pPr>
      <w:r>
        <w:rPr>
          <w:rFonts w:hint="eastAsia" w:ascii="Times New Roman"/>
          <w:szCs w:val="21"/>
        </w:rPr>
        <w:t>信息接收及内部报送程序、方式和责任人；</w:t>
      </w:r>
    </w:p>
    <w:p>
      <w:pPr>
        <w:pStyle w:val="143"/>
        <w:numPr>
          <w:ilvl w:val="0"/>
          <w:numId w:val="27"/>
        </w:numPr>
        <w:jc w:val="left"/>
      </w:pPr>
      <w:r>
        <w:rPr>
          <w:rFonts w:hint="eastAsia"/>
        </w:rPr>
        <w:t>向上级</w:t>
      </w:r>
      <w:r>
        <w:rPr>
          <w:rFonts w:hint="eastAsia" w:ascii="Times New Roman"/>
          <w:szCs w:val="21"/>
        </w:rPr>
        <w:t>初报、续报、终报信息的</w:t>
      </w:r>
      <w:r>
        <w:rPr>
          <w:rFonts w:hint="eastAsia"/>
        </w:rPr>
        <w:t>渠道、流程、内容、时限和责任人等</w:t>
      </w:r>
      <w:r>
        <w:rPr>
          <w:rFonts w:hint="eastAsia" w:ascii="Times New Roman"/>
          <w:szCs w:val="21"/>
        </w:rPr>
        <w:t>要求</w:t>
      </w:r>
      <w:r>
        <w:rPr>
          <w:rFonts w:hint="eastAsia"/>
        </w:rPr>
        <w:t>。</w:t>
      </w:r>
    </w:p>
    <w:p>
      <w:pPr>
        <w:pStyle w:val="160"/>
        <w:numPr>
          <w:ilvl w:val="3"/>
          <w:numId w:val="3"/>
        </w:numPr>
        <w:spacing w:before="156" w:after="156" w:afterLines="0"/>
        <w:ind w:left="0"/>
        <w:rPr>
          <w:rFonts w:ascii="Times New Roman"/>
        </w:rPr>
      </w:pPr>
      <w:bookmarkStart w:id="302" w:name="_Toc166532060"/>
      <w:r>
        <w:rPr>
          <w:rFonts w:hint="eastAsia" w:ascii="Times New Roman"/>
        </w:rPr>
        <w:t>指挥处置</w:t>
      </w:r>
      <w:bookmarkEnd w:id="302"/>
    </w:p>
    <w:p>
      <w:pPr>
        <w:pStyle w:val="24"/>
      </w:pPr>
      <w:r>
        <w:rPr>
          <w:rFonts w:hint="eastAsia"/>
        </w:rPr>
        <w:t>明确应急指挥处置的基本流程和措施。宜包括但不限于下列内容：</w:t>
      </w:r>
    </w:p>
    <w:p>
      <w:pPr>
        <w:pStyle w:val="143"/>
        <w:numPr>
          <w:ilvl w:val="0"/>
          <w:numId w:val="28"/>
        </w:numPr>
        <w:jc w:val="left"/>
      </w:pPr>
      <w:r>
        <w:rPr>
          <w:rFonts w:hint="eastAsia"/>
        </w:rPr>
        <w:t>明确先期抢险救援、排除设备故障、消除事故危害、控制事态发展的措施；</w:t>
      </w:r>
      <w:r>
        <w:t xml:space="preserve"> </w:t>
      </w:r>
    </w:p>
    <w:p>
      <w:pPr>
        <w:pStyle w:val="143"/>
        <w:numPr>
          <w:ilvl w:val="0"/>
          <w:numId w:val="28"/>
        </w:numPr>
        <w:jc w:val="left"/>
      </w:pPr>
      <w:r>
        <w:rPr>
          <w:rFonts w:hint="eastAsia"/>
        </w:rPr>
        <w:t>各区域专业处置力量响应的程序、具体处置内容。如：开设隔离带或设置障碍物，实行现场人员管制、组织营救受伤人员、疏散撤离受威胁的人员、及时上报突发事件信息，防止次生、衍生灾害等。</w:t>
      </w:r>
    </w:p>
    <w:p>
      <w:pPr>
        <w:pStyle w:val="160"/>
        <w:numPr>
          <w:ilvl w:val="3"/>
          <w:numId w:val="3"/>
        </w:numPr>
        <w:spacing w:before="156" w:after="156" w:afterLines="0"/>
        <w:ind w:left="0"/>
        <w:rPr>
          <w:rFonts w:ascii="Times New Roman"/>
        </w:rPr>
      </w:pPr>
      <w:bookmarkStart w:id="303" w:name="_Toc160455245"/>
      <w:bookmarkStart w:id="304" w:name="_Toc166532061"/>
      <w:bookmarkStart w:id="305" w:name="_Toc160454816"/>
      <w:bookmarkStart w:id="306" w:name="_Toc161732607"/>
      <w:r>
        <w:rPr>
          <w:rFonts w:hint="eastAsia" w:ascii="Times New Roman"/>
        </w:rPr>
        <w:t>响应终止</w:t>
      </w:r>
      <w:bookmarkEnd w:id="303"/>
      <w:bookmarkEnd w:id="304"/>
      <w:bookmarkEnd w:id="305"/>
      <w:bookmarkEnd w:id="306"/>
    </w:p>
    <w:p>
      <w:pPr>
        <w:pStyle w:val="24"/>
        <w:spacing w:before="156" w:beforeLines="50"/>
        <w:jc w:val="left"/>
      </w:pPr>
      <w:r>
        <w:rPr>
          <w:rFonts w:hint="eastAsia"/>
        </w:rPr>
        <w:t>明确应急处置结束或响应终止的条件、权限和程序。</w:t>
      </w:r>
    </w:p>
    <w:p>
      <w:pPr>
        <w:pStyle w:val="160"/>
        <w:numPr>
          <w:ilvl w:val="3"/>
          <w:numId w:val="3"/>
        </w:numPr>
        <w:spacing w:before="156" w:after="156" w:afterLines="0"/>
        <w:ind w:left="0"/>
        <w:rPr>
          <w:rFonts w:ascii="Times New Roman"/>
        </w:rPr>
      </w:pPr>
      <w:bookmarkStart w:id="307" w:name="_Toc157686428"/>
      <w:bookmarkStart w:id="308" w:name="_Toc160455246"/>
      <w:bookmarkStart w:id="309" w:name="_Toc161732608"/>
      <w:bookmarkStart w:id="310" w:name="_Toc160454817"/>
      <w:bookmarkStart w:id="311" w:name="_Toc166532062"/>
      <w:bookmarkStart w:id="312" w:name="_Toc159834079"/>
      <w:bookmarkStart w:id="313" w:name="_Toc157026148"/>
      <w:r>
        <w:rPr>
          <w:rFonts w:hint="eastAsia" w:ascii="Times New Roman"/>
        </w:rPr>
        <w:t>应急保障</w:t>
      </w:r>
      <w:bookmarkEnd w:id="307"/>
      <w:bookmarkEnd w:id="308"/>
      <w:bookmarkEnd w:id="309"/>
      <w:bookmarkEnd w:id="310"/>
      <w:bookmarkEnd w:id="311"/>
      <w:bookmarkEnd w:id="312"/>
      <w:bookmarkEnd w:id="313"/>
    </w:p>
    <w:p>
      <w:pPr>
        <w:pStyle w:val="24"/>
        <w:spacing w:before="156" w:beforeLines="50"/>
        <w:jc w:val="left"/>
        <w:rPr>
          <w:szCs w:val="22"/>
        </w:rPr>
      </w:pPr>
      <w:r>
        <w:rPr>
          <w:rFonts w:hint="eastAsia" w:hAnsi="宋体" w:cs="宋体"/>
          <w:bCs/>
        </w:rPr>
        <w:t>根据重大活动各点位、线路、场所突发事件应对共性特点，分区域明确</w:t>
      </w:r>
      <w:r>
        <w:rPr>
          <w:rFonts w:hint="eastAsia"/>
        </w:rPr>
        <w:t>现场应急力量预置情况</w:t>
      </w:r>
      <w:r>
        <w:rPr>
          <w:rFonts w:hint="eastAsia" w:hAnsi="宋体" w:cs="宋体"/>
          <w:bCs/>
        </w:rPr>
        <w:t>。</w:t>
      </w:r>
    </w:p>
    <w:p>
      <w:pPr>
        <w:pStyle w:val="160"/>
        <w:numPr>
          <w:ilvl w:val="3"/>
          <w:numId w:val="3"/>
        </w:numPr>
        <w:spacing w:before="156" w:after="156" w:afterLines="0"/>
        <w:ind w:left="0"/>
        <w:rPr>
          <w:rFonts w:ascii="Times New Roman"/>
        </w:rPr>
      </w:pPr>
      <w:bookmarkStart w:id="314" w:name="_Toc159834080"/>
      <w:bookmarkStart w:id="315" w:name="_Toc161732609"/>
      <w:bookmarkStart w:id="316" w:name="_Toc160454818"/>
      <w:bookmarkStart w:id="317" w:name="_Toc160455247"/>
      <w:bookmarkStart w:id="318" w:name="_Toc157686429"/>
      <w:bookmarkStart w:id="319" w:name="_Toc166532063"/>
      <w:r>
        <w:rPr>
          <w:rFonts w:hint="eastAsia" w:ascii="Times New Roman"/>
        </w:rPr>
        <w:t>附件</w:t>
      </w:r>
      <w:bookmarkEnd w:id="314"/>
      <w:bookmarkEnd w:id="315"/>
      <w:bookmarkEnd w:id="316"/>
      <w:bookmarkEnd w:id="317"/>
      <w:bookmarkEnd w:id="318"/>
      <w:bookmarkEnd w:id="319"/>
    </w:p>
    <w:p>
      <w:pPr>
        <w:pStyle w:val="24"/>
        <w:jc w:val="left"/>
      </w:pPr>
      <w:r>
        <w:rPr>
          <w:rFonts w:hint="eastAsia"/>
        </w:rPr>
        <w:t>宜包括但不限于下列内容：</w:t>
      </w:r>
    </w:p>
    <w:p>
      <w:pPr>
        <w:pStyle w:val="143"/>
        <w:numPr>
          <w:ilvl w:val="0"/>
          <w:numId w:val="29"/>
        </w:numPr>
        <w:jc w:val="left"/>
      </w:pPr>
      <w:r>
        <w:rPr>
          <w:rFonts w:hint="eastAsia"/>
        </w:rPr>
        <w:t>应急指挥调度体系、指挥部各成员单位应急联络表；</w:t>
      </w:r>
    </w:p>
    <w:p>
      <w:pPr>
        <w:pStyle w:val="143"/>
        <w:numPr>
          <w:ilvl w:val="0"/>
          <w:numId w:val="29"/>
        </w:numPr>
        <w:jc w:val="left"/>
      </w:pPr>
      <w:r>
        <w:rPr>
          <w:rFonts w:hint="eastAsia"/>
        </w:rPr>
        <w:t>现场应急指挥部位置、应急疏散路线、救援路线设置；</w:t>
      </w:r>
    </w:p>
    <w:p>
      <w:pPr>
        <w:pStyle w:val="143"/>
        <w:numPr>
          <w:ilvl w:val="0"/>
          <w:numId w:val="29"/>
        </w:numPr>
        <w:jc w:val="left"/>
      </w:pPr>
      <w:r>
        <w:rPr>
          <w:rFonts w:hint="eastAsia"/>
        </w:rPr>
        <w:t>主要物资和装备名称、型号、性能、数量、存放地点、运输和使用条件、管理责任人和联系电话等（可用表格形式表述）。</w:t>
      </w:r>
    </w:p>
    <w:p>
      <w:pPr>
        <w:pStyle w:val="88"/>
        <w:numPr>
          <w:ilvl w:val="2"/>
          <w:numId w:val="3"/>
        </w:numPr>
        <w:spacing w:before="156" w:after="156" w:afterLines="0"/>
        <w:rPr>
          <w:rFonts w:hAnsi="黑体"/>
        </w:rPr>
      </w:pPr>
      <w:bookmarkStart w:id="320" w:name="_Toc166532064"/>
      <w:bookmarkStart w:id="321" w:name="_Toc163724920"/>
      <w:r>
        <w:rPr>
          <w:rFonts w:hint="eastAsia" w:hAnsi="黑体"/>
        </w:rPr>
        <w:t>现场处置方案</w:t>
      </w:r>
      <w:bookmarkEnd w:id="320"/>
      <w:bookmarkEnd w:id="321"/>
    </w:p>
    <w:p>
      <w:pPr>
        <w:pStyle w:val="160"/>
        <w:numPr>
          <w:ilvl w:val="3"/>
          <w:numId w:val="3"/>
        </w:numPr>
        <w:spacing w:before="156" w:after="156" w:afterLines="0"/>
        <w:ind w:left="0"/>
        <w:rPr>
          <w:rFonts w:ascii="Times New Roman"/>
        </w:rPr>
      </w:pPr>
      <w:bookmarkStart w:id="322" w:name="_Toc166532065"/>
      <w:r>
        <w:rPr>
          <w:rFonts w:hint="eastAsia" w:ascii="Times New Roman"/>
        </w:rPr>
        <w:t>概述</w:t>
      </w:r>
      <w:bookmarkEnd w:id="322"/>
    </w:p>
    <w:p>
      <w:pPr>
        <w:pStyle w:val="24"/>
        <w:spacing w:before="156" w:beforeLines="50"/>
        <w:jc w:val="left"/>
      </w:pPr>
      <w:r>
        <w:rPr>
          <w:rFonts w:hint="eastAsia"/>
        </w:rPr>
        <w:t>现场处置方案重点规范各工作组层面行动，内容框架宜包括风险描述、应急响应措施、处置工作程序、应急保障、附件等。现场处置方案的形式、要素和内容等，可结合实际灵活调整，突出信息收集报告、人员疏散、现场管理等内容，力求简明实用。</w:t>
      </w:r>
    </w:p>
    <w:p>
      <w:pPr>
        <w:pStyle w:val="160"/>
        <w:numPr>
          <w:ilvl w:val="3"/>
          <w:numId w:val="3"/>
        </w:numPr>
        <w:spacing w:before="156" w:after="156" w:afterLines="0"/>
        <w:ind w:left="0"/>
        <w:rPr>
          <w:rFonts w:ascii="Times New Roman"/>
        </w:rPr>
      </w:pPr>
      <w:bookmarkStart w:id="323" w:name="_Toc151857443"/>
      <w:bookmarkStart w:id="324" w:name="_Toc159834082"/>
      <w:bookmarkStart w:id="325" w:name="_Toc161732611"/>
      <w:bookmarkStart w:id="326" w:name="_Toc160455249"/>
      <w:bookmarkStart w:id="327" w:name="_Toc157686431"/>
      <w:bookmarkStart w:id="328" w:name="_Toc166532066"/>
      <w:bookmarkStart w:id="329" w:name="_Toc160454820"/>
      <w:bookmarkStart w:id="330" w:name="_Toc149589945"/>
      <w:bookmarkStart w:id="331" w:name="_Toc157026150"/>
      <w:r>
        <w:rPr>
          <w:rFonts w:hint="eastAsia" w:ascii="Times New Roman"/>
        </w:rPr>
        <w:t>风险描述</w:t>
      </w:r>
      <w:bookmarkEnd w:id="323"/>
      <w:bookmarkEnd w:id="324"/>
      <w:bookmarkEnd w:id="325"/>
      <w:bookmarkEnd w:id="326"/>
      <w:bookmarkEnd w:id="327"/>
      <w:bookmarkEnd w:id="328"/>
      <w:bookmarkEnd w:id="329"/>
      <w:bookmarkEnd w:id="330"/>
      <w:bookmarkEnd w:id="331"/>
    </w:p>
    <w:p>
      <w:pPr>
        <w:pStyle w:val="24"/>
        <w:jc w:val="left"/>
      </w:pPr>
      <w:r>
        <w:rPr>
          <w:rFonts w:hint="eastAsia"/>
        </w:rPr>
        <w:t>宜包括但不限于下列内容：</w:t>
      </w:r>
    </w:p>
    <w:p>
      <w:pPr>
        <w:pStyle w:val="143"/>
        <w:numPr>
          <w:ilvl w:val="0"/>
          <w:numId w:val="30"/>
        </w:numPr>
        <w:jc w:val="left"/>
      </w:pPr>
      <w:r>
        <w:rPr>
          <w:rFonts w:hint="eastAsia"/>
        </w:rPr>
        <w:t>明确业务范围内主要风险（包括点位风险、区域风险、管理风险、环境风险等）；</w:t>
      </w:r>
    </w:p>
    <w:p>
      <w:pPr>
        <w:pStyle w:val="143"/>
        <w:numPr>
          <w:ilvl w:val="0"/>
          <w:numId w:val="30"/>
        </w:numPr>
        <w:jc w:val="left"/>
      </w:pPr>
      <w:r>
        <w:rPr>
          <w:rFonts w:hint="eastAsia"/>
        </w:rPr>
        <w:t>分析可能造成的危害。</w:t>
      </w:r>
    </w:p>
    <w:p>
      <w:pPr>
        <w:pStyle w:val="160"/>
        <w:numPr>
          <w:ilvl w:val="3"/>
          <w:numId w:val="3"/>
        </w:numPr>
        <w:spacing w:before="156" w:after="156" w:afterLines="0"/>
        <w:ind w:left="0"/>
        <w:rPr>
          <w:rFonts w:ascii="Times New Roman"/>
        </w:rPr>
      </w:pPr>
      <w:bookmarkStart w:id="332" w:name="_Toc160454821"/>
      <w:bookmarkStart w:id="333" w:name="_Toc157026151"/>
      <w:bookmarkStart w:id="334" w:name="_Toc160455250"/>
      <w:bookmarkStart w:id="335" w:name="_Toc159834083"/>
      <w:bookmarkStart w:id="336" w:name="_Toc157686432"/>
      <w:bookmarkStart w:id="337" w:name="_Toc149589946"/>
      <w:bookmarkStart w:id="338" w:name="_Toc151857444"/>
      <w:bookmarkStart w:id="339" w:name="_Toc161732612"/>
      <w:bookmarkStart w:id="340" w:name="_Toc166532067"/>
      <w:r>
        <w:rPr>
          <w:rFonts w:hint="eastAsia" w:ascii="Times New Roman"/>
        </w:rPr>
        <w:t>应急</w:t>
      </w:r>
      <w:bookmarkEnd w:id="332"/>
      <w:bookmarkEnd w:id="333"/>
      <w:bookmarkEnd w:id="334"/>
      <w:bookmarkEnd w:id="335"/>
      <w:bookmarkEnd w:id="336"/>
      <w:bookmarkEnd w:id="337"/>
      <w:bookmarkEnd w:id="338"/>
      <w:bookmarkEnd w:id="339"/>
      <w:r>
        <w:rPr>
          <w:rFonts w:hint="eastAsia" w:ascii="Times New Roman"/>
        </w:rPr>
        <w:t>响应措施</w:t>
      </w:r>
      <w:bookmarkEnd w:id="340"/>
    </w:p>
    <w:p>
      <w:pPr>
        <w:pStyle w:val="24"/>
        <w:jc w:val="left"/>
      </w:pPr>
      <w:r>
        <w:rPr>
          <w:rFonts w:hint="eastAsia"/>
        </w:rPr>
        <w:t>宜包括但不限于下列内容：</w:t>
      </w:r>
    </w:p>
    <w:p>
      <w:pPr>
        <w:pStyle w:val="143"/>
        <w:numPr>
          <w:ilvl w:val="0"/>
          <w:numId w:val="31"/>
        </w:numPr>
        <w:jc w:val="left"/>
      </w:pPr>
      <w:r>
        <w:rPr>
          <w:rFonts w:hint="eastAsia"/>
        </w:rPr>
        <w:t>明确活动现场本业务范围内应急组织、人员职责分工；</w:t>
      </w:r>
    </w:p>
    <w:p>
      <w:pPr>
        <w:pStyle w:val="143"/>
        <w:numPr>
          <w:ilvl w:val="0"/>
          <w:numId w:val="31"/>
        </w:numPr>
        <w:jc w:val="left"/>
      </w:pPr>
      <w:r>
        <w:rPr>
          <w:rFonts w:hint="eastAsia"/>
        </w:rPr>
        <w:t>确定主要风险防范责任人和各类人员应急响应措施。</w:t>
      </w:r>
    </w:p>
    <w:p>
      <w:pPr>
        <w:pStyle w:val="160"/>
        <w:numPr>
          <w:ilvl w:val="3"/>
          <w:numId w:val="3"/>
        </w:numPr>
        <w:spacing w:before="156" w:after="156" w:afterLines="0"/>
        <w:ind w:left="0"/>
        <w:rPr>
          <w:rFonts w:ascii="Times New Roman"/>
        </w:rPr>
      </w:pPr>
      <w:bookmarkStart w:id="341" w:name="_Toc166532068"/>
      <w:r>
        <w:rPr>
          <w:rFonts w:hint="eastAsia" w:ascii="Times New Roman"/>
        </w:rPr>
        <w:t>处置工作程序</w:t>
      </w:r>
      <w:bookmarkEnd w:id="341"/>
    </w:p>
    <w:p>
      <w:pPr>
        <w:pStyle w:val="24"/>
        <w:tabs>
          <w:tab w:val="left" w:pos="3690"/>
          <w:tab w:val="clear" w:pos="4201"/>
        </w:tabs>
        <w:spacing w:before="156" w:beforeLines="50"/>
        <w:jc w:val="left"/>
      </w:pPr>
      <w:r>
        <w:rPr>
          <w:rFonts w:hint="eastAsia"/>
        </w:rPr>
        <w:t>宜包括但不限于下列内容：</w:t>
      </w:r>
    </w:p>
    <w:p>
      <w:pPr>
        <w:pStyle w:val="143"/>
        <w:numPr>
          <w:ilvl w:val="0"/>
          <w:numId w:val="32"/>
        </w:numPr>
        <w:ind w:left="840" w:hanging="420"/>
        <w:jc w:val="left"/>
      </w:pPr>
      <w:r>
        <w:rPr>
          <w:rFonts w:hint="eastAsia"/>
        </w:rPr>
        <w:t>信息报告：明确信息报告的流程、内容等要求和责任人；</w:t>
      </w:r>
    </w:p>
    <w:p>
      <w:pPr>
        <w:pStyle w:val="143"/>
        <w:numPr>
          <w:ilvl w:val="0"/>
          <w:numId w:val="32"/>
        </w:numPr>
        <w:ind w:left="840" w:hanging="420"/>
        <w:jc w:val="left"/>
      </w:pPr>
      <w:r>
        <w:rPr>
          <w:rFonts w:hint="eastAsia"/>
        </w:rPr>
        <w:t>指挥处置：明确指挥协同关系，以及现场力量与各应急救援力量的衔接等内容；</w:t>
      </w:r>
    </w:p>
    <w:p>
      <w:pPr>
        <w:pStyle w:val="143"/>
        <w:numPr>
          <w:ilvl w:val="0"/>
          <w:numId w:val="32"/>
        </w:numPr>
        <w:ind w:left="840" w:hanging="420"/>
        <w:jc w:val="left"/>
      </w:pPr>
      <w:r>
        <w:rPr>
          <w:rFonts w:hint="eastAsia"/>
        </w:rPr>
        <w:t>处置措施：明确人员疏散、现场抢险、事件控制、应急协同等方面的应急处置措施，关闭或者限制使用易受突发事件危害的场所，人员疏散转移的路线、转移方式，提供相关应急保障的措施。</w:t>
      </w:r>
    </w:p>
    <w:p>
      <w:pPr>
        <w:pStyle w:val="160"/>
        <w:numPr>
          <w:ilvl w:val="3"/>
          <w:numId w:val="3"/>
        </w:numPr>
        <w:spacing w:before="156" w:after="156" w:afterLines="0"/>
        <w:ind w:left="0"/>
        <w:rPr>
          <w:rFonts w:ascii="Times New Roman"/>
        </w:rPr>
      </w:pPr>
      <w:bookmarkStart w:id="342" w:name="_Toc166532069"/>
      <w:bookmarkStart w:id="343" w:name="_Toc149589949"/>
      <w:bookmarkStart w:id="344" w:name="_Toc160455253"/>
      <w:bookmarkStart w:id="345" w:name="_Toc151857447"/>
      <w:bookmarkStart w:id="346" w:name="_Toc161732615"/>
      <w:bookmarkStart w:id="347" w:name="_Toc159834086"/>
      <w:bookmarkStart w:id="348" w:name="_Toc160454824"/>
      <w:bookmarkStart w:id="349" w:name="_Toc157686435"/>
      <w:bookmarkStart w:id="350" w:name="_Toc157026154"/>
      <w:r>
        <w:rPr>
          <w:rFonts w:hint="eastAsia" w:ascii="Times New Roman"/>
        </w:rPr>
        <w:t>应急保障</w:t>
      </w:r>
      <w:bookmarkEnd w:id="342"/>
      <w:r>
        <w:rPr>
          <w:rFonts w:hint="eastAsia" w:ascii="Times New Roman"/>
        </w:rPr>
        <w:t xml:space="preserve"> </w:t>
      </w:r>
      <w:bookmarkEnd w:id="343"/>
      <w:bookmarkEnd w:id="344"/>
      <w:bookmarkEnd w:id="345"/>
      <w:bookmarkEnd w:id="346"/>
      <w:bookmarkEnd w:id="347"/>
      <w:bookmarkEnd w:id="348"/>
      <w:bookmarkEnd w:id="349"/>
      <w:bookmarkEnd w:id="350"/>
    </w:p>
    <w:p>
      <w:pPr>
        <w:pStyle w:val="24"/>
        <w:jc w:val="left"/>
      </w:pPr>
      <w:r>
        <w:rPr>
          <w:rFonts w:hint="eastAsia"/>
        </w:rPr>
        <w:t>宜包括但不限于下列内容：</w:t>
      </w:r>
    </w:p>
    <w:p>
      <w:pPr>
        <w:pStyle w:val="143"/>
        <w:numPr>
          <w:ilvl w:val="0"/>
          <w:numId w:val="33"/>
        </w:numPr>
        <w:jc w:val="left"/>
      </w:pPr>
      <w:r>
        <w:rPr>
          <w:rFonts w:hint="eastAsia"/>
        </w:rPr>
        <w:t>应急救援队伍力量分布；</w:t>
      </w:r>
    </w:p>
    <w:p>
      <w:pPr>
        <w:pStyle w:val="143"/>
        <w:numPr>
          <w:ilvl w:val="0"/>
          <w:numId w:val="33"/>
        </w:numPr>
        <w:jc w:val="left"/>
      </w:pPr>
      <w:r>
        <w:rPr>
          <w:rFonts w:hint="eastAsia"/>
        </w:rPr>
        <w:t>相关应急物资装备配备。</w:t>
      </w:r>
    </w:p>
    <w:p>
      <w:pPr>
        <w:pStyle w:val="160"/>
        <w:numPr>
          <w:ilvl w:val="3"/>
          <w:numId w:val="3"/>
        </w:numPr>
        <w:spacing w:before="156" w:after="156" w:afterLines="0"/>
        <w:ind w:left="0"/>
        <w:rPr>
          <w:rFonts w:ascii="Times New Roman"/>
        </w:rPr>
      </w:pPr>
      <w:bookmarkStart w:id="351" w:name="_Toc159834087"/>
      <w:bookmarkStart w:id="352" w:name="_Toc160455254"/>
      <w:bookmarkStart w:id="353" w:name="_Toc157686436"/>
      <w:bookmarkStart w:id="354" w:name="_Toc160454825"/>
      <w:bookmarkStart w:id="355" w:name="_Toc166532070"/>
      <w:bookmarkStart w:id="356" w:name="_Toc161732616"/>
      <w:r>
        <w:rPr>
          <w:rFonts w:hint="eastAsia" w:ascii="Times New Roman"/>
        </w:rPr>
        <w:t>附件</w:t>
      </w:r>
      <w:bookmarkEnd w:id="351"/>
      <w:bookmarkEnd w:id="352"/>
      <w:bookmarkEnd w:id="353"/>
      <w:bookmarkEnd w:id="354"/>
      <w:bookmarkEnd w:id="355"/>
      <w:bookmarkEnd w:id="356"/>
    </w:p>
    <w:p>
      <w:pPr>
        <w:pStyle w:val="24"/>
        <w:jc w:val="left"/>
      </w:pPr>
      <w:r>
        <w:rPr>
          <w:rFonts w:hint="eastAsia"/>
        </w:rPr>
        <w:t>宜包括但不限于下列内容：</w:t>
      </w:r>
    </w:p>
    <w:p>
      <w:pPr>
        <w:pStyle w:val="143"/>
        <w:numPr>
          <w:ilvl w:val="0"/>
          <w:numId w:val="34"/>
        </w:numPr>
        <w:jc w:val="left"/>
      </w:pPr>
      <w:r>
        <w:rPr>
          <w:rFonts w:hint="eastAsia"/>
        </w:rPr>
        <w:t>现场处置组、上级指挥机构等相关人员岗位应急联络表；</w:t>
      </w:r>
    </w:p>
    <w:p>
      <w:pPr>
        <w:pStyle w:val="143"/>
        <w:numPr>
          <w:ilvl w:val="0"/>
          <w:numId w:val="34"/>
        </w:numPr>
        <w:jc w:val="left"/>
      </w:pPr>
      <w:r>
        <w:rPr>
          <w:rFonts w:hint="eastAsia"/>
        </w:rPr>
        <w:t>风险清单及分布图、应急疏散路线、救援路线设置。</w:t>
      </w:r>
      <w:bookmarkStart w:id="357" w:name="_Toc434327061"/>
      <w:bookmarkEnd w:id="357"/>
      <w:bookmarkStart w:id="358" w:name="_Toc435431369"/>
      <w:bookmarkEnd w:id="358"/>
      <w:bookmarkStart w:id="359" w:name="_Toc426119216"/>
      <w:bookmarkEnd w:id="359"/>
      <w:bookmarkStart w:id="360" w:name="_Toc434327060"/>
      <w:bookmarkEnd w:id="360"/>
      <w:bookmarkStart w:id="361" w:name="_Toc435431370"/>
      <w:bookmarkEnd w:id="361"/>
      <w:bookmarkStart w:id="362" w:name="_Toc426119217"/>
      <w:bookmarkEnd w:id="362"/>
    </w:p>
    <w:p>
      <w:pPr>
        <w:pStyle w:val="143"/>
        <w:numPr>
          <w:ilvl w:val="0"/>
          <w:numId w:val="0"/>
        </w:numPr>
        <w:spacing w:before="640" w:after="280"/>
        <w:ind w:left="420"/>
        <w:jc w:val="center"/>
        <w:outlineLvl w:val="0"/>
        <w:rPr>
          <w:rFonts w:ascii="Times New Roman" w:eastAsia="黑体"/>
        </w:rPr>
      </w:pPr>
      <w:r>
        <w:rPr>
          <w:rFonts w:ascii="Times New Roman"/>
        </w:rPr>
        <w:br w:type="page"/>
      </w:r>
      <w:bookmarkStart w:id="363" w:name="_Toc166532071"/>
      <w:bookmarkStart w:id="364" w:name="_Toc163724921"/>
      <w:r>
        <w:rPr>
          <w:rFonts w:hint="eastAsia" w:ascii="Times New Roman" w:eastAsia="黑体"/>
        </w:rPr>
        <w:t>附  录  A</w:t>
      </w:r>
      <w:r>
        <w:rPr>
          <w:rFonts w:hint="eastAsia" w:ascii="Times New Roman" w:eastAsia="黑体"/>
        </w:rPr>
        <w:br w:type="textWrapping"/>
      </w:r>
      <w:r>
        <w:rPr>
          <w:rFonts w:hint="eastAsia" w:ascii="Times New Roman" w:eastAsia="黑体"/>
        </w:rPr>
        <w:t>（资料性）</w:t>
      </w:r>
      <w:r>
        <w:rPr>
          <w:rFonts w:hint="eastAsia" w:ascii="Times New Roman" w:eastAsia="黑体"/>
        </w:rPr>
        <w:br w:type="textWrapping"/>
      </w:r>
      <w:r>
        <w:rPr>
          <w:rFonts w:hint="eastAsia" w:ascii="Times New Roman" w:eastAsia="黑体"/>
        </w:rPr>
        <w:t>重大活动风险排查要素参考表</w:t>
      </w:r>
      <w:bookmarkEnd w:id="363"/>
      <w:bookmarkEnd w:id="364"/>
    </w:p>
    <w:p>
      <w:pPr>
        <w:pStyle w:val="88"/>
        <w:numPr>
          <w:ilvl w:val="0"/>
          <w:numId w:val="0"/>
        </w:numPr>
        <w:spacing w:before="156" w:after="156"/>
        <w:ind w:firstLine="420" w:firstLineChars="200"/>
        <w:outlineLvl w:val="9"/>
        <w:rPr>
          <w:rFonts w:asciiTheme="minorEastAsia" w:hAnsiTheme="minorEastAsia" w:eastAsiaTheme="minorEastAsia"/>
        </w:rPr>
      </w:pPr>
      <w:r>
        <w:rPr>
          <w:rFonts w:hint="eastAsia" w:asciiTheme="minorEastAsia" w:hAnsiTheme="minorEastAsia" w:eastAsiaTheme="minorEastAsia"/>
        </w:rPr>
        <w:t>重大活动风险排查要素参照表</w:t>
      </w:r>
      <w:r>
        <w:rPr>
          <w:rFonts w:asciiTheme="minorEastAsia" w:hAnsiTheme="minorEastAsia" w:eastAsiaTheme="minorEastAsia"/>
        </w:rPr>
        <w:t>A.1。</w:t>
      </w:r>
    </w:p>
    <w:p>
      <w:pPr>
        <w:pStyle w:val="24"/>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重大活动风险排查要素参考表</w:t>
      </w:r>
    </w:p>
    <w:tbl>
      <w:tblPr>
        <w:tblStyle w:val="34"/>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3"/>
        <w:gridCol w:w="600"/>
        <w:gridCol w:w="1790"/>
        <w:gridCol w:w="1553"/>
        <w:gridCol w:w="3402"/>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403" w:type="dxa"/>
            <w:vAlign w:val="center"/>
          </w:tcPr>
          <w:p>
            <w:pPr>
              <w:overflowPunct w:val="0"/>
              <w:jc w:val="center"/>
              <w:rPr>
                <w:rFonts w:ascii="宋体" w:hAnsi="宋体"/>
                <w:sz w:val="18"/>
                <w:szCs w:val="18"/>
              </w:rPr>
            </w:pPr>
            <w:r>
              <w:rPr>
                <w:rFonts w:hint="eastAsia" w:ascii="宋体" w:hAnsi="宋体"/>
                <w:sz w:val="18"/>
                <w:szCs w:val="18"/>
              </w:rPr>
              <w:t>风险因素</w:t>
            </w:r>
          </w:p>
        </w:tc>
        <w:tc>
          <w:tcPr>
            <w:tcW w:w="600" w:type="dxa"/>
            <w:vAlign w:val="center"/>
          </w:tcPr>
          <w:p>
            <w:pPr>
              <w:overflowPunct w:val="0"/>
              <w:jc w:val="center"/>
              <w:rPr>
                <w:rFonts w:ascii="宋体" w:hAnsi="宋体"/>
                <w:sz w:val="18"/>
                <w:szCs w:val="18"/>
              </w:rPr>
            </w:pPr>
            <w:r>
              <w:rPr>
                <w:rFonts w:hint="eastAsia" w:ascii="宋体" w:hAnsi="宋体"/>
                <w:sz w:val="18"/>
                <w:szCs w:val="18"/>
              </w:rPr>
              <w:t>序号</w:t>
            </w:r>
          </w:p>
        </w:tc>
        <w:tc>
          <w:tcPr>
            <w:tcW w:w="1790" w:type="dxa"/>
            <w:vAlign w:val="center"/>
          </w:tcPr>
          <w:p>
            <w:pPr>
              <w:overflowPunct w:val="0"/>
              <w:jc w:val="center"/>
              <w:rPr>
                <w:rFonts w:ascii="宋体" w:hAnsi="宋体"/>
                <w:sz w:val="18"/>
                <w:szCs w:val="18"/>
              </w:rPr>
            </w:pPr>
            <w:r>
              <w:rPr>
                <w:rFonts w:hint="eastAsia" w:ascii="宋体" w:hAnsi="宋体"/>
                <w:sz w:val="18"/>
                <w:szCs w:val="18"/>
              </w:rPr>
              <w:t>风险描述</w:t>
            </w:r>
          </w:p>
        </w:tc>
        <w:tc>
          <w:tcPr>
            <w:tcW w:w="1553" w:type="dxa"/>
            <w:vAlign w:val="center"/>
          </w:tcPr>
          <w:p>
            <w:pPr>
              <w:overflowPunct w:val="0"/>
              <w:jc w:val="center"/>
              <w:rPr>
                <w:rFonts w:ascii="宋体" w:hAnsi="宋体"/>
                <w:sz w:val="18"/>
                <w:szCs w:val="18"/>
              </w:rPr>
            </w:pPr>
            <w:r>
              <w:rPr>
                <w:rFonts w:hint="eastAsia" w:ascii="宋体" w:hAnsi="宋体"/>
                <w:sz w:val="18"/>
                <w:szCs w:val="18"/>
              </w:rPr>
              <w:t>风险点位</w:t>
            </w:r>
          </w:p>
        </w:tc>
        <w:tc>
          <w:tcPr>
            <w:tcW w:w="3402" w:type="dxa"/>
            <w:vAlign w:val="center"/>
          </w:tcPr>
          <w:p>
            <w:pPr>
              <w:overflowPunct w:val="0"/>
              <w:jc w:val="center"/>
              <w:rPr>
                <w:rFonts w:ascii="宋体" w:hAnsi="宋体"/>
                <w:sz w:val="18"/>
                <w:szCs w:val="18"/>
              </w:rPr>
            </w:pPr>
            <w:r>
              <w:rPr>
                <w:rFonts w:hint="eastAsia" w:ascii="宋体" w:hAnsi="宋体"/>
                <w:sz w:val="18"/>
                <w:szCs w:val="18"/>
              </w:rPr>
              <w:t>风险分析</w:t>
            </w:r>
          </w:p>
        </w:tc>
        <w:tc>
          <w:tcPr>
            <w:tcW w:w="1403" w:type="dxa"/>
            <w:vAlign w:val="center"/>
          </w:tcPr>
          <w:p>
            <w:pPr>
              <w:overflowPunct w:val="0"/>
              <w:jc w:val="center"/>
              <w:rPr>
                <w:rFonts w:ascii="宋体" w:hAnsi="宋体"/>
                <w:sz w:val="18"/>
                <w:szCs w:val="18"/>
              </w:rPr>
            </w:pPr>
            <w:r>
              <w:rPr>
                <w:rFonts w:hint="eastAsia" w:ascii="宋体" w:hAnsi="宋体"/>
                <w:sz w:val="18"/>
                <w:szCs w:val="18"/>
              </w:rPr>
              <w:t>引发后果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人员行为风险</w:t>
            </w:r>
          </w:p>
        </w:tc>
        <w:tc>
          <w:tcPr>
            <w:tcW w:w="600" w:type="dxa"/>
            <w:vAlign w:val="center"/>
          </w:tcPr>
          <w:p>
            <w:pPr>
              <w:overflowPunct w:val="0"/>
              <w:jc w:val="center"/>
              <w:rPr>
                <w:rFonts w:ascii="宋体" w:hAnsi="宋体"/>
                <w:sz w:val="18"/>
                <w:szCs w:val="18"/>
              </w:rPr>
            </w:pPr>
            <w:r>
              <w:rPr>
                <w:rFonts w:hint="eastAsia" w:ascii="宋体" w:hAnsi="宋体"/>
                <w:sz w:val="18"/>
                <w:szCs w:val="18"/>
              </w:rPr>
              <w:t>1</w:t>
            </w:r>
          </w:p>
        </w:tc>
        <w:tc>
          <w:tcPr>
            <w:tcW w:w="1790" w:type="dxa"/>
            <w:vAlign w:val="center"/>
          </w:tcPr>
          <w:p>
            <w:pPr>
              <w:overflowPunct w:val="0"/>
              <w:jc w:val="center"/>
              <w:rPr>
                <w:rFonts w:ascii="宋体" w:hAnsi="宋体"/>
                <w:sz w:val="18"/>
                <w:szCs w:val="18"/>
              </w:rPr>
            </w:pPr>
            <w:r>
              <w:rPr>
                <w:rFonts w:hint="eastAsia" w:ascii="宋体" w:hAnsi="宋体"/>
                <w:sz w:val="18"/>
                <w:szCs w:val="18"/>
              </w:rPr>
              <w:t>人员聚集</w:t>
            </w:r>
          </w:p>
        </w:tc>
        <w:tc>
          <w:tcPr>
            <w:tcW w:w="1553" w:type="dxa"/>
            <w:vAlign w:val="center"/>
          </w:tcPr>
          <w:p>
            <w:pPr>
              <w:overflowPunct w:val="0"/>
              <w:jc w:val="center"/>
              <w:rPr>
                <w:rFonts w:ascii="宋体" w:hAnsi="宋体"/>
                <w:sz w:val="18"/>
                <w:szCs w:val="18"/>
              </w:rPr>
            </w:pPr>
            <w:r>
              <w:rPr>
                <w:rFonts w:hint="eastAsia" w:ascii="宋体" w:hAnsi="宋体"/>
                <w:sz w:val="18"/>
                <w:szCs w:val="18"/>
              </w:rPr>
              <w:t>检票口、楼梯及通道、集散区、环廊、看台</w:t>
            </w:r>
          </w:p>
        </w:tc>
        <w:tc>
          <w:tcPr>
            <w:tcW w:w="3402" w:type="dxa"/>
            <w:vAlign w:val="center"/>
          </w:tcPr>
          <w:p>
            <w:pPr>
              <w:overflowPunct w:val="0"/>
              <w:jc w:val="center"/>
              <w:rPr>
                <w:rFonts w:ascii="宋体" w:hAnsi="宋体"/>
                <w:sz w:val="18"/>
                <w:szCs w:val="18"/>
              </w:rPr>
            </w:pPr>
            <w:r>
              <w:rPr>
                <w:rFonts w:hint="eastAsia" w:ascii="宋体" w:hAnsi="宋体"/>
                <w:sz w:val="18"/>
                <w:szCs w:val="18"/>
              </w:rPr>
              <w:t>观众进退场时 (特别是退场时 )因滑倒、拥挤等原因，发生踩踏事件，出现人员伤亡，产生恶劣影响</w:t>
            </w:r>
          </w:p>
        </w:tc>
        <w:tc>
          <w:tcPr>
            <w:tcW w:w="1403" w:type="dxa"/>
            <w:vAlign w:val="center"/>
          </w:tcPr>
          <w:p>
            <w:pPr>
              <w:overflowPunct w:val="0"/>
              <w:jc w:val="center"/>
              <w:rPr>
                <w:rFonts w:ascii="宋体" w:hAnsi="宋体"/>
                <w:sz w:val="18"/>
                <w:szCs w:val="18"/>
              </w:rPr>
            </w:pPr>
            <w:r>
              <w:rPr>
                <w:rFonts w:hint="eastAsia" w:ascii="宋体" w:hAnsi="宋体"/>
                <w:sz w:val="18"/>
                <w:szCs w:val="18"/>
              </w:rPr>
              <w:t>拥挤踩踏事件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w:t>
            </w:r>
          </w:p>
        </w:tc>
        <w:tc>
          <w:tcPr>
            <w:tcW w:w="1790" w:type="dxa"/>
            <w:vAlign w:val="center"/>
          </w:tcPr>
          <w:p>
            <w:pPr>
              <w:overflowPunct w:val="0"/>
              <w:jc w:val="center"/>
              <w:rPr>
                <w:rFonts w:ascii="宋体" w:hAnsi="宋体"/>
                <w:sz w:val="18"/>
                <w:szCs w:val="18"/>
              </w:rPr>
            </w:pPr>
            <w:r>
              <w:rPr>
                <w:rFonts w:hint="eastAsia" w:ascii="宋体" w:hAnsi="宋体"/>
                <w:sz w:val="18"/>
                <w:szCs w:val="18"/>
              </w:rPr>
              <w:t>物品从高层坠落</w:t>
            </w:r>
          </w:p>
        </w:tc>
        <w:tc>
          <w:tcPr>
            <w:tcW w:w="1553" w:type="dxa"/>
            <w:vAlign w:val="center"/>
          </w:tcPr>
          <w:p>
            <w:pPr>
              <w:overflowPunct w:val="0"/>
              <w:jc w:val="center"/>
              <w:rPr>
                <w:rFonts w:ascii="宋体" w:hAnsi="宋体"/>
                <w:sz w:val="18"/>
                <w:szCs w:val="18"/>
              </w:rPr>
            </w:pPr>
            <w:r>
              <w:rPr>
                <w:rFonts w:hint="eastAsia" w:ascii="宋体" w:hAnsi="宋体"/>
                <w:sz w:val="18"/>
                <w:szCs w:val="18"/>
              </w:rPr>
              <w:t>看台、场馆扶梯下方</w:t>
            </w:r>
          </w:p>
        </w:tc>
        <w:tc>
          <w:tcPr>
            <w:tcW w:w="3402" w:type="dxa"/>
            <w:vAlign w:val="center"/>
          </w:tcPr>
          <w:p>
            <w:pPr>
              <w:overflowPunct w:val="0"/>
              <w:jc w:val="center"/>
              <w:rPr>
                <w:rFonts w:ascii="宋体" w:hAnsi="宋体"/>
                <w:sz w:val="18"/>
                <w:szCs w:val="18"/>
              </w:rPr>
            </w:pPr>
            <w:r>
              <w:rPr>
                <w:rFonts w:hint="eastAsia" w:ascii="宋体" w:hAnsi="宋体"/>
                <w:sz w:val="18"/>
                <w:szCs w:val="18"/>
              </w:rPr>
              <w:t>演出或等待过程中由于个人原因 (有意、无意) 导致个人物品坠落，对人员生命安全、财产安全带来影响</w:t>
            </w:r>
          </w:p>
        </w:tc>
        <w:tc>
          <w:tcPr>
            <w:tcW w:w="1403" w:type="dxa"/>
            <w:vAlign w:val="center"/>
          </w:tcPr>
          <w:p>
            <w:pPr>
              <w:overflowPunct w:val="0"/>
              <w:jc w:val="center"/>
              <w:rPr>
                <w:rFonts w:ascii="宋体" w:hAnsi="宋体"/>
                <w:sz w:val="18"/>
                <w:szCs w:val="18"/>
              </w:rPr>
            </w:pPr>
            <w:r>
              <w:rPr>
                <w:rFonts w:hint="eastAsia" w:ascii="宋体" w:hAnsi="宋体"/>
                <w:sz w:val="18"/>
                <w:szCs w:val="18"/>
              </w:rPr>
              <w:t>高处坠落事件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w:t>
            </w:r>
          </w:p>
        </w:tc>
        <w:tc>
          <w:tcPr>
            <w:tcW w:w="1790" w:type="dxa"/>
            <w:vAlign w:val="center"/>
          </w:tcPr>
          <w:p>
            <w:pPr>
              <w:overflowPunct w:val="0"/>
              <w:jc w:val="center"/>
              <w:rPr>
                <w:rFonts w:ascii="宋体" w:hAnsi="宋体"/>
                <w:sz w:val="18"/>
                <w:szCs w:val="18"/>
              </w:rPr>
            </w:pPr>
            <w:r>
              <w:rPr>
                <w:rFonts w:hint="eastAsia" w:ascii="宋体" w:hAnsi="宋体"/>
                <w:sz w:val="18"/>
                <w:szCs w:val="18"/>
              </w:rPr>
              <w:t>传播不当言论</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志愿者向媒体或利用微博、微信、抖音、快手等社交媒体发布、传播不利言论，或者发生泄密，引起舆情</w:t>
            </w:r>
          </w:p>
        </w:tc>
        <w:tc>
          <w:tcPr>
            <w:tcW w:w="1403" w:type="dxa"/>
            <w:vAlign w:val="center"/>
          </w:tcPr>
          <w:p>
            <w:pPr>
              <w:overflowPunct w:val="0"/>
              <w:jc w:val="center"/>
              <w:rPr>
                <w:rFonts w:ascii="宋体" w:hAnsi="宋体"/>
                <w:sz w:val="18"/>
                <w:szCs w:val="18"/>
              </w:rPr>
            </w:pPr>
            <w:r>
              <w:rPr>
                <w:rFonts w:hint="eastAsia" w:ascii="宋体" w:hAnsi="宋体"/>
                <w:sz w:val="18"/>
                <w:szCs w:val="18"/>
              </w:rPr>
              <w:t>舆情事件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w:t>
            </w:r>
          </w:p>
        </w:tc>
        <w:tc>
          <w:tcPr>
            <w:tcW w:w="1790" w:type="dxa"/>
            <w:vAlign w:val="center"/>
          </w:tcPr>
          <w:p>
            <w:pPr>
              <w:overflowPunct w:val="0"/>
              <w:jc w:val="center"/>
              <w:rPr>
                <w:rFonts w:ascii="宋体" w:hAnsi="宋体"/>
                <w:sz w:val="18"/>
                <w:szCs w:val="18"/>
              </w:rPr>
            </w:pPr>
            <w:r>
              <w:rPr>
                <w:rFonts w:hint="eastAsia" w:ascii="宋体" w:hAnsi="宋体"/>
                <w:sz w:val="18"/>
                <w:szCs w:val="18"/>
              </w:rPr>
              <w:t>人员不当行为</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有人在活动区域打出标语或旗帜，或者身着带有示威抗议性质的服装入场</w:t>
            </w:r>
          </w:p>
        </w:tc>
        <w:tc>
          <w:tcPr>
            <w:tcW w:w="1403" w:type="dxa"/>
            <w:vAlign w:val="center"/>
          </w:tcPr>
          <w:p>
            <w:pPr>
              <w:overflowPunct w:val="0"/>
              <w:jc w:val="center"/>
              <w:rPr>
                <w:rFonts w:ascii="宋体" w:hAnsi="宋体"/>
                <w:sz w:val="18"/>
                <w:szCs w:val="18"/>
              </w:rPr>
            </w:pPr>
            <w:r>
              <w:rPr>
                <w:rFonts w:hint="eastAsia" w:ascii="宋体" w:hAnsi="宋体"/>
                <w:sz w:val="18"/>
                <w:szCs w:val="18"/>
              </w:rPr>
              <w:t>舆情事件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5</w:t>
            </w:r>
          </w:p>
        </w:tc>
        <w:tc>
          <w:tcPr>
            <w:tcW w:w="1790" w:type="dxa"/>
            <w:vAlign w:val="center"/>
          </w:tcPr>
          <w:p>
            <w:pPr>
              <w:overflowPunct w:val="0"/>
              <w:jc w:val="center"/>
              <w:rPr>
                <w:rFonts w:ascii="宋体" w:hAnsi="宋体"/>
                <w:sz w:val="18"/>
                <w:szCs w:val="18"/>
              </w:rPr>
            </w:pPr>
            <w:r>
              <w:rPr>
                <w:rFonts w:hint="eastAsia" w:ascii="宋体" w:hAnsi="宋体"/>
                <w:sz w:val="18"/>
                <w:szCs w:val="18"/>
              </w:rPr>
              <w:t>食物中毒</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餐饮区</w:t>
            </w:r>
          </w:p>
        </w:tc>
        <w:tc>
          <w:tcPr>
            <w:tcW w:w="3402" w:type="dxa"/>
            <w:vAlign w:val="center"/>
          </w:tcPr>
          <w:p>
            <w:pPr>
              <w:overflowPunct w:val="0"/>
              <w:jc w:val="center"/>
              <w:rPr>
                <w:rFonts w:ascii="宋体" w:hAnsi="宋体"/>
                <w:sz w:val="18"/>
                <w:szCs w:val="18"/>
              </w:rPr>
            </w:pPr>
            <w:r>
              <w:rPr>
                <w:rFonts w:hint="eastAsia" w:ascii="宋体" w:hAnsi="宋体"/>
                <w:sz w:val="18"/>
                <w:szCs w:val="18"/>
              </w:rPr>
              <w:t>场馆发生人员食物中毒事件，有头晕恶心、呕吐、腹泻、休克等症状</w:t>
            </w:r>
          </w:p>
        </w:tc>
        <w:tc>
          <w:tcPr>
            <w:tcW w:w="1403" w:type="dxa"/>
            <w:vAlign w:val="center"/>
          </w:tcPr>
          <w:p>
            <w:pPr>
              <w:overflowPunct w:val="0"/>
              <w:jc w:val="center"/>
              <w:rPr>
                <w:rFonts w:ascii="宋体" w:hAnsi="宋体"/>
                <w:sz w:val="18"/>
                <w:szCs w:val="18"/>
              </w:rPr>
            </w:pPr>
            <w:r>
              <w:rPr>
                <w:rFonts w:hint="eastAsia" w:ascii="宋体" w:hAnsi="宋体"/>
                <w:sz w:val="18"/>
                <w:szCs w:val="18"/>
              </w:rPr>
              <w:t>食物安全事件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6</w:t>
            </w:r>
          </w:p>
        </w:tc>
        <w:tc>
          <w:tcPr>
            <w:tcW w:w="1790" w:type="dxa"/>
            <w:vAlign w:val="center"/>
          </w:tcPr>
          <w:p>
            <w:pPr>
              <w:overflowPunct w:val="0"/>
              <w:jc w:val="center"/>
              <w:rPr>
                <w:rFonts w:ascii="宋体" w:hAnsi="宋体"/>
                <w:sz w:val="18"/>
                <w:szCs w:val="18"/>
              </w:rPr>
            </w:pPr>
            <w:r>
              <w:rPr>
                <w:rFonts w:hint="eastAsia" w:ascii="宋体" w:hAnsi="宋体"/>
                <w:sz w:val="18"/>
                <w:szCs w:val="18"/>
              </w:rPr>
              <w:t>发生车辆、行人交通事故</w:t>
            </w:r>
          </w:p>
        </w:tc>
        <w:tc>
          <w:tcPr>
            <w:tcW w:w="1553" w:type="dxa"/>
            <w:vAlign w:val="center"/>
          </w:tcPr>
          <w:p>
            <w:pPr>
              <w:overflowPunct w:val="0"/>
              <w:jc w:val="center"/>
              <w:rPr>
                <w:rFonts w:ascii="宋体" w:hAnsi="宋体"/>
                <w:sz w:val="18"/>
                <w:szCs w:val="18"/>
              </w:rPr>
            </w:pPr>
            <w:r>
              <w:rPr>
                <w:rFonts w:hint="eastAsia" w:ascii="宋体" w:hAnsi="宋体"/>
                <w:sz w:val="18"/>
                <w:szCs w:val="18"/>
              </w:rPr>
              <w:t>运输道路和</w:t>
            </w:r>
          </w:p>
          <w:p>
            <w:pPr>
              <w:overflowPunct w:val="0"/>
              <w:jc w:val="center"/>
              <w:rPr>
                <w:rFonts w:ascii="宋体" w:hAnsi="宋体"/>
                <w:sz w:val="18"/>
                <w:szCs w:val="18"/>
              </w:rPr>
            </w:pPr>
            <w:r>
              <w:rPr>
                <w:rFonts w:hint="eastAsia" w:ascii="宋体" w:hAnsi="宋体"/>
                <w:sz w:val="18"/>
                <w:szCs w:val="18"/>
              </w:rPr>
              <w:t>人车交汇处</w:t>
            </w:r>
          </w:p>
        </w:tc>
        <w:tc>
          <w:tcPr>
            <w:tcW w:w="3402" w:type="dxa"/>
            <w:vAlign w:val="center"/>
          </w:tcPr>
          <w:p>
            <w:pPr>
              <w:overflowPunct w:val="0"/>
              <w:jc w:val="center"/>
              <w:rPr>
                <w:rFonts w:ascii="宋体" w:hAnsi="宋体"/>
                <w:sz w:val="18"/>
                <w:szCs w:val="18"/>
              </w:rPr>
            </w:pPr>
            <w:r>
              <w:rPr>
                <w:rFonts w:hint="eastAsia" w:ascii="宋体" w:hAnsi="宋体"/>
                <w:sz w:val="18"/>
                <w:szCs w:val="18"/>
              </w:rPr>
              <w:t>交通事故导致相关人员受伤，人员在上下车或行进途中摔倒、磕碰等，引起聚集围观和交通堵塞</w:t>
            </w:r>
          </w:p>
        </w:tc>
        <w:tc>
          <w:tcPr>
            <w:tcW w:w="1403" w:type="dxa"/>
            <w:vAlign w:val="center"/>
          </w:tcPr>
          <w:p>
            <w:pPr>
              <w:overflowPunct w:val="0"/>
              <w:jc w:val="center"/>
              <w:rPr>
                <w:rFonts w:ascii="宋体" w:hAnsi="宋体"/>
                <w:sz w:val="18"/>
                <w:szCs w:val="18"/>
              </w:rPr>
            </w:pPr>
            <w:r>
              <w:rPr>
                <w:rFonts w:hint="eastAsia" w:ascii="宋体" w:hAnsi="宋体"/>
                <w:sz w:val="18"/>
                <w:szCs w:val="18"/>
              </w:rPr>
              <w:t>交通事故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7</w:t>
            </w:r>
          </w:p>
        </w:tc>
        <w:tc>
          <w:tcPr>
            <w:tcW w:w="1790" w:type="dxa"/>
            <w:vAlign w:val="center"/>
          </w:tcPr>
          <w:p>
            <w:pPr>
              <w:overflowPunct w:val="0"/>
              <w:jc w:val="center"/>
              <w:rPr>
                <w:rFonts w:ascii="宋体" w:hAnsi="宋体"/>
                <w:sz w:val="18"/>
                <w:szCs w:val="18"/>
              </w:rPr>
            </w:pPr>
            <w:r>
              <w:rPr>
                <w:rFonts w:hint="eastAsia" w:ascii="宋体" w:hAnsi="宋体"/>
                <w:sz w:val="18"/>
                <w:szCs w:val="18"/>
              </w:rPr>
              <w:t>素材泄漏</w:t>
            </w:r>
          </w:p>
        </w:tc>
        <w:tc>
          <w:tcPr>
            <w:tcW w:w="1553" w:type="dxa"/>
            <w:vAlign w:val="center"/>
          </w:tcPr>
          <w:p>
            <w:pPr>
              <w:overflowPunct w:val="0"/>
              <w:jc w:val="center"/>
              <w:rPr>
                <w:rFonts w:ascii="宋体" w:hAnsi="宋体"/>
                <w:sz w:val="18"/>
                <w:szCs w:val="18"/>
              </w:rPr>
            </w:pPr>
            <w:r>
              <w:rPr>
                <w:rFonts w:hint="eastAsia" w:ascii="宋体" w:hAnsi="宋体"/>
                <w:sz w:val="18"/>
                <w:szCs w:val="18"/>
              </w:rPr>
              <w:t>互联网</w:t>
            </w:r>
          </w:p>
        </w:tc>
        <w:tc>
          <w:tcPr>
            <w:tcW w:w="3402" w:type="dxa"/>
            <w:vAlign w:val="center"/>
          </w:tcPr>
          <w:p>
            <w:pPr>
              <w:overflowPunct w:val="0"/>
              <w:jc w:val="center"/>
              <w:rPr>
                <w:rFonts w:ascii="宋体" w:hAnsi="宋体"/>
                <w:sz w:val="18"/>
                <w:szCs w:val="18"/>
              </w:rPr>
            </w:pPr>
            <w:r>
              <w:rPr>
                <w:rFonts w:hint="eastAsia" w:ascii="宋体" w:hAnsi="宋体"/>
                <w:sz w:val="18"/>
                <w:szCs w:val="18"/>
              </w:rPr>
              <w:t>演出训练影像素材泄漏及传播</w:t>
            </w:r>
          </w:p>
        </w:tc>
        <w:tc>
          <w:tcPr>
            <w:tcW w:w="1403" w:type="dxa"/>
            <w:vAlign w:val="center"/>
          </w:tcPr>
          <w:p>
            <w:pPr>
              <w:overflowPunct w:val="0"/>
              <w:jc w:val="center"/>
              <w:rPr>
                <w:rFonts w:ascii="宋体" w:hAnsi="宋体"/>
                <w:sz w:val="18"/>
                <w:szCs w:val="18"/>
              </w:rPr>
            </w:pPr>
            <w:r>
              <w:rPr>
                <w:rFonts w:hint="eastAsia" w:ascii="宋体" w:hAnsi="宋体"/>
                <w:sz w:val="18"/>
                <w:szCs w:val="18"/>
              </w:rPr>
              <w:t>泄密事件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8</w:t>
            </w:r>
          </w:p>
        </w:tc>
        <w:tc>
          <w:tcPr>
            <w:tcW w:w="1790" w:type="dxa"/>
            <w:vAlign w:val="center"/>
          </w:tcPr>
          <w:p>
            <w:pPr>
              <w:overflowPunct w:val="0"/>
              <w:jc w:val="center"/>
              <w:rPr>
                <w:rFonts w:ascii="宋体" w:hAnsi="宋体"/>
                <w:sz w:val="18"/>
                <w:szCs w:val="18"/>
              </w:rPr>
            </w:pPr>
            <w:r>
              <w:rPr>
                <w:rFonts w:hint="eastAsia" w:ascii="宋体" w:hAnsi="宋体"/>
                <w:sz w:val="18"/>
                <w:szCs w:val="18"/>
              </w:rPr>
              <w:t>重要人员无法到场</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与活动相关重要人员因故不能按时到场，引起群体冲突</w:t>
            </w:r>
          </w:p>
        </w:tc>
        <w:tc>
          <w:tcPr>
            <w:tcW w:w="1403" w:type="dxa"/>
            <w:vAlign w:val="center"/>
          </w:tcPr>
          <w:p>
            <w:pPr>
              <w:overflowPunct w:val="0"/>
              <w:jc w:val="center"/>
              <w:rPr>
                <w:rFonts w:ascii="宋体" w:hAnsi="宋体"/>
                <w:sz w:val="18"/>
                <w:szCs w:val="18"/>
              </w:rPr>
            </w:pPr>
            <w:r>
              <w:rPr>
                <w:rFonts w:hint="eastAsia" w:ascii="宋体" w:hAnsi="宋体"/>
                <w:sz w:val="18"/>
                <w:szCs w:val="18"/>
              </w:rPr>
              <w:t>群体事件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9</w:t>
            </w:r>
          </w:p>
        </w:tc>
        <w:tc>
          <w:tcPr>
            <w:tcW w:w="1790" w:type="dxa"/>
            <w:vAlign w:val="center"/>
          </w:tcPr>
          <w:p>
            <w:pPr>
              <w:overflowPunct w:val="0"/>
              <w:jc w:val="center"/>
              <w:rPr>
                <w:rFonts w:ascii="宋体" w:hAnsi="宋体"/>
                <w:sz w:val="18"/>
                <w:szCs w:val="18"/>
              </w:rPr>
            </w:pPr>
            <w:r>
              <w:rPr>
                <w:rFonts w:hint="eastAsia" w:ascii="宋体" w:hAnsi="宋体"/>
                <w:sz w:val="18"/>
                <w:szCs w:val="18"/>
              </w:rPr>
              <w:t>观众与志愿者言语或肢体冲突</w:t>
            </w:r>
          </w:p>
        </w:tc>
        <w:tc>
          <w:tcPr>
            <w:tcW w:w="1553" w:type="dxa"/>
            <w:vAlign w:val="center"/>
          </w:tcPr>
          <w:p>
            <w:pPr>
              <w:overflowPunct w:val="0"/>
              <w:jc w:val="center"/>
              <w:rPr>
                <w:rFonts w:ascii="宋体" w:hAnsi="宋体"/>
                <w:sz w:val="18"/>
                <w:szCs w:val="18"/>
              </w:rPr>
            </w:pPr>
            <w:r>
              <w:rPr>
                <w:rFonts w:hint="eastAsia" w:ascii="宋体" w:hAnsi="宋体"/>
                <w:sz w:val="18"/>
                <w:szCs w:val="18"/>
              </w:rPr>
              <w:t>楼梯及通道、检票口、集散区、环廊、看台</w:t>
            </w:r>
          </w:p>
        </w:tc>
        <w:tc>
          <w:tcPr>
            <w:tcW w:w="3402" w:type="dxa"/>
            <w:vAlign w:val="center"/>
          </w:tcPr>
          <w:p>
            <w:pPr>
              <w:overflowPunct w:val="0"/>
              <w:jc w:val="center"/>
              <w:rPr>
                <w:rFonts w:ascii="宋体" w:hAnsi="宋体"/>
                <w:sz w:val="18"/>
                <w:szCs w:val="18"/>
              </w:rPr>
            </w:pPr>
            <w:r>
              <w:rPr>
                <w:rFonts w:hint="eastAsia" w:ascii="宋体" w:hAnsi="宋体"/>
                <w:sz w:val="18"/>
                <w:szCs w:val="18"/>
              </w:rPr>
              <w:t>观众因对服务不满或其他纠纷，对志愿者进行言语攻击，甚至肢体攻击 (单向、双向)，引起群体冲突</w:t>
            </w:r>
          </w:p>
        </w:tc>
        <w:tc>
          <w:tcPr>
            <w:tcW w:w="1403" w:type="dxa"/>
            <w:vAlign w:val="center"/>
          </w:tcPr>
          <w:p>
            <w:pPr>
              <w:overflowPunct w:val="0"/>
              <w:jc w:val="center"/>
              <w:rPr>
                <w:rFonts w:ascii="宋体" w:hAnsi="宋体"/>
                <w:sz w:val="18"/>
                <w:szCs w:val="18"/>
              </w:rPr>
            </w:pPr>
            <w:r>
              <w:rPr>
                <w:rFonts w:hint="eastAsia" w:ascii="宋体" w:hAnsi="宋体"/>
                <w:sz w:val="18"/>
                <w:szCs w:val="18"/>
              </w:rPr>
              <w:t>群体事件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10</w:t>
            </w:r>
          </w:p>
        </w:tc>
        <w:tc>
          <w:tcPr>
            <w:tcW w:w="1790" w:type="dxa"/>
            <w:vAlign w:val="center"/>
          </w:tcPr>
          <w:p>
            <w:pPr>
              <w:overflowPunct w:val="0"/>
              <w:jc w:val="center"/>
              <w:rPr>
                <w:rFonts w:ascii="宋体" w:hAnsi="宋体"/>
                <w:sz w:val="18"/>
                <w:szCs w:val="18"/>
              </w:rPr>
            </w:pPr>
            <w:r>
              <w:rPr>
                <w:rFonts w:hint="eastAsia" w:ascii="宋体" w:hAnsi="宋体"/>
                <w:sz w:val="18"/>
                <w:szCs w:val="18"/>
              </w:rPr>
              <w:t>部分志愿者缺勤或延迟到岗</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志愿者因为极端天气或个人原因等出现缺勤或不能按时到岗</w:t>
            </w:r>
          </w:p>
        </w:tc>
        <w:tc>
          <w:tcPr>
            <w:tcW w:w="1403" w:type="dxa"/>
            <w:vAlign w:val="center"/>
          </w:tcPr>
          <w:p>
            <w:pPr>
              <w:overflowPunct w:val="0"/>
              <w:jc w:val="center"/>
              <w:rPr>
                <w:rFonts w:ascii="宋体" w:hAnsi="宋体"/>
                <w:sz w:val="18"/>
                <w:szCs w:val="18"/>
              </w:rPr>
            </w:pPr>
            <w:r>
              <w:rPr>
                <w:rFonts w:hint="eastAsia" w:ascii="宋体" w:hAnsi="宋体"/>
                <w:sz w:val="18"/>
                <w:szCs w:val="18"/>
              </w:rPr>
              <w:t>应急保障不力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11</w:t>
            </w:r>
          </w:p>
        </w:tc>
        <w:tc>
          <w:tcPr>
            <w:tcW w:w="1790" w:type="dxa"/>
            <w:vAlign w:val="center"/>
          </w:tcPr>
          <w:p>
            <w:pPr>
              <w:overflowPunct w:val="0"/>
              <w:jc w:val="center"/>
              <w:rPr>
                <w:rFonts w:ascii="宋体" w:hAnsi="宋体"/>
                <w:sz w:val="18"/>
                <w:szCs w:val="18"/>
              </w:rPr>
            </w:pPr>
            <w:r>
              <w:rPr>
                <w:rFonts w:hint="eastAsia" w:ascii="宋体" w:hAnsi="宋体"/>
                <w:sz w:val="18"/>
                <w:szCs w:val="18"/>
              </w:rPr>
              <w:t>高空作业等意外事故导致人员受伤</w:t>
            </w:r>
          </w:p>
        </w:tc>
        <w:tc>
          <w:tcPr>
            <w:tcW w:w="1553" w:type="dxa"/>
            <w:vAlign w:val="center"/>
          </w:tcPr>
          <w:p>
            <w:pPr>
              <w:overflowPunct w:val="0"/>
              <w:jc w:val="center"/>
              <w:rPr>
                <w:rFonts w:ascii="宋体" w:hAnsi="宋体"/>
                <w:sz w:val="18"/>
                <w:szCs w:val="18"/>
              </w:rPr>
            </w:pPr>
            <w:r>
              <w:rPr>
                <w:rFonts w:hint="eastAsia" w:ascii="宋体" w:hAnsi="宋体"/>
                <w:sz w:val="18"/>
                <w:szCs w:val="18"/>
              </w:rPr>
              <w:t>高空设备安装区域</w:t>
            </w:r>
          </w:p>
        </w:tc>
        <w:tc>
          <w:tcPr>
            <w:tcW w:w="3402" w:type="dxa"/>
            <w:vAlign w:val="center"/>
          </w:tcPr>
          <w:p>
            <w:pPr>
              <w:overflowPunct w:val="0"/>
              <w:jc w:val="center"/>
              <w:rPr>
                <w:rFonts w:ascii="宋体" w:hAnsi="宋体"/>
                <w:sz w:val="18"/>
                <w:szCs w:val="18"/>
              </w:rPr>
            </w:pPr>
            <w:r>
              <w:rPr>
                <w:rFonts w:hint="eastAsia" w:ascii="宋体" w:hAnsi="宋体"/>
                <w:sz w:val="18"/>
                <w:szCs w:val="18"/>
              </w:rPr>
              <w:t>工人在高空作业等施工过程中发生意外事故导致人员受伤</w:t>
            </w:r>
          </w:p>
        </w:tc>
        <w:tc>
          <w:tcPr>
            <w:tcW w:w="1403" w:type="dxa"/>
            <w:vAlign w:val="center"/>
          </w:tcPr>
          <w:p>
            <w:pPr>
              <w:overflowPunct w:val="0"/>
              <w:jc w:val="center"/>
              <w:rPr>
                <w:rFonts w:ascii="宋体" w:hAnsi="宋体"/>
                <w:sz w:val="18"/>
                <w:szCs w:val="18"/>
              </w:rPr>
            </w:pPr>
            <w:r>
              <w:rPr>
                <w:rFonts w:hint="eastAsia" w:ascii="宋体" w:hAnsi="宋体"/>
                <w:sz w:val="18"/>
                <w:szCs w:val="18"/>
              </w:rPr>
              <w:t>高处坠落事件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12</w:t>
            </w:r>
          </w:p>
        </w:tc>
        <w:tc>
          <w:tcPr>
            <w:tcW w:w="1790" w:type="dxa"/>
            <w:vAlign w:val="center"/>
          </w:tcPr>
          <w:p>
            <w:pPr>
              <w:overflowPunct w:val="0"/>
              <w:jc w:val="center"/>
              <w:rPr>
                <w:rFonts w:ascii="宋体" w:hAnsi="宋体"/>
                <w:sz w:val="18"/>
                <w:szCs w:val="18"/>
              </w:rPr>
            </w:pPr>
            <w:r>
              <w:rPr>
                <w:rFonts w:hint="eastAsia" w:ascii="宋体" w:hAnsi="宋体"/>
                <w:sz w:val="18"/>
                <w:szCs w:val="18"/>
              </w:rPr>
              <w:t>操控失误导致流程中断</w:t>
            </w:r>
          </w:p>
        </w:tc>
        <w:tc>
          <w:tcPr>
            <w:tcW w:w="1553" w:type="dxa"/>
            <w:vAlign w:val="center"/>
          </w:tcPr>
          <w:p>
            <w:pPr>
              <w:overflowPunct w:val="0"/>
              <w:jc w:val="center"/>
              <w:rPr>
                <w:rFonts w:ascii="宋体" w:hAnsi="宋体"/>
                <w:sz w:val="18"/>
                <w:szCs w:val="18"/>
              </w:rPr>
            </w:pPr>
            <w:r>
              <w:rPr>
                <w:rFonts w:hint="eastAsia" w:ascii="宋体" w:hAnsi="宋体"/>
                <w:sz w:val="18"/>
                <w:szCs w:val="18"/>
              </w:rPr>
              <w:t>指挥大厅</w:t>
            </w:r>
          </w:p>
        </w:tc>
        <w:tc>
          <w:tcPr>
            <w:tcW w:w="3402" w:type="dxa"/>
            <w:vAlign w:val="center"/>
          </w:tcPr>
          <w:p>
            <w:pPr>
              <w:overflowPunct w:val="0"/>
              <w:jc w:val="center"/>
              <w:rPr>
                <w:rFonts w:ascii="宋体" w:hAnsi="宋体"/>
                <w:sz w:val="18"/>
                <w:szCs w:val="18"/>
              </w:rPr>
            </w:pPr>
            <w:r>
              <w:rPr>
                <w:rFonts w:hint="eastAsia" w:ascii="宋体" w:hAnsi="宋体"/>
                <w:sz w:val="18"/>
                <w:szCs w:val="18"/>
              </w:rPr>
              <w:t>操作员操作错误导致流程中断或异常，引起群体冲突</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bl>
    <w:p>
      <w:pPr>
        <w:jc w:val="center"/>
        <w:rPr>
          <w:szCs w:val="21"/>
        </w:rPr>
      </w:pPr>
      <w:r>
        <w:br w:type="page"/>
      </w: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重大活动风险排查要素参考表</w:t>
      </w:r>
      <w:r>
        <w:rPr>
          <w:rFonts w:hint="eastAsia" w:asciiTheme="minorEastAsia" w:hAnsiTheme="minorEastAsia" w:eastAsiaTheme="minorEastAsia"/>
          <w:szCs w:val="21"/>
        </w:rPr>
        <w:t>（续）</w:t>
      </w:r>
    </w:p>
    <w:tbl>
      <w:tblPr>
        <w:tblStyle w:val="34"/>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3"/>
        <w:gridCol w:w="600"/>
        <w:gridCol w:w="1790"/>
        <w:gridCol w:w="1553"/>
        <w:gridCol w:w="3402"/>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Align w:val="center"/>
          </w:tcPr>
          <w:p>
            <w:pPr>
              <w:overflowPunct w:val="0"/>
              <w:jc w:val="center"/>
              <w:rPr>
                <w:rFonts w:ascii="宋体" w:hAnsi="宋体"/>
                <w:sz w:val="18"/>
                <w:szCs w:val="18"/>
              </w:rPr>
            </w:pPr>
            <w:r>
              <w:rPr>
                <w:rFonts w:hint="eastAsia" w:ascii="宋体" w:hAnsi="宋体"/>
                <w:sz w:val="18"/>
                <w:szCs w:val="18"/>
              </w:rPr>
              <w:t>风险因素</w:t>
            </w:r>
          </w:p>
        </w:tc>
        <w:tc>
          <w:tcPr>
            <w:tcW w:w="600" w:type="dxa"/>
            <w:vAlign w:val="center"/>
          </w:tcPr>
          <w:p>
            <w:pPr>
              <w:overflowPunct w:val="0"/>
              <w:jc w:val="center"/>
              <w:rPr>
                <w:rFonts w:ascii="宋体" w:hAnsi="宋体"/>
                <w:sz w:val="18"/>
                <w:szCs w:val="18"/>
              </w:rPr>
            </w:pPr>
            <w:r>
              <w:rPr>
                <w:rFonts w:hint="eastAsia" w:ascii="宋体" w:hAnsi="宋体"/>
                <w:sz w:val="18"/>
                <w:szCs w:val="18"/>
              </w:rPr>
              <w:t>序号</w:t>
            </w:r>
          </w:p>
        </w:tc>
        <w:tc>
          <w:tcPr>
            <w:tcW w:w="1790" w:type="dxa"/>
            <w:vAlign w:val="center"/>
          </w:tcPr>
          <w:p>
            <w:pPr>
              <w:overflowPunct w:val="0"/>
              <w:jc w:val="center"/>
              <w:rPr>
                <w:rFonts w:ascii="宋体" w:hAnsi="宋体"/>
                <w:sz w:val="18"/>
                <w:szCs w:val="18"/>
              </w:rPr>
            </w:pPr>
            <w:r>
              <w:rPr>
                <w:rFonts w:hint="eastAsia" w:ascii="宋体" w:hAnsi="宋体"/>
                <w:sz w:val="18"/>
                <w:szCs w:val="18"/>
              </w:rPr>
              <w:t>风险描述</w:t>
            </w:r>
          </w:p>
        </w:tc>
        <w:tc>
          <w:tcPr>
            <w:tcW w:w="1553" w:type="dxa"/>
            <w:vAlign w:val="center"/>
          </w:tcPr>
          <w:p>
            <w:pPr>
              <w:overflowPunct w:val="0"/>
              <w:jc w:val="center"/>
              <w:rPr>
                <w:rFonts w:ascii="宋体" w:hAnsi="宋体"/>
                <w:sz w:val="18"/>
                <w:szCs w:val="18"/>
              </w:rPr>
            </w:pPr>
            <w:r>
              <w:rPr>
                <w:rFonts w:hint="eastAsia" w:ascii="宋体" w:hAnsi="宋体"/>
                <w:sz w:val="18"/>
                <w:szCs w:val="18"/>
              </w:rPr>
              <w:t>风险点位</w:t>
            </w:r>
          </w:p>
        </w:tc>
        <w:tc>
          <w:tcPr>
            <w:tcW w:w="3402" w:type="dxa"/>
            <w:vAlign w:val="center"/>
          </w:tcPr>
          <w:p>
            <w:pPr>
              <w:overflowPunct w:val="0"/>
              <w:jc w:val="center"/>
              <w:rPr>
                <w:rFonts w:ascii="宋体" w:hAnsi="宋体"/>
                <w:sz w:val="18"/>
                <w:szCs w:val="18"/>
              </w:rPr>
            </w:pPr>
            <w:r>
              <w:rPr>
                <w:rFonts w:hint="eastAsia" w:ascii="宋体" w:hAnsi="宋体"/>
                <w:sz w:val="18"/>
                <w:szCs w:val="18"/>
              </w:rPr>
              <w:t>风险分析</w:t>
            </w:r>
          </w:p>
        </w:tc>
        <w:tc>
          <w:tcPr>
            <w:tcW w:w="1403" w:type="dxa"/>
            <w:vAlign w:val="center"/>
          </w:tcPr>
          <w:p>
            <w:pPr>
              <w:overflowPunct w:val="0"/>
              <w:jc w:val="center"/>
              <w:rPr>
                <w:rFonts w:ascii="宋体" w:hAnsi="宋体"/>
                <w:sz w:val="18"/>
                <w:szCs w:val="18"/>
              </w:rPr>
            </w:pPr>
            <w:r>
              <w:rPr>
                <w:rFonts w:hint="eastAsia" w:ascii="宋体" w:hAnsi="宋体"/>
                <w:sz w:val="18"/>
                <w:szCs w:val="18"/>
              </w:rPr>
              <w:t>引发后果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人员行为风险</w:t>
            </w:r>
          </w:p>
        </w:tc>
        <w:tc>
          <w:tcPr>
            <w:tcW w:w="600" w:type="dxa"/>
            <w:vAlign w:val="center"/>
          </w:tcPr>
          <w:p>
            <w:pPr>
              <w:overflowPunct w:val="0"/>
              <w:jc w:val="center"/>
              <w:rPr>
                <w:rFonts w:ascii="宋体" w:hAnsi="宋体"/>
                <w:sz w:val="18"/>
                <w:szCs w:val="18"/>
              </w:rPr>
            </w:pPr>
            <w:r>
              <w:rPr>
                <w:rFonts w:hint="eastAsia" w:ascii="宋体" w:hAnsi="宋体"/>
                <w:sz w:val="18"/>
                <w:szCs w:val="18"/>
              </w:rPr>
              <w:t>13</w:t>
            </w:r>
          </w:p>
        </w:tc>
        <w:tc>
          <w:tcPr>
            <w:tcW w:w="1790" w:type="dxa"/>
            <w:vAlign w:val="center"/>
          </w:tcPr>
          <w:p>
            <w:pPr>
              <w:overflowPunct w:val="0"/>
              <w:jc w:val="center"/>
              <w:rPr>
                <w:rFonts w:ascii="宋体" w:hAnsi="宋体"/>
                <w:sz w:val="18"/>
                <w:szCs w:val="18"/>
              </w:rPr>
            </w:pPr>
            <w:r>
              <w:rPr>
                <w:rFonts w:hint="eastAsia" w:ascii="宋体" w:hAnsi="宋体"/>
                <w:sz w:val="18"/>
                <w:szCs w:val="18"/>
              </w:rPr>
              <w:t>餐饮工作人员被蒸汽烫伤</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餐饮厨房</w:t>
            </w:r>
          </w:p>
        </w:tc>
        <w:tc>
          <w:tcPr>
            <w:tcW w:w="3402" w:type="dxa"/>
            <w:vAlign w:val="center"/>
          </w:tcPr>
          <w:p>
            <w:pPr>
              <w:overflowPunct w:val="0"/>
              <w:jc w:val="center"/>
              <w:rPr>
                <w:rFonts w:ascii="宋体" w:hAnsi="宋体"/>
                <w:sz w:val="18"/>
                <w:szCs w:val="18"/>
              </w:rPr>
            </w:pPr>
            <w:r>
              <w:rPr>
                <w:rFonts w:hint="eastAsia" w:ascii="宋体" w:hAnsi="宋体"/>
                <w:sz w:val="18"/>
                <w:szCs w:val="18"/>
              </w:rPr>
              <w:t>餐饮工作人员被蒸汽烫伤，昏迷休克，身上出现表皮破损情况</w:t>
            </w:r>
          </w:p>
        </w:tc>
        <w:tc>
          <w:tcPr>
            <w:tcW w:w="1403" w:type="dxa"/>
            <w:vAlign w:val="center"/>
          </w:tcPr>
          <w:p>
            <w:pPr>
              <w:overflowPunct w:val="0"/>
              <w:jc w:val="center"/>
              <w:rPr>
                <w:rFonts w:ascii="宋体" w:hAnsi="宋体"/>
                <w:sz w:val="18"/>
                <w:szCs w:val="18"/>
              </w:rPr>
            </w:pPr>
            <w:r>
              <w:rPr>
                <w:rFonts w:hint="eastAsia" w:ascii="宋体" w:hAnsi="宋体"/>
                <w:sz w:val="18"/>
                <w:szCs w:val="18"/>
              </w:rPr>
              <w:t>意外伤害事件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14</w:t>
            </w:r>
          </w:p>
        </w:tc>
        <w:tc>
          <w:tcPr>
            <w:tcW w:w="1790" w:type="dxa"/>
            <w:vAlign w:val="center"/>
          </w:tcPr>
          <w:p>
            <w:pPr>
              <w:overflowPunct w:val="0"/>
              <w:jc w:val="center"/>
              <w:rPr>
                <w:rFonts w:ascii="宋体" w:hAnsi="宋体"/>
                <w:sz w:val="18"/>
                <w:szCs w:val="18"/>
              </w:rPr>
            </w:pPr>
            <w:r>
              <w:rPr>
                <w:rFonts w:hint="eastAsia" w:ascii="宋体" w:hAnsi="宋体"/>
                <w:sz w:val="18"/>
                <w:szCs w:val="18"/>
              </w:rPr>
              <w:t>投毒等恶意破坏行为</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餐饮就餐区</w:t>
            </w:r>
          </w:p>
        </w:tc>
        <w:tc>
          <w:tcPr>
            <w:tcW w:w="3402" w:type="dxa"/>
            <w:vAlign w:val="center"/>
          </w:tcPr>
          <w:p>
            <w:pPr>
              <w:overflowPunct w:val="0"/>
              <w:jc w:val="center"/>
              <w:rPr>
                <w:rFonts w:ascii="宋体" w:hAnsi="宋体"/>
                <w:sz w:val="18"/>
                <w:szCs w:val="18"/>
              </w:rPr>
            </w:pPr>
            <w:r>
              <w:rPr>
                <w:rFonts w:hint="eastAsia" w:ascii="宋体" w:hAnsi="宋体"/>
                <w:sz w:val="18"/>
                <w:szCs w:val="18"/>
              </w:rPr>
              <w:t>餐饮食品及原材料的储存、制作、售卖和餐用具的消毒等餐饮过程中出现投毒等恶意破坏行为</w:t>
            </w:r>
          </w:p>
        </w:tc>
        <w:tc>
          <w:tcPr>
            <w:tcW w:w="1403" w:type="dxa"/>
            <w:vAlign w:val="center"/>
          </w:tcPr>
          <w:p>
            <w:pPr>
              <w:overflowPunct w:val="0"/>
              <w:jc w:val="center"/>
              <w:rPr>
                <w:rFonts w:ascii="宋体" w:hAnsi="宋体"/>
                <w:sz w:val="18"/>
                <w:szCs w:val="18"/>
              </w:rPr>
            </w:pPr>
            <w:r>
              <w:rPr>
                <w:rFonts w:hint="eastAsia" w:ascii="宋体" w:hAnsi="宋体"/>
                <w:sz w:val="18"/>
                <w:szCs w:val="18"/>
              </w:rPr>
              <w:t>治安事件及食品安全事件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15</w:t>
            </w:r>
          </w:p>
        </w:tc>
        <w:tc>
          <w:tcPr>
            <w:tcW w:w="1790" w:type="dxa"/>
            <w:vAlign w:val="center"/>
          </w:tcPr>
          <w:p>
            <w:pPr>
              <w:overflowPunct w:val="0"/>
              <w:jc w:val="center"/>
              <w:rPr>
                <w:rFonts w:ascii="宋体" w:hAnsi="宋体"/>
                <w:sz w:val="18"/>
                <w:szCs w:val="18"/>
              </w:rPr>
            </w:pPr>
            <w:r>
              <w:rPr>
                <w:rFonts w:hint="eastAsia" w:ascii="宋体" w:hAnsi="宋体"/>
                <w:sz w:val="18"/>
                <w:szCs w:val="18"/>
              </w:rPr>
              <w:t>出现遗留物品</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活动区域出现未经审核批准的出版物或不明遗留物品</w:t>
            </w:r>
          </w:p>
        </w:tc>
        <w:tc>
          <w:tcPr>
            <w:tcW w:w="1403" w:type="dxa"/>
            <w:vAlign w:val="center"/>
          </w:tcPr>
          <w:p>
            <w:pPr>
              <w:overflowPunct w:val="0"/>
              <w:jc w:val="center"/>
              <w:rPr>
                <w:rFonts w:ascii="宋体" w:hAnsi="宋体"/>
                <w:sz w:val="18"/>
                <w:szCs w:val="18"/>
              </w:rPr>
            </w:pPr>
            <w:r>
              <w:rPr>
                <w:rFonts w:hint="eastAsia" w:ascii="宋体" w:hAnsi="宋体"/>
                <w:sz w:val="18"/>
                <w:szCs w:val="18"/>
              </w:rPr>
              <w:t>治安事件或暴恐事件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环境风险</w:t>
            </w:r>
          </w:p>
        </w:tc>
        <w:tc>
          <w:tcPr>
            <w:tcW w:w="600" w:type="dxa"/>
            <w:vAlign w:val="center"/>
          </w:tcPr>
          <w:p>
            <w:pPr>
              <w:overflowPunct w:val="0"/>
              <w:jc w:val="center"/>
              <w:rPr>
                <w:rFonts w:ascii="宋体" w:hAnsi="宋体"/>
                <w:sz w:val="18"/>
                <w:szCs w:val="18"/>
              </w:rPr>
            </w:pPr>
            <w:r>
              <w:rPr>
                <w:rFonts w:hint="eastAsia" w:ascii="宋体" w:hAnsi="宋体"/>
                <w:sz w:val="18"/>
                <w:szCs w:val="18"/>
              </w:rPr>
              <w:t>16</w:t>
            </w:r>
          </w:p>
        </w:tc>
        <w:tc>
          <w:tcPr>
            <w:tcW w:w="1790" w:type="dxa"/>
            <w:vAlign w:val="center"/>
          </w:tcPr>
          <w:p>
            <w:pPr>
              <w:overflowPunct w:val="0"/>
              <w:jc w:val="center"/>
              <w:rPr>
                <w:rFonts w:ascii="宋体" w:hAnsi="宋体"/>
                <w:sz w:val="18"/>
                <w:szCs w:val="18"/>
              </w:rPr>
            </w:pPr>
            <w:r>
              <w:rPr>
                <w:rFonts w:hint="eastAsia" w:ascii="宋体" w:hAnsi="宋体"/>
                <w:sz w:val="18"/>
                <w:szCs w:val="18"/>
              </w:rPr>
              <w:t>高空悬挂设备掉落</w:t>
            </w:r>
          </w:p>
        </w:tc>
        <w:tc>
          <w:tcPr>
            <w:tcW w:w="1553" w:type="dxa"/>
            <w:vAlign w:val="center"/>
          </w:tcPr>
          <w:p>
            <w:pPr>
              <w:overflowPunct w:val="0"/>
              <w:jc w:val="center"/>
              <w:rPr>
                <w:rFonts w:ascii="宋体" w:hAnsi="宋体"/>
                <w:sz w:val="18"/>
                <w:szCs w:val="18"/>
              </w:rPr>
            </w:pPr>
            <w:r>
              <w:rPr>
                <w:rFonts w:hint="eastAsia" w:ascii="宋体" w:hAnsi="宋体"/>
                <w:sz w:val="18"/>
                <w:szCs w:val="18"/>
              </w:rPr>
              <w:t>悬挂物下方</w:t>
            </w:r>
          </w:p>
        </w:tc>
        <w:tc>
          <w:tcPr>
            <w:tcW w:w="3402" w:type="dxa"/>
            <w:vAlign w:val="center"/>
          </w:tcPr>
          <w:p>
            <w:pPr>
              <w:overflowPunct w:val="0"/>
              <w:jc w:val="center"/>
              <w:rPr>
                <w:rFonts w:ascii="宋体" w:hAnsi="宋体"/>
                <w:sz w:val="18"/>
                <w:szCs w:val="18"/>
              </w:rPr>
            </w:pPr>
            <w:r>
              <w:rPr>
                <w:rFonts w:hint="eastAsia" w:ascii="宋体" w:hAnsi="宋体"/>
                <w:sz w:val="18"/>
                <w:szCs w:val="18"/>
              </w:rPr>
              <w:t>风力作用或设备安装不稳固使悬挂设备掉落伤人</w:t>
            </w:r>
          </w:p>
        </w:tc>
        <w:tc>
          <w:tcPr>
            <w:tcW w:w="1403" w:type="dxa"/>
            <w:vAlign w:val="center"/>
          </w:tcPr>
          <w:p>
            <w:pPr>
              <w:overflowPunct w:val="0"/>
              <w:jc w:val="center"/>
              <w:rPr>
                <w:rFonts w:ascii="宋体" w:hAnsi="宋体"/>
                <w:sz w:val="18"/>
                <w:szCs w:val="18"/>
              </w:rPr>
            </w:pPr>
            <w:r>
              <w:rPr>
                <w:rFonts w:hint="eastAsia" w:ascii="宋体" w:hAnsi="宋体"/>
                <w:sz w:val="18"/>
                <w:szCs w:val="18"/>
              </w:rPr>
              <w:t>高处坠落事件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17</w:t>
            </w:r>
          </w:p>
        </w:tc>
        <w:tc>
          <w:tcPr>
            <w:tcW w:w="1790" w:type="dxa"/>
            <w:vAlign w:val="center"/>
          </w:tcPr>
          <w:p>
            <w:pPr>
              <w:overflowPunct w:val="0"/>
              <w:jc w:val="center"/>
              <w:rPr>
                <w:rFonts w:ascii="宋体" w:hAnsi="宋体"/>
                <w:sz w:val="18"/>
                <w:szCs w:val="18"/>
                <w:highlight w:val="yellow"/>
              </w:rPr>
            </w:pPr>
            <w:r>
              <w:rPr>
                <w:rFonts w:hint="eastAsia" w:ascii="宋体" w:hAnsi="宋体"/>
                <w:sz w:val="18"/>
                <w:szCs w:val="18"/>
              </w:rPr>
              <w:t>低温天气导致设备故障</w:t>
            </w:r>
          </w:p>
        </w:tc>
        <w:tc>
          <w:tcPr>
            <w:tcW w:w="1553" w:type="dxa"/>
            <w:vAlign w:val="center"/>
          </w:tcPr>
          <w:p>
            <w:pPr>
              <w:overflowPunct w:val="0"/>
              <w:jc w:val="center"/>
              <w:rPr>
                <w:rFonts w:ascii="宋体" w:hAnsi="宋体"/>
                <w:sz w:val="18"/>
                <w:szCs w:val="18"/>
              </w:rPr>
            </w:pPr>
            <w:r>
              <w:rPr>
                <w:rFonts w:hint="eastAsia" w:ascii="宋体" w:hAnsi="宋体"/>
                <w:sz w:val="18"/>
                <w:szCs w:val="18"/>
              </w:rPr>
              <w:t>设备安装区域</w:t>
            </w:r>
          </w:p>
        </w:tc>
        <w:tc>
          <w:tcPr>
            <w:tcW w:w="3402" w:type="dxa"/>
            <w:vAlign w:val="center"/>
          </w:tcPr>
          <w:p>
            <w:pPr>
              <w:overflowPunct w:val="0"/>
              <w:jc w:val="center"/>
              <w:rPr>
                <w:rFonts w:ascii="宋体" w:hAnsi="宋体"/>
                <w:sz w:val="18"/>
                <w:szCs w:val="18"/>
              </w:rPr>
            </w:pPr>
            <w:r>
              <w:rPr>
                <w:rFonts w:hint="eastAsia" w:ascii="宋体" w:hAnsi="宋体"/>
                <w:sz w:val="18"/>
                <w:szCs w:val="18"/>
              </w:rPr>
              <w:t>设备在寒冷的条件下出现设备停止运行情况，造成活动中断或影响活动效果</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18</w:t>
            </w:r>
          </w:p>
        </w:tc>
        <w:tc>
          <w:tcPr>
            <w:tcW w:w="1790" w:type="dxa"/>
            <w:vAlign w:val="center"/>
          </w:tcPr>
          <w:p>
            <w:pPr>
              <w:overflowPunct w:val="0"/>
              <w:jc w:val="left"/>
              <w:rPr>
                <w:rFonts w:ascii="宋体" w:hAnsi="宋体"/>
                <w:sz w:val="18"/>
                <w:szCs w:val="18"/>
              </w:rPr>
            </w:pPr>
            <w:r>
              <w:rPr>
                <w:rFonts w:hint="eastAsia" w:ascii="宋体" w:hAnsi="宋体"/>
                <w:sz w:val="18"/>
                <w:szCs w:val="18"/>
              </w:rPr>
              <w:t>暴雨、大风、冰雹、低温冰冻、降雪等极端天气</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w:t>
            </w:r>
          </w:p>
        </w:tc>
        <w:tc>
          <w:tcPr>
            <w:tcW w:w="3402" w:type="dxa"/>
            <w:vAlign w:val="center"/>
          </w:tcPr>
          <w:p>
            <w:pPr>
              <w:overflowPunct w:val="0"/>
              <w:jc w:val="center"/>
              <w:rPr>
                <w:rFonts w:ascii="宋体" w:hAnsi="宋体"/>
                <w:sz w:val="18"/>
                <w:szCs w:val="18"/>
              </w:rPr>
            </w:pPr>
            <w:r>
              <w:rPr>
                <w:rFonts w:hint="eastAsia" w:ascii="宋体" w:hAnsi="宋体"/>
                <w:sz w:val="18"/>
                <w:szCs w:val="18"/>
              </w:rPr>
              <w:t>由于低温、降雨等天气因素导致路径结冰造湿滑、低洼区域水浸、设备损坏、人员受伤甚至死亡、活动中断</w:t>
            </w:r>
          </w:p>
        </w:tc>
        <w:tc>
          <w:tcPr>
            <w:tcW w:w="1403" w:type="dxa"/>
            <w:vAlign w:val="center"/>
          </w:tcPr>
          <w:p>
            <w:pPr>
              <w:overflowPunct w:val="0"/>
              <w:jc w:val="center"/>
              <w:rPr>
                <w:rFonts w:ascii="宋体" w:hAnsi="宋体"/>
                <w:sz w:val="18"/>
                <w:szCs w:val="18"/>
              </w:rPr>
            </w:pPr>
            <w:r>
              <w:rPr>
                <w:rFonts w:hint="eastAsia" w:ascii="宋体" w:hAnsi="宋体"/>
                <w:sz w:val="18"/>
                <w:szCs w:val="18"/>
              </w:rPr>
              <w:t>气象灾害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19</w:t>
            </w:r>
          </w:p>
        </w:tc>
        <w:tc>
          <w:tcPr>
            <w:tcW w:w="1790" w:type="dxa"/>
            <w:vAlign w:val="center"/>
          </w:tcPr>
          <w:p>
            <w:pPr>
              <w:overflowPunct w:val="0"/>
              <w:jc w:val="center"/>
              <w:rPr>
                <w:rFonts w:ascii="宋体" w:hAnsi="宋体"/>
                <w:sz w:val="18"/>
                <w:szCs w:val="18"/>
              </w:rPr>
            </w:pPr>
            <w:r>
              <w:rPr>
                <w:rFonts w:hint="eastAsia" w:ascii="宋体" w:hAnsi="宋体"/>
                <w:sz w:val="18"/>
                <w:szCs w:val="18"/>
              </w:rPr>
              <w:t>电网大面积停电</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活动区域外电网</w:t>
            </w:r>
          </w:p>
        </w:tc>
        <w:tc>
          <w:tcPr>
            <w:tcW w:w="3402" w:type="dxa"/>
            <w:vAlign w:val="center"/>
          </w:tcPr>
          <w:p>
            <w:pPr>
              <w:overflowPunct w:val="0"/>
              <w:jc w:val="center"/>
              <w:rPr>
                <w:rFonts w:ascii="宋体" w:hAnsi="宋体"/>
                <w:sz w:val="18"/>
                <w:szCs w:val="18"/>
              </w:rPr>
            </w:pPr>
            <w:r>
              <w:rPr>
                <w:rFonts w:hint="eastAsia" w:ascii="宋体" w:hAnsi="宋体"/>
                <w:sz w:val="18"/>
                <w:szCs w:val="18"/>
              </w:rPr>
              <w:t>自然灾害、恐怖袭击等外力因素影响，或由于电源接入不稳定、设备故障、内部控制运行差错等原因，影响电网的安全运行，甚至造成电网安全风险</w:t>
            </w:r>
          </w:p>
        </w:tc>
        <w:tc>
          <w:tcPr>
            <w:tcW w:w="1403" w:type="dxa"/>
            <w:vAlign w:val="center"/>
          </w:tcPr>
          <w:p>
            <w:pPr>
              <w:overflowPunct w:val="0"/>
              <w:jc w:val="center"/>
              <w:rPr>
                <w:rFonts w:ascii="宋体" w:hAnsi="宋体"/>
                <w:sz w:val="18"/>
                <w:szCs w:val="18"/>
              </w:rPr>
            </w:pPr>
            <w:r>
              <w:rPr>
                <w:rFonts w:hint="eastAsia" w:ascii="宋体" w:hAnsi="宋体"/>
                <w:sz w:val="18"/>
                <w:szCs w:val="18"/>
              </w:rPr>
              <w:t>供电安全事件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20</w:t>
            </w:r>
          </w:p>
        </w:tc>
        <w:tc>
          <w:tcPr>
            <w:tcW w:w="1790" w:type="dxa"/>
            <w:vAlign w:val="center"/>
          </w:tcPr>
          <w:p>
            <w:pPr>
              <w:overflowPunct w:val="0"/>
              <w:jc w:val="center"/>
              <w:rPr>
                <w:rFonts w:ascii="宋体" w:hAnsi="宋体"/>
                <w:sz w:val="18"/>
                <w:szCs w:val="18"/>
              </w:rPr>
            </w:pPr>
            <w:r>
              <w:rPr>
                <w:rFonts w:hint="eastAsia" w:ascii="宋体" w:hAnsi="宋体"/>
                <w:sz w:val="18"/>
                <w:szCs w:val="18"/>
              </w:rPr>
              <w:t>临电设施故障</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自身质量及人员异动、外力破坏等易造成临电设施损坏</w:t>
            </w:r>
          </w:p>
        </w:tc>
        <w:tc>
          <w:tcPr>
            <w:tcW w:w="1403" w:type="dxa"/>
            <w:vAlign w:val="center"/>
          </w:tcPr>
          <w:p>
            <w:pPr>
              <w:overflowPunct w:val="0"/>
              <w:jc w:val="center"/>
              <w:rPr>
                <w:rFonts w:ascii="宋体" w:hAnsi="宋体"/>
                <w:sz w:val="18"/>
                <w:szCs w:val="18"/>
              </w:rPr>
            </w:pPr>
            <w:r>
              <w:rPr>
                <w:rFonts w:hint="eastAsia" w:ascii="宋体" w:hAnsi="宋体"/>
                <w:sz w:val="18"/>
                <w:szCs w:val="18"/>
              </w:rPr>
              <w:t>供电安全事件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21</w:t>
            </w:r>
          </w:p>
        </w:tc>
        <w:tc>
          <w:tcPr>
            <w:tcW w:w="1790" w:type="dxa"/>
            <w:vAlign w:val="center"/>
          </w:tcPr>
          <w:p>
            <w:pPr>
              <w:overflowPunct w:val="0"/>
              <w:jc w:val="center"/>
              <w:rPr>
                <w:rFonts w:ascii="宋体" w:hAnsi="宋体"/>
                <w:sz w:val="18"/>
                <w:szCs w:val="18"/>
              </w:rPr>
            </w:pPr>
            <w:r>
              <w:rPr>
                <w:rFonts w:hint="eastAsia" w:ascii="宋体" w:hAnsi="宋体"/>
                <w:sz w:val="18"/>
                <w:szCs w:val="18"/>
              </w:rPr>
              <w:t>通信机房失火风险</w:t>
            </w:r>
          </w:p>
        </w:tc>
        <w:tc>
          <w:tcPr>
            <w:tcW w:w="1553" w:type="dxa"/>
            <w:vAlign w:val="center"/>
          </w:tcPr>
          <w:p>
            <w:pPr>
              <w:overflowPunct w:val="0"/>
              <w:jc w:val="center"/>
              <w:rPr>
                <w:rFonts w:ascii="宋体" w:hAnsi="宋体"/>
                <w:sz w:val="18"/>
                <w:szCs w:val="18"/>
              </w:rPr>
            </w:pPr>
            <w:r>
              <w:rPr>
                <w:rFonts w:hint="eastAsia" w:ascii="宋体" w:hAnsi="宋体"/>
                <w:sz w:val="18"/>
                <w:szCs w:val="18"/>
              </w:rPr>
              <w:t>机房</w:t>
            </w:r>
          </w:p>
        </w:tc>
        <w:tc>
          <w:tcPr>
            <w:tcW w:w="3402" w:type="dxa"/>
            <w:vAlign w:val="center"/>
          </w:tcPr>
          <w:p>
            <w:pPr>
              <w:overflowPunct w:val="0"/>
              <w:jc w:val="center"/>
              <w:rPr>
                <w:rFonts w:ascii="宋体" w:hAnsi="宋体"/>
                <w:sz w:val="18"/>
                <w:szCs w:val="18"/>
              </w:rPr>
            </w:pPr>
            <w:r>
              <w:rPr>
                <w:rFonts w:hint="eastAsia" w:ascii="宋体" w:hAnsi="宋体"/>
                <w:sz w:val="18"/>
                <w:szCs w:val="18"/>
              </w:rPr>
              <w:t>通信机房失火</w:t>
            </w:r>
          </w:p>
        </w:tc>
        <w:tc>
          <w:tcPr>
            <w:tcW w:w="1403" w:type="dxa"/>
            <w:vAlign w:val="center"/>
          </w:tcPr>
          <w:p>
            <w:pPr>
              <w:overflowPunct w:val="0"/>
              <w:jc w:val="center"/>
              <w:rPr>
                <w:rFonts w:ascii="宋体" w:hAnsi="宋体"/>
                <w:sz w:val="18"/>
                <w:szCs w:val="18"/>
              </w:rPr>
            </w:pPr>
            <w:r>
              <w:rPr>
                <w:rFonts w:hint="eastAsia" w:ascii="宋体" w:hAnsi="宋体"/>
                <w:sz w:val="18"/>
                <w:szCs w:val="18"/>
              </w:rPr>
              <w:t>火灾事故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设备风险</w:t>
            </w:r>
          </w:p>
        </w:tc>
        <w:tc>
          <w:tcPr>
            <w:tcW w:w="600" w:type="dxa"/>
            <w:vAlign w:val="center"/>
          </w:tcPr>
          <w:p>
            <w:pPr>
              <w:overflowPunct w:val="0"/>
              <w:jc w:val="center"/>
              <w:rPr>
                <w:rFonts w:ascii="宋体" w:hAnsi="宋体"/>
                <w:sz w:val="18"/>
                <w:szCs w:val="18"/>
              </w:rPr>
            </w:pPr>
            <w:r>
              <w:rPr>
                <w:rFonts w:hint="eastAsia" w:ascii="宋体" w:hAnsi="宋体"/>
                <w:sz w:val="18"/>
                <w:szCs w:val="18"/>
              </w:rPr>
              <w:t>22</w:t>
            </w:r>
          </w:p>
        </w:tc>
        <w:tc>
          <w:tcPr>
            <w:tcW w:w="1790" w:type="dxa"/>
            <w:vAlign w:val="center"/>
          </w:tcPr>
          <w:p>
            <w:pPr>
              <w:overflowPunct w:val="0"/>
              <w:jc w:val="center"/>
              <w:rPr>
                <w:rFonts w:ascii="宋体" w:hAnsi="宋体"/>
                <w:sz w:val="18"/>
                <w:szCs w:val="18"/>
              </w:rPr>
            </w:pPr>
            <w:r>
              <w:rPr>
                <w:rFonts w:hint="eastAsia" w:ascii="宋体" w:hAnsi="宋体"/>
                <w:sz w:val="18"/>
                <w:szCs w:val="18"/>
              </w:rPr>
              <w:t>新能源车起火</w:t>
            </w:r>
          </w:p>
        </w:tc>
        <w:tc>
          <w:tcPr>
            <w:tcW w:w="1553" w:type="dxa"/>
            <w:vAlign w:val="center"/>
          </w:tcPr>
          <w:p>
            <w:pPr>
              <w:overflowPunct w:val="0"/>
              <w:jc w:val="center"/>
              <w:rPr>
                <w:rFonts w:ascii="宋体" w:hAnsi="宋体"/>
                <w:sz w:val="18"/>
                <w:szCs w:val="18"/>
              </w:rPr>
            </w:pPr>
            <w:r>
              <w:rPr>
                <w:rFonts w:hint="eastAsia" w:ascii="宋体" w:hAnsi="宋体"/>
                <w:sz w:val="18"/>
                <w:szCs w:val="18"/>
              </w:rPr>
              <w:t>充电区</w:t>
            </w:r>
          </w:p>
        </w:tc>
        <w:tc>
          <w:tcPr>
            <w:tcW w:w="3402" w:type="dxa"/>
            <w:vAlign w:val="center"/>
          </w:tcPr>
          <w:p>
            <w:pPr>
              <w:overflowPunct w:val="0"/>
              <w:jc w:val="center"/>
              <w:rPr>
                <w:rFonts w:ascii="宋体" w:hAnsi="宋体"/>
                <w:sz w:val="18"/>
                <w:szCs w:val="18"/>
              </w:rPr>
            </w:pPr>
            <w:r>
              <w:rPr>
                <w:rFonts w:hint="eastAsia" w:ascii="宋体" w:hAnsi="宋体"/>
                <w:sz w:val="18"/>
                <w:szCs w:val="18"/>
              </w:rPr>
              <w:t>电车充电时发生电池起火燃烧</w:t>
            </w:r>
          </w:p>
        </w:tc>
        <w:tc>
          <w:tcPr>
            <w:tcW w:w="1403" w:type="dxa"/>
            <w:vAlign w:val="center"/>
          </w:tcPr>
          <w:p>
            <w:pPr>
              <w:overflowPunct w:val="0"/>
              <w:jc w:val="center"/>
              <w:rPr>
                <w:rFonts w:ascii="宋体" w:hAnsi="宋体"/>
                <w:sz w:val="18"/>
                <w:szCs w:val="18"/>
              </w:rPr>
            </w:pPr>
            <w:r>
              <w:rPr>
                <w:rFonts w:hint="eastAsia" w:ascii="宋体" w:hAnsi="宋体"/>
                <w:sz w:val="18"/>
                <w:szCs w:val="18"/>
              </w:rPr>
              <w:t>火灾事故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23</w:t>
            </w:r>
          </w:p>
        </w:tc>
        <w:tc>
          <w:tcPr>
            <w:tcW w:w="1790" w:type="dxa"/>
            <w:vAlign w:val="center"/>
          </w:tcPr>
          <w:p>
            <w:pPr>
              <w:overflowPunct w:val="0"/>
              <w:jc w:val="center"/>
              <w:rPr>
                <w:rFonts w:ascii="宋体" w:hAnsi="宋体"/>
                <w:sz w:val="18"/>
                <w:szCs w:val="18"/>
              </w:rPr>
            </w:pPr>
            <w:r>
              <w:rPr>
                <w:rFonts w:hint="eastAsia" w:ascii="宋体" w:hAnsi="宋体"/>
                <w:sz w:val="18"/>
                <w:szCs w:val="18"/>
              </w:rPr>
              <w:t>通讯故障</w:t>
            </w:r>
          </w:p>
        </w:tc>
        <w:tc>
          <w:tcPr>
            <w:tcW w:w="1553" w:type="dxa"/>
            <w:vAlign w:val="center"/>
          </w:tcPr>
          <w:p>
            <w:pPr>
              <w:overflowPunct w:val="0"/>
              <w:jc w:val="center"/>
              <w:rPr>
                <w:rFonts w:ascii="宋体" w:hAnsi="宋体"/>
                <w:sz w:val="18"/>
                <w:szCs w:val="18"/>
              </w:rPr>
            </w:pPr>
            <w:r>
              <w:rPr>
                <w:rFonts w:hint="eastAsia" w:ascii="宋体" w:hAnsi="宋体"/>
                <w:sz w:val="18"/>
                <w:szCs w:val="18"/>
              </w:rPr>
              <w:t>检票口、楼梯及通道、集散区、环廊、看台、工作部署区</w:t>
            </w:r>
          </w:p>
        </w:tc>
        <w:tc>
          <w:tcPr>
            <w:tcW w:w="3402" w:type="dxa"/>
            <w:vAlign w:val="center"/>
          </w:tcPr>
          <w:p>
            <w:pPr>
              <w:overflowPunct w:val="0"/>
              <w:jc w:val="center"/>
              <w:rPr>
                <w:rFonts w:ascii="宋体" w:hAnsi="宋体"/>
                <w:sz w:val="18"/>
                <w:szCs w:val="18"/>
              </w:rPr>
            </w:pPr>
            <w:r>
              <w:rPr>
                <w:rFonts w:hint="eastAsia" w:ascii="宋体" w:hAnsi="宋体"/>
                <w:sz w:val="18"/>
                <w:szCs w:val="18"/>
              </w:rPr>
              <w:t>对讲设备故障导致联络沟通中断，服务滞后</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24</w:t>
            </w:r>
          </w:p>
        </w:tc>
        <w:tc>
          <w:tcPr>
            <w:tcW w:w="1790" w:type="dxa"/>
            <w:vAlign w:val="center"/>
          </w:tcPr>
          <w:p>
            <w:pPr>
              <w:overflowPunct w:val="0"/>
              <w:jc w:val="center"/>
              <w:rPr>
                <w:rFonts w:ascii="宋体" w:hAnsi="宋体"/>
                <w:sz w:val="18"/>
                <w:szCs w:val="18"/>
              </w:rPr>
            </w:pPr>
            <w:r>
              <w:rPr>
                <w:rFonts w:hint="eastAsia" w:ascii="宋体" w:hAnsi="宋体"/>
                <w:sz w:val="18"/>
                <w:szCs w:val="18"/>
              </w:rPr>
              <w:t>后勤物资和设备出现火情、漏电、盗窃等安全隐患</w:t>
            </w:r>
          </w:p>
        </w:tc>
        <w:tc>
          <w:tcPr>
            <w:tcW w:w="1553" w:type="dxa"/>
            <w:vAlign w:val="center"/>
          </w:tcPr>
          <w:p>
            <w:pPr>
              <w:overflowPunct w:val="0"/>
              <w:jc w:val="center"/>
              <w:rPr>
                <w:rFonts w:ascii="宋体" w:hAnsi="宋体"/>
                <w:sz w:val="18"/>
                <w:szCs w:val="18"/>
              </w:rPr>
            </w:pPr>
            <w:r>
              <w:rPr>
                <w:rFonts w:hint="eastAsia" w:ascii="宋体" w:hAnsi="宋体"/>
                <w:sz w:val="18"/>
                <w:szCs w:val="18"/>
              </w:rPr>
              <w:t>所有服务空间及工作部署区</w:t>
            </w:r>
          </w:p>
        </w:tc>
        <w:tc>
          <w:tcPr>
            <w:tcW w:w="3402" w:type="dxa"/>
            <w:vAlign w:val="center"/>
          </w:tcPr>
          <w:p>
            <w:pPr>
              <w:overflowPunct w:val="0"/>
              <w:jc w:val="center"/>
              <w:rPr>
                <w:rFonts w:ascii="宋体" w:hAnsi="宋体"/>
                <w:sz w:val="18"/>
                <w:szCs w:val="18"/>
              </w:rPr>
            </w:pPr>
            <w:r>
              <w:rPr>
                <w:rFonts w:hint="eastAsia" w:ascii="宋体" w:hAnsi="宋体"/>
                <w:sz w:val="18"/>
                <w:szCs w:val="18"/>
              </w:rPr>
              <w:t>因后勤物资仓库因管理不当出现消防安全问题或因管理人员疏漏或管理人员自身问题出现物资失窃情况</w:t>
            </w:r>
          </w:p>
        </w:tc>
        <w:tc>
          <w:tcPr>
            <w:tcW w:w="1403" w:type="dxa"/>
            <w:vAlign w:val="center"/>
          </w:tcPr>
          <w:p>
            <w:pPr>
              <w:overflowPunct w:val="0"/>
              <w:jc w:val="center"/>
              <w:rPr>
                <w:rFonts w:ascii="宋体" w:hAnsi="宋体"/>
                <w:sz w:val="18"/>
                <w:szCs w:val="18"/>
              </w:rPr>
            </w:pPr>
            <w:r>
              <w:rPr>
                <w:rFonts w:hint="eastAsia" w:ascii="宋体" w:hAnsi="宋体"/>
                <w:sz w:val="18"/>
                <w:szCs w:val="18"/>
              </w:rPr>
              <w:t>治安事件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25</w:t>
            </w:r>
          </w:p>
        </w:tc>
        <w:tc>
          <w:tcPr>
            <w:tcW w:w="1790" w:type="dxa"/>
            <w:vAlign w:val="center"/>
          </w:tcPr>
          <w:p>
            <w:pPr>
              <w:overflowPunct w:val="0"/>
              <w:jc w:val="center"/>
              <w:rPr>
                <w:rFonts w:ascii="宋体" w:hAnsi="宋体"/>
                <w:sz w:val="18"/>
                <w:szCs w:val="18"/>
              </w:rPr>
            </w:pPr>
            <w:r>
              <w:rPr>
                <w:rFonts w:hint="eastAsia" w:ascii="宋体" w:hAnsi="宋体"/>
                <w:sz w:val="18"/>
                <w:szCs w:val="18"/>
              </w:rPr>
              <w:t>转播中断</w:t>
            </w:r>
          </w:p>
        </w:tc>
        <w:tc>
          <w:tcPr>
            <w:tcW w:w="1553" w:type="dxa"/>
            <w:vAlign w:val="center"/>
          </w:tcPr>
          <w:p>
            <w:pPr>
              <w:overflowPunct w:val="0"/>
              <w:jc w:val="center"/>
              <w:rPr>
                <w:rFonts w:ascii="宋体" w:hAnsi="宋体"/>
                <w:sz w:val="18"/>
                <w:szCs w:val="18"/>
              </w:rPr>
            </w:pPr>
            <w:r>
              <w:rPr>
                <w:rFonts w:hint="eastAsia" w:ascii="宋体" w:hAnsi="宋体"/>
                <w:sz w:val="18"/>
                <w:szCs w:val="18"/>
              </w:rPr>
              <w:t>转播综合区、场馆内坐席区</w:t>
            </w:r>
          </w:p>
        </w:tc>
        <w:tc>
          <w:tcPr>
            <w:tcW w:w="3402" w:type="dxa"/>
            <w:vAlign w:val="center"/>
          </w:tcPr>
          <w:p>
            <w:pPr>
              <w:overflowPunct w:val="0"/>
              <w:jc w:val="center"/>
              <w:rPr>
                <w:rFonts w:ascii="宋体" w:hAnsi="宋体"/>
                <w:sz w:val="18"/>
                <w:szCs w:val="18"/>
              </w:rPr>
            </w:pPr>
            <w:r>
              <w:rPr>
                <w:rFonts w:hint="eastAsia" w:ascii="宋体" w:hAnsi="宋体"/>
                <w:sz w:val="18"/>
                <w:szCs w:val="18"/>
              </w:rPr>
              <w:t>由于电力、通信故障引发的转播中断问题</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26</w:t>
            </w:r>
          </w:p>
        </w:tc>
        <w:tc>
          <w:tcPr>
            <w:tcW w:w="1790" w:type="dxa"/>
            <w:vAlign w:val="center"/>
          </w:tcPr>
          <w:p>
            <w:pPr>
              <w:overflowPunct w:val="0"/>
              <w:jc w:val="center"/>
              <w:rPr>
                <w:rFonts w:ascii="宋体" w:hAnsi="宋体"/>
                <w:sz w:val="18"/>
                <w:szCs w:val="18"/>
              </w:rPr>
            </w:pPr>
            <w:r>
              <w:rPr>
                <w:rFonts w:hint="eastAsia" w:ascii="宋体" w:hAnsi="宋体"/>
                <w:sz w:val="18"/>
                <w:szCs w:val="18"/>
              </w:rPr>
              <w:t>设备临时故障</w:t>
            </w:r>
          </w:p>
        </w:tc>
        <w:tc>
          <w:tcPr>
            <w:tcW w:w="1553" w:type="dxa"/>
            <w:vAlign w:val="center"/>
          </w:tcPr>
          <w:p>
            <w:pPr>
              <w:overflowPunct w:val="0"/>
              <w:jc w:val="center"/>
              <w:rPr>
                <w:rFonts w:ascii="宋体" w:hAnsi="宋体"/>
                <w:sz w:val="18"/>
                <w:szCs w:val="18"/>
              </w:rPr>
            </w:pPr>
            <w:r>
              <w:rPr>
                <w:rFonts w:hint="eastAsia" w:ascii="宋体" w:hAnsi="宋体"/>
                <w:sz w:val="18"/>
                <w:szCs w:val="18"/>
              </w:rPr>
              <w:t>灯光控台、话筒、音响控台</w:t>
            </w:r>
          </w:p>
        </w:tc>
        <w:tc>
          <w:tcPr>
            <w:tcW w:w="3402" w:type="dxa"/>
            <w:vAlign w:val="center"/>
          </w:tcPr>
          <w:p>
            <w:pPr>
              <w:overflowPunct w:val="0"/>
              <w:jc w:val="center"/>
              <w:rPr>
                <w:rFonts w:ascii="宋体" w:hAnsi="宋体"/>
                <w:sz w:val="18"/>
                <w:szCs w:val="18"/>
              </w:rPr>
            </w:pPr>
            <w:r>
              <w:rPr>
                <w:rFonts w:hint="eastAsia" w:ascii="宋体" w:hAnsi="宋体"/>
                <w:sz w:val="18"/>
                <w:szCs w:val="18"/>
              </w:rPr>
              <w:t>设备出现了技术性故障</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27</w:t>
            </w:r>
          </w:p>
        </w:tc>
        <w:tc>
          <w:tcPr>
            <w:tcW w:w="1790" w:type="dxa"/>
            <w:vAlign w:val="center"/>
          </w:tcPr>
          <w:p>
            <w:pPr>
              <w:overflowPunct w:val="0"/>
              <w:jc w:val="center"/>
              <w:rPr>
                <w:rFonts w:ascii="宋体" w:hAnsi="宋体"/>
                <w:sz w:val="18"/>
                <w:szCs w:val="18"/>
              </w:rPr>
            </w:pPr>
            <w:r>
              <w:rPr>
                <w:rFonts w:hint="eastAsia" w:ascii="宋体" w:hAnsi="宋体"/>
                <w:sz w:val="18"/>
                <w:szCs w:val="18"/>
              </w:rPr>
              <w:t>固定设施五金件损坏</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永久设施固定件损坏或紧固件松动等</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28</w:t>
            </w:r>
          </w:p>
        </w:tc>
        <w:tc>
          <w:tcPr>
            <w:tcW w:w="1790" w:type="dxa"/>
            <w:vAlign w:val="center"/>
          </w:tcPr>
          <w:p>
            <w:pPr>
              <w:overflowPunct w:val="0"/>
              <w:jc w:val="center"/>
              <w:rPr>
                <w:rFonts w:ascii="宋体" w:hAnsi="宋体"/>
                <w:sz w:val="18"/>
                <w:szCs w:val="18"/>
              </w:rPr>
            </w:pPr>
            <w:r>
              <w:rPr>
                <w:rFonts w:hint="eastAsia" w:ascii="宋体" w:hAnsi="宋体"/>
                <w:sz w:val="18"/>
                <w:szCs w:val="18"/>
              </w:rPr>
              <w:t>管道冻裂发生跑水事故</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由于极寒天气体育场内管道发生冻裂情况</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29</w:t>
            </w:r>
          </w:p>
        </w:tc>
        <w:tc>
          <w:tcPr>
            <w:tcW w:w="1790" w:type="dxa"/>
            <w:vAlign w:val="center"/>
          </w:tcPr>
          <w:p>
            <w:pPr>
              <w:overflowPunct w:val="0"/>
              <w:jc w:val="center"/>
              <w:rPr>
                <w:rFonts w:ascii="宋体" w:hAnsi="宋体"/>
                <w:sz w:val="18"/>
                <w:szCs w:val="18"/>
              </w:rPr>
            </w:pPr>
            <w:r>
              <w:rPr>
                <w:rFonts w:hint="eastAsia" w:ascii="宋体" w:hAnsi="宋体"/>
                <w:sz w:val="18"/>
                <w:szCs w:val="18"/>
              </w:rPr>
              <w:t>服务器宕机</w:t>
            </w:r>
          </w:p>
        </w:tc>
        <w:tc>
          <w:tcPr>
            <w:tcW w:w="1553" w:type="dxa"/>
            <w:vAlign w:val="center"/>
          </w:tcPr>
          <w:p>
            <w:pPr>
              <w:overflowPunct w:val="0"/>
              <w:jc w:val="center"/>
              <w:rPr>
                <w:rFonts w:ascii="宋体" w:hAnsi="宋体"/>
                <w:sz w:val="18"/>
                <w:szCs w:val="18"/>
              </w:rPr>
            </w:pPr>
            <w:r>
              <w:rPr>
                <w:rFonts w:hint="eastAsia" w:ascii="宋体" w:hAnsi="宋体"/>
                <w:sz w:val="18"/>
                <w:szCs w:val="18"/>
              </w:rPr>
              <w:t>指挥监控机房</w:t>
            </w:r>
          </w:p>
        </w:tc>
        <w:tc>
          <w:tcPr>
            <w:tcW w:w="3402" w:type="dxa"/>
            <w:vAlign w:val="center"/>
          </w:tcPr>
          <w:p>
            <w:pPr>
              <w:overflowPunct w:val="0"/>
              <w:jc w:val="center"/>
              <w:rPr>
                <w:rFonts w:ascii="宋体" w:hAnsi="宋体"/>
                <w:sz w:val="18"/>
                <w:szCs w:val="18"/>
              </w:rPr>
            </w:pPr>
            <w:r>
              <w:rPr>
                <w:rFonts w:hint="eastAsia" w:ascii="宋体" w:hAnsi="宋体"/>
                <w:sz w:val="18"/>
                <w:szCs w:val="18"/>
              </w:rPr>
              <w:t>单台服务器遭遇突发故障宕机</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30</w:t>
            </w:r>
          </w:p>
        </w:tc>
        <w:tc>
          <w:tcPr>
            <w:tcW w:w="1790" w:type="dxa"/>
            <w:vAlign w:val="center"/>
          </w:tcPr>
          <w:p>
            <w:pPr>
              <w:overflowPunct w:val="0"/>
              <w:jc w:val="center"/>
              <w:rPr>
                <w:rFonts w:ascii="宋体" w:hAnsi="宋体"/>
                <w:sz w:val="18"/>
                <w:szCs w:val="18"/>
              </w:rPr>
            </w:pPr>
            <w:r>
              <w:rPr>
                <w:rFonts w:hint="eastAsia" w:ascii="宋体" w:hAnsi="宋体"/>
                <w:sz w:val="18"/>
                <w:szCs w:val="18"/>
              </w:rPr>
              <w:t>场馆供电中断</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餐饮就餐区</w:t>
            </w:r>
          </w:p>
        </w:tc>
        <w:tc>
          <w:tcPr>
            <w:tcW w:w="3402" w:type="dxa"/>
            <w:vAlign w:val="center"/>
          </w:tcPr>
          <w:p>
            <w:pPr>
              <w:overflowPunct w:val="0"/>
              <w:jc w:val="center"/>
              <w:rPr>
                <w:rFonts w:ascii="宋体" w:hAnsi="宋体"/>
                <w:sz w:val="18"/>
                <w:szCs w:val="18"/>
              </w:rPr>
            </w:pPr>
            <w:r>
              <w:rPr>
                <w:rFonts w:hint="eastAsia" w:ascii="宋体" w:hAnsi="宋体"/>
                <w:sz w:val="18"/>
                <w:szCs w:val="18"/>
              </w:rPr>
              <w:t>场馆供电中断</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bl>
    <w:p>
      <w:pPr>
        <w:pStyle w:val="24"/>
        <w:jc w:val="center"/>
        <w:rPr>
          <w:rFonts w:asciiTheme="minorEastAsia" w:hAnsiTheme="minorEastAsia" w:eastAsiaTheme="minorEastAsia"/>
          <w:szCs w:val="21"/>
        </w:rPr>
      </w:pPr>
      <w:r>
        <w:br w:type="page"/>
      </w: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重大活动风险排查要素参考表</w:t>
      </w:r>
      <w:r>
        <w:rPr>
          <w:rFonts w:hint="eastAsia" w:asciiTheme="minorEastAsia" w:hAnsiTheme="minorEastAsia" w:eastAsiaTheme="minorEastAsia"/>
          <w:szCs w:val="21"/>
        </w:rPr>
        <w:t>（续）</w:t>
      </w:r>
    </w:p>
    <w:tbl>
      <w:tblPr>
        <w:tblStyle w:val="34"/>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3"/>
        <w:gridCol w:w="600"/>
        <w:gridCol w:w="1790"/>
        <w:gridCol w:w="1553"/>
        <w:gridCol w:w="3402"/>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Align w:val="center"/>
          </w:tcPr>
          <w:p>
            <w:pPr>
              <w:overflowPunct w:val="0"/>
              <w:jc w:val="center"/>
              <w:rPr>
                <w:rFonts w:ascii="宋体" w:hAnsi="宋体"/>
                <w:sz w:val="18"/>
                <w:szCs w:val="18"/>
              </w:rPr>
            </w:pPr>
            <w:r>
              <w:rPr>
                <w:rFonts w:hint="eastAsia" w:ascii="宋体" w:hAnsi="宋体"/>
                <w:sz w:val="18"/>
                <w:szCs w:val="18"/>
              </w:rPr>
              <w:t>风险因素</w:t>
            </w:r>
          </w:p>
        </w:tc>
        <w:tc>
          <w:tcPr>
            <w:tcW w:w="600" w:type="dxa"/>
            <w:vAlign w:val="center"/>
          </w:tcPr>
          <w:p>
            <w:pPr>
              <w:overflowPunct w:val="0"/>
              <w:jc w:val="center"/>
              <w:rPr>
                <w:rFonts w:ascii="宋体" w:hAnsi="宋体"/>
                <w:sz w:val="18"/>
                <w:szCs w:val="18"/>
              </w:rPr>
            </w:pPr>
            <w:r>
              <w:rPr>
                <w:rFonts w:hint="eastAsia" w:ascii="宋体" w:hAnsi="宋体"/>
                <w:sz w:val="18"/>
                <w:szCs w:val="18"/>
              </w:rPr>
              <w:t>序号</w:t>
            </w:r>
          </w:p>
        </w:tc>
        <w:tc>
          <w:tcPr>
            <w:tcW w:w="1790" w:type="dxa"/>
            <w:vAlign w:val="center"/>
          </w:tcPr>
          <w:p>
            <w:pPr>
              <w:overflowPunct w:val="0"/>
              <w:jc w:val="center"/>
              <w:rPr>
                <w:rFonts w:ascii="宋体" w:hAnsi="宋体"/>
                <w:sz w:val="18"/>
                <w:szCs w:val="18"/>
              </w:rPr>
            </w:pPr>
            <w:r>
              <w:rPr>
                <w:rFonts w:hint="eastAsia" w:ascii="宋体" w:hAnsi="宋体"/>
                <w:sz w:val="18"/>
                <w:szCs w:val="18"/>
              </w:rPr>
              <w:t>风险描述</w:t>
            </w:r>
          </w:p>
        </w:tc>
        <w:tc>
          <w:tcPr>
            <w:tcW w:w="1553" w:type="dxa"/>
            <w:vAlign w:val="center"/>
          </w:tcPr>
          <w:p>
            <w:pPr>
              <w:overflowPunct w:val="0"/>
              <w:jc w:val="center"/>
              <w:rPr>
                <w:rFonts w:ascii="宋体" w:hAnsi="宋体"/>
                <w:sz w:val="18"/>
                <w:szCs w:val="18"/>
              </w:rPr>
            </w:pPr>
            <w:r>
              <w:rPr>
                <w:rFonts w:hint="eastAsia" w:ascii="宋体" w:hAnsi="宋体"/>
                <w:sz w:val="18"/>
                <w:szCs w:val="18"/>
              </w:rPr>
              <w:t>风险点位</w:t>
            </w:r>
          </w:p>
        </w:tc>
        <w:tc>
          <w:tcPr>
            <w:tcW w:w="3402" w:type="dxa"/>
            <w:vAlign w:val="center"/>
          </w:tcPr>
          <w:p>
            <w:pPr>
              <w:overflowPunct w:val="0"/>
              <w:jc w:val="center"/>
              <w:rPr>
                <w:rFonts w:ascii="宋体" w:hAnsi="宋体"/>
                <w:sz w:val="18"/>
                <w:szCs w:val="18"/>
              </w:rPr>
            </w:pPr>
            <w:r>
              <w:rPr>
                <w:rFonts w:hint="eastAsia" w:ascii="宋体" w:hAnsi="宋体"/>
                <w:sz w:val="18"/>
                <w:szCs w:val="18"/>
              </w:rPr>
              <w:t>风险分析</w:t>
            </w:r>
          </w:p>
        </w:tc>
        <w:tc>
          <w:tcPr>
            <w:tcW w:w="1403" w:type="dxa"/>
            <w:vAlign w:val="center"/>
          </w:tcPr>
          <w:p>
            <w:pPr>
              <w:overflowPunct w:val="0"/>
              <w:jc w:val="center"/>
              <w:rPr>
                <w:rFonts w:ascii="宋体" w:hAnsi="宋体"/>
                <w:sz w:val="18"/>
                <w:szCs w:val="18"/>
              </w:rPr>
            </w:pPr>
            <w:r>
              <w:rPr>
                <w:rFonts w:hint="eastAsia" w:ascii="宋体" w:hAnsi="宋体"/>
                <w:sz w:val="18"/>
                <w:szCs w:val="18"/>
              </w:rPr>
              <w:t>引发后果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设备风险</w:t>
            </w:r>
          </w:p>
        </w:tc>
        <w:tc>
          <w:tcPr>
            <w:tcW w:w="600" w:type="dxa"/>
            <w:vAlign w:val="center"/>
          </w:tcPr>
          <w:p>
            <w:pPr>
              <w:overflowPunct w:val="0"/>
              <w:jc w:val="center"/>
              <w:rPr>
                <w:rFonts w:ascii="宋体" w:hAnsi="宋体"/>
                <w:sz w:val="18"/>
                <w:szCs w:val="18"/>
              </w:rPr>
            </w:pPr>
            <w:r>
              <w:rPr>
                <w:rFonts w:hint="eastAsia" w:ascii="宋体" w:hAnsi="宋体"/>
                <w:sz w:val="18"/>
                <w:szCs w:val="18"/>
              </w:rPr>
              <w:t>31</w:t>
            </w:r>
          </w:p>
        </w:tc>
        <w:tc>
          <w:tcPr>
            <w:tcW w:w="1790" w:type="dxa"/>
            <w:vAlign w:val="center"/>
          </w:tcPr>
          <w:p>
            <w:pPr>
              <w:overflowPunct w:val="0"/>
              <w:jc w:val="center"/>
              <w:rPr>
                <w:rFonts w:ascii="宋体" w:hAnsi="宋体"/>
                <w:sz w:val="18"/>
                <w:szCs w:val="18"/>
              </w:rPr>
            </w:pPr>
            <w:r>
              <w:rPr>
                <w:rFonts w:hint="eastAsia" w:ascii="宋体" w:hAnsi="宋体"/>
                <w:sz w:val="18"/>
                <w:szCs w:val="18"/>
              </w:rPr>
              <w:t>场馆餐饮设备不能正常使用</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餐饮厨房</w:t>
            </w:r>
          </w:p>
        </w:tc>
        <w:tc>
          <w:tcPr>
            <w:tcW w:w="3402" w:type="dxa"/>
            <w:vAlign w:val="center"/>
          </w:tcPr>
          <w:p>
            <w:pPr>
              <w:overflowPunct w:val="0"/>
              <w:jc w:val="center"/>
              <w:rPr>
                <w:rFonts w:ascii="宋体" w:hAnsi="宋体"/>
                <w:sz w:val="18"/>
                <w:szCs w:val="18"/>
              </w:rPr>
            </w:pPr>
            <w:r>
              <w:rPr>
                <w:rFonts w:hint="eastAsia" w:ascii="宋体" w:hAnsi="宋体"/>
                <w:sz w:val="18"/>
                <w:szCs w:val="18"/>
              </w:rPr>
              <w:t>场馆餐饮设备不能正常使用</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32</w:t>
            </w:r>
          </w:p>
        </w:tc>
        <w:tc>
          <w:tcPr>
            <w:tcW w:w="1790" w:type="dxa"/>
            <w:vAlign w:val="center"/>
          </w:tcPr>
          <w:p>
            <w:pPr>
              <w:overflowPunct w:val="0"/>
              <w:jc w:val="center"/>
              <w:rPr>
                <w:rFonts w:ascii="宋体" w:hAnsi="宋体"/>
                <w:sz w:val="18"/>
                <w:szCs w:val="18"/>
              </w:rPr>
            </w:pPr>
            <w:r>
              <w:rPr>
                <w:rFonts w:hint="eastAsia" w:ascii="宋体" w:hAnsi="宋体"/>
                <w:sz w:val="18"/>
                <w:szCs w:val="18"/>
              </w:rPr>
              <w:t>看台座椅损坏</w:t>
            </w:r>
          </w:p>
        </w:tc>
        <w:tc>
          <w:tcPr>
            <w:tcW w:w="1553" w:type="dxa"/>
            <w:vAlign w:val="center"/>
          </w:tcPr>
          <w:p>
            <w:pPr>
              <w:overflowPunct w:val="0"/>
              <w:jc w:val="center"/>
              <w:rPr>
                <w:rFonts w:ascii="宋体" w:hAnsi="宋体"/>
                <w:sz w:val="18"/>
                <w:szCs w:val="18"/>
              </w:rPr>
            </w:pPr>
            <w:r>
              <w:rPr>
                <w:rFonts w:hint="eastAsia" w:ascii="宋体" w:hAnsi="宋体"/>
                <w:sz w:val="18"/>
                <w:szCs w:val="18"/>
              </w:rPr>
              <w:t>看台区</w:t>
            </w:r>
          </w:p>
        </w:tc>
        <w:tc>
          <w:tcPr>
            <w:tcW w:w="3402" w:type="dxa"/>
            <w:vAlign w:val="center"/>
          </w:tcPr>
          <w:p>
            <w:pPr>
              <w:overflowPunct w:val="0"/>
              <w:jc w:val="center"/>
              <w:rPr>
                <w:rFonts w:ascii="宋体" w:hAnsi="宋体"/>
                <w:sz w:val="18"/>
                <w:szCs w:val="18"/>
              </w:rPr>
            </w:pPr>
            <w:r>
              <w:rPr>
                <w:rFonts w:hint="eastAsia" w:ascii="宋体" w:hAnsi="宋体"/>
                <w:sz w:val="18"/>
                <w:szCs w:val="18"/>
              </w:rPr>
              <w:t>看台坐席固定件损坏或紧固件松动，座椅破损等</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33</w:t>
            </w:r>
          </w:p>
        </w:tc>
        <w:tc>
          <w:tcPr>
            <w:tcW w:w="1790" w:type="dxa"/>
            <w:vAlign w:val="center"/>
          </w:tcPr>
          <w:p>
            <w:pPr>
              <w:overflowPunct w:val="0"/>
              <w:jc w:val="center"/>
              <w:rPr>
                <w:rFonts w:ascii="宋体" w:hAnsi="宋体"/>
                <w:sz w:val="18"/>
                <w:szCs w:val="18"/>
              </w:rPr>
            </w:pPr>
            <w:r>
              <w:rPr>
                <w:rFonts w:hint="eastAsia" w:ascii="宋体" w:hAnsi="宋体"/>
                <w:sz w:val="18"/>
                <w:szCs w:val="18"/>
              </w:rPr>
              <w:t>燃气管道、阀门故障</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燃气泄漏</w:t>
            </w:r>
          </w:p>
        </w:tc>
        <w:tc>
          <w:tcPr>
            <w:tcW w:w="1403" w:type="dxa"/>
            <w:vAlign w:val="center"/>
          </w:tcPr>
          <w:p>
            <w:pPr>
              <w:overflowPunct w:val="0"/>
              <w:jc w:val="center"/>
              <w:rPr>
                <w:rFonts w:ascii="宋体" w:hAnsi="宋体"/>
                <w:sz w:val="18"/>
                <w:szCs w:val="18"/>
              </w:rPr>
            </w:pPr>
            <w:r>
              <w:rPr>
                <w:rFonts w:hint="eastAsia" w:ascii="宋体" w:hAnsi="宋体"/>
                <w:sz w:val="18"/>
                <w:szCs w:val="18"/>
              </w:rPr>
              <w:t>火灾、爆炸事故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34</w:t>
            </w:r>
          </w:p>
        </w:tc>
        <w:tc>
          <w:tcPr>
            <w:tcW w:w="1790" w:type="dxa"/>
            <w:vAlign w:val="center"/>
          </w:tcPr>
          <w:p>
            <w:pPr>
              <w:overflowPunct w:val="0"/>
              <w:jc w:val="center"/>
              <w:rPr>
                <w:rFonts w:ascii="宋体" w:hAnsi="宋体"/>
                <w:sz w:val="18"/>
                <w:szCs w:val="18"/>
              </w:rPr>
            </w:pPr>
            <w:r>
              <w:rPr>
                <w:rFonts w:hint="eastAsia" w:ascii="宋体" w:hAnsi="宋体"/>
                <w:sz w:val="18"/>
                <w:szCs w:val="18"/>
              </w:rPr>
              <w:t>热力站设备故障</w:t>
            </w:r>
          </w:p>
        </w:tc>
        <w:tc>
          <w:tcPr>
            <w:tcW w:w="1553" w:type="dxa"/>
            <w:vAlign w:val="center"/>
          </w:tcPr>
          <w:p>
            <w:pPr>
              <w:overflowPunct w:val="0"/>
              <w:jc w:val="center"/>
              <w:rPr>
                <w:rFonts w:ascii="宋体" w:hAnsi="宋体"/>
                <w:sz w:val="18"/>
                <w:szCs w:val="18"/>
              </w:rPr>
            </w:pPr>
            <w:r>
              <w:rPr>
                <w:rFonts w:hint="eastAsia" w:ascii="宋体" w:hAnsi="宋体"/>
                <w:sz w:val="18"/>
                <w:szCs w:val="18"/>
              </w:rPr>
              <w:t>热力站</w:t>
            </w:r>
          </w:p>
        </w:tc>
        <w:tc>
          <w:tcPr>
            <w:tcW w:w="3402" w:type="dxa"/>
            <w:vAlign w:val="center"/>
          </w:tcPr>
          <w:p>
            <w:pPr>
              <w:overflowPunct w:val="0"/>
              <w:jc w:val="center"/>
              <w:rPr>
                <w:rFonts w:ascii="宋体" w:hAnsi="宋体"/>
                <w:sz w:val="18"/>
                <w:szCs w:val="18"/>
              </w:rPr>
            </w:pPr>
            <w:r>
              <w:rPr>
                <w:rFonts w:hint="eastAsia" w:ascii="宋体" w:hAnsi="宋体"/>
                <w:sz w:val="18"/>
                <w:szCs w:val="18"/>
              </w:rPr>
              <w:t>循环泵无法正常运转</w:t>
            </w:r>
          </w:p>
        </w:tc>
        <w:tc>
          <w:tcPr>
            <w:tcW w:w="1403" w:type="dxa"/>
            <w:vAlign w:val="center"/>
          </w:tcPr>
          <w:p>
            <w:pPr>
              <w:overflowPunct w:val="0"/>
              <w:jc w:val="center"/>
              <w:rPr>
                <w:rFonts w:ascii="宋体" w:hAnsi="宋体"/>
                <w:sz w:val="18"/>
                <w:szCs w:val="18"/>
              </w:rPr>
            </w:pPr>
            <w:r>
              <w:rPr>
                <w:rFonts w:hint="eastAsia" w:ascii="宋体" w:hAnsi="宋体"/>
                <w:sz w:val="18"/>
                <w:szCs w:val="18"/>
              </w:rPr>
              <w:t>供暖安全事件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35</w:t>
            </w:r>
          </w:p>
        </w:tc>
        <w:tc>
          <w:tcPr>
            <w:tcW w:w="1790" w:type="dxa"/>
            <w:vAlign w:val="center"/>
          </w:tcPr>
          <w:p>
            <w:pPr>
              <w:overflowPunct w:val="0"/>
              <w:jc w:val="center"/>
              <w:rPr>
                <w:rFonts w:ascii="宋体" w:hAnsi="宋体"/>
                <w:sz w:val="18"/>
                <w:szCs w:val="18"/>
              </w:rPr>
            </w:pPr>
            <w:r>
              <w:rPr>
                <w:rFonts w:hint="eastAsia" w:ascii="宋体" w:hAnsi="宋体"/>
                <w:sz w:val="18"/>
                <w:szCs w:val="18"/>
              </w:rPr>
              <w:t>空调管道故障</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管道泄漏</w:t>
            </w:r>
          </w:p>
        </w:tc>
        <w:tc>
          <w:tcPr>
            <w:tcW w:w="1403" w:type="dxa"/>
            <w:vAlign w:val="center"/>
          </w:tcPr>
          <w:p>
            <w:pPr>
              <w:overflowPunct w:val="0"/>
              <w:jc w:val="center"/>
              <w:rPr>
                <w:rFonts w:ascii="宋体" w:hAnsi="宋体"/>
                <w:sz w:val="18"/>
                <w:szCs w:val="18"/>
              </w:rPr>
            </w:pPr>
            <w:r>
              <w:rPr>
                <w:rFonts w:hint="eastAsia" w:ascii="宋体" w:hAnsi="宋体"/>
                <w:sz w:val="18"/>
                <w:szCs w:val="18"/>
              </w:rPr>
              <w:t>制冷安全事件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36</w:t>
            </w:r>
          </w:p>
        </w:tc>
        <w:tc>
          <w:tcPr>
            <w:tcW w:w="1790" w:type="dxa"/>
            <w:vAlign w:val="center"/>
          </w:tcPr>
          <w:p>
            <w:pPr>
              <w:overflowPunct w:val="0"/>
              <w:jc w:val="center"/>
              <w:rPr>
                <w:rFonts w:ascii="宋体" w:hAnsi="宋体"/>
                <w:sz w:val="18"/>
                <w:szCs w:val="18"/>
              </w:rPr>
            </w:pPr>
            <w:r>
              <w:rPr>
                <w:rFonts w:hint="eastAsia" w:ascii="宋体" w:hAnsi="宋体"/>
                <w:sz w:val="18"/>
                <w:szCs w:val="18"/>
              </w:rPr>
              <w:t>生活水停水</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生活水泵故障停水</w:t>
            </w:r>
          </w:p>
        </w:tc>
        <w:tc>
          <w:tcPr>
            <w:tcW w:w="1403" w:type="dxa"/>
            <w:vAlign w:val="center"/>
          </w:tcPr>
          <w:p>
            <w:pPr>
              <w:overflowPunct w:val="0"/>
              <w:jc w:val="center"/>
              <w:rPr>
                <w:rFonts w:ascii="宋体" w:hAnsi="宋体"/>
                <w:sz w:val="18"/>
                <w:szCs w:val="18"/>
              </w:rPr>
            </w:pPr>
            <w:r>
              <w:rPr>
                <w:rFonts w:hint="eastAsia" w:ascii="宋体" w:hAnsi="宋体"/>
                <w:sz w:val="18"/>
                <w:szCs w:val="18"/>
              </w:rPr>
              <w:t>供水安全事件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37</w:t>
            </w:r>
          </w:p>
        </w:tc>
        <w:tc>
          <w:tcPr>
            <w:tcW w:w="1790" w:type="dxa"/>
            <w:vAlign w:val="center"/>
          </w:tcPr>
          <w:p>
            <w:pPr>
              <w:overflowPunct w:val="0"/>
              <w:jc w:val="center"/>
              <w:rPr>
                <w:rFonts w:ascii="宋体" w:hAnsi="宋体"/>
                <w:sz w:val="18"/>
                <w:szCs w:val="18"/>
              </w:rPr>
            </w:pPr>
            <w:r>
              <w:rPr>
                <w:rFonts w:hint="eastAsia" w:ascii="宋体" w:hAnsi="宋体"/>
                <w:sz w:val="18"/>
                <w:szCs w:val="18"/>
              </w:rPr>
              <w:t>重要区域监控摄像头故障</w:t>
            </w:r>
          </w:p>
        </w:tc>
        <w:tc>
          <w:tcPr>
            <w:tcW w:w="1553" w:type="dxa"/>
            <w:vAlign w:val="center"/>
          </w:tcPr>
          <w:p>
            <w:pPr>
              <w:overflowPunct w:val="0"/>
              <w:jc w:val="center"/>
              <w:rPr>
                <w:rFonts w:ascii="宋体" w:hAnsi="宋体"/>
                <w:sz w:val="18"/>
                <w:szCs w:val="18"/>
              </w:rPr>
            </w:pPr>
            <w:r>
              <w:rPr>
                <w:rFonts w:hint="eastAsia" w:ascii="宋体" w:hAnsi="宋体"/>
                <w:sz w:val="18"/>
                <w:szCs w:val="18"/>
              </w:rPr>
              <w:t>摄像头安装位置</w:t>
            </w:r>
          </w:p>
        </w:tc>
        <w:tc>
          <w:tcPr>
            <w:tcW w:w="3402" w:type="dxa"/>
            <w:vAlign w:val="center"/>
          </w:tcPr>
          <w:p>
            <w:pPr>
              <w:overflowPunct w:val="0"/>
              <w:jc w:val="center"/>
              <w:rPr>
                <w:rFonts w:ascii="宋体" w:hAnsi="宋体"/>
                <w:sz w:val="18"/>
                <w:szCs w:val="18"/>
              </w:rPr>
            </w:pPr>
            <w:r>
              <w:rPr>
                <w:rFonts w:hint="eastAsia" w:ascii="宋体" w:hAnsi="宋体"/>
                <w:sz w:val="18"/>
                <w:szCs w:val="18"/>
              </w:rPr>
              <w:t>重要区域监控摄像头突发故障</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38</w:t>
            </w:r>
          </w:p>
        </w:tc>
        <w:tc>
          <w:tcPr>
            <w:tcW w:w="1790" w:type="dxa"/>
            <w:vAlign w:val="center"/>
          </w:tcPr>
          <w:p>
            <w:pPr>
              <w:overflowPunct w:val="0"/>
              <w:jc w:val="center"/>
              <w:rPr>
                <w:rFonts w:ascii="宋体" w:hAnsi="宋体"/>
                <w:sz w:val="18"/>
                <w:szCs w:val="18"/>
              </w:rPr>
            </w:pPr>
            <w:r>
              <w:rPr>
                <w:rFonts w:hint="eastAsia" w:ascii="宋体" w:hAnsi="宋体"/>
                <w:sz w:val="18"/>
                <w:szCs w:val="18"/>
              </w:rPr>
              <w:t>核心网络设备单机故障</w:t>
            </w:r>
          </w:p>
        </w:tc>
        <w:tc>
          <w:tcPr>
            <w:tcW w:w="1553" w:type="dxa"/>
            <w:vAlign w:val="center"/>
          </w:tcPr>
          <w:p>
            <w:pPr>
              <w:overflowPunct w:val="0"/>
              <w:jc w:val="center"/>
              <w:rPr>
                <w:rFonts w:ascii="宋体" w:hAnsi="宋体"/>
                <w:sz w:val="18"/>
                <w:szCs w:val="18"/>
              </w:rPr>
            </w:pPr>
            <w:r>
              <w:rPr>
                <w:rFonts w:hint="eastAsia" w:ascii="宋体" w:hAnsi="宋体"/>
                <w:sz w:val="18"/>
                <w:szCs w:val="18"/>
              </w:rPr>
              <w:t>指挥监控机房</w:t>
            </w:r>
          </w:p>
        </w:tc>
        <w:tc>
          <w:tcPr>
            <w:tcW w:w="3402" w:type="dxa"/>
            <w:vAlign w:val="center"/>
          </w:tcPr>
          <w:p>
            <w:pPr>
              <w:overflowPunct w:val="0"/>
              <w:jc w:val="center"/>
              <w:rPr>
                <w:rFonts w:ascii="宋体" w:hAnsi="宋体"/>
                <w:sz w:val="18"/>
                <w:szCs w:val="18"/>
              </w:rPr>
            </w:pPr>
            <w:r>
              <w:rPr>
                <w:rFonts w:hint="eastAsia" w:ascii="宋体" w:hAnsi="宋体"/>
                <w:sz w:val="18"/>
                <w:szCs w:val="18"/>
              </w:rPr>
              <w:t>因质量问题导致核心网络设备单机故障</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39</w:t>
            </w:r>
          </w:p>
        </w:tc>
        <w:tc>
          <w:tcPr>
            <w:tcW w:w="1790" w:type="dxa"/>
            <w:vAlign w:val="center"/>
          </w:tcPr>
          <w:p>
            <w:pPr>
              <w:overflowPunct w:val="0"/>
              <w:jc w:val="center"/>
              <w:rPr>
                <w:rFonts w:ascii="宋体" w:hAnsi="宋体"/>
                <w:sz w:val="18"/>
                <w:szCs w:val="18"/>
              </w:rPr>
            </w:pPr>
            <w:r>
              <w:rPr>
                <w:rFonts w:hint="eastAsia" w:ascii="宋体" w:hAnsi="宋体"/>
                <w:sz w:val="18"/>
                <w:szCs w:val="18"/>
              </w:rPr>
              <w:t>通信设备故障</w:t>
            </w:r>
          </w:p>
        </w:tc>
        <w:tc>
          <w:tcPr>
            <w:tcW w:w="1553" w:type="dxa"/>
            <w:vAlign w:val="center"/>
          </w:tcPr>
          <w:p>
            <w:pPr>
              <w:overflowPunct w:val="0"/>
              <w:jc w:val="center"/>
              <w:rPr>
                <w:rFonts w:ascii="宋体" w:hAnsi="宋体"/>
                <w:sz w:val="18"/>
                <w:szCs w:val="18"/>
              </w:rPr>
            </w:pPr>
            <w:r>
              <w:rPr>
                <w:rFonts w:hint="eastAsia" w:ascii="宋体" w:hAnsi="宋体"/>
                <w:sz w:val="18"/>
                <w:szCs w:val="18"/>
              </w:rPr>
              <w:t>通信机房</w:t>
            </w:r>
          </w:p>
        </w:tc>
        <w:tc>
          <w:tcPr>
            <w:tcW w:w="3402" w:type="dxa"/>
            <w:vAlign w:val="center"/>
          </w:tcPr>
          <w:p>
            <w:pPr>
              <w:overflowPunct w:val="0"/>
              <w:jc w:val="center"/>
              <w:rPr>
                <w:rFonts w:ascii="宋体" w:hAnsi="宋体"/>
                <w:sz w:val="18"/>
                <w:szCs w:val="18"/>
              </w:rPr>
            </w:pPr>
            <w:r>
              <w:rPr>
                <w:rFonts w:hint="eastAsia" w:ascii="宋体" w:hAnsi="宋体"/>
                <w:sz w:val="18"/>
                <w:szCs w:val="18"/>
              </w:rPr>
              <w:t>通信系统个别设备突发故障，导致个别通信功能受到影响，导致无法通信</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40</w:t>
            </w:r>
          </w:p>
        </w:tc>
        <w:tc>
          <w:tcPr>
            <w:tcW w:w="1790" w:type="dxa"/>
            <w:vAlign w:val="center"/>
          </w:tcPr>
          <w:p>
            <w:pPr>
              <w:overflowPunct w:val="0"/>
              <w:jc w:val="center"/>
              <w:rPr>
                <w:rFonts w:ascii="宋体" w:hAnsi="宋体"/>
                <w:sz w:val="18"/>
                <w:szCs w:val="18"/>
              </w:rPr>
            </w:pPr>
            <w:r>
              <w:rPr>
                <w:rFonts w:hint="eastAsia" w:ascii="宋体" w:hAnsi="宋体"/>
                <w:sz w:val="18"/>
                <w:szCs w:val="18"/>
              </w:rPr>
              <w:t>食物出现大面积腐烂变质</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餐饮厨房</w:t>
            </w:r>
          </w:p>
        </w:tc>
        <w:tc>
          <w:tcPr>
            <w:tcW w:w="3402" w:type="dxa"/>
            <w:vAlign w:val="center"/>
          </w:tcPr>
          <w:p>
            <w:pPr>
              <w:overflowPunct w:val="0"/>
              <w:jc w:val="center"/>
              <w:rPr>
                <w:rFonts w:ascii="宋体" w:hAnsi="宋体"/>
                <w:sz w:val="18"/>
                <w:szCs w:val="18"/>
              </w:rPr>
            </w:pPr>
            <w:r>
              <w:rPr>
                <w:rFonts w:hint="eastAsia" w:ascii="宋体" w:hAnsi="宋体"/>
                <w:sz w:val="18"/>
                <w:szCs w:val="18"/>
              </w:rPr>
              <w:t>工作人员食材储藏区食物出现大面积腐烂变质，无法使用，并且怪味四溢、病菌滋生</w:t>
            </w:r>
          </w:p>
        </w:tc>
        <w:tc>
          <w:tcPr>
            <w:tcW w:w="1403" w:type="dxa"/>
            <w:vAlign w:val="center"/>
          </w:tcPr>
          <w:p>
            <w:pPr>
              <w:overflowPunct w:val="0"/>
              <w:jc w:val="center"/>
              <w:rPr>
                <w:rFonts w:ascii="宋体" w:hAnsi="宋体"/>
                <w:sz w:val="18"/>
                <w:szCs w:val="18"/>
              </w:rPr>
            </w:pPr>
            <w:r>
              <w:rPr>
                <w:rFonts w:hint="eastAsia" w:ascii="宋体" w:hAnsi="宋体"/>
                <w:sz w:val="18"/>
                <w:szCs w:val="18"/>
              </w:rPr>
              <w:t>食品安全事件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41</w:t>
            </w:r>
          </w:p>
        </w:tc>
        <w:tc>
          <w:tcPr>
            <w:tcW w:w="1790" w:type="dxa"/>
            <w:vAlign w:val="center"/>
          </w:tcPr>
          <w:p>
            <w:pPr>
              <w:overflowPunct w:val="0"/>
              <w:jc w:val="center"/>
              <w:rPr>
                <w:rFonts w:ascii="宋体" w:hAnsi="宋体"/>
                <w:sz w:val="18"/>
                <w:szCs w:val="18"/>
              </w:rPr>
            </w:pPr>
            <w:r>
              <w:rPr>
                <w:rFonts w:hint="eastAsia" w:ascii="宋体" w:hAnsi="宋体"/>
                <w:sz w:val="18"/>
                <w:szCs w:val="18"/>
              </w:rPr>
              <w:t>检票设备、系统故障风险</w:t>
            </w:r>
          </w:p>
        </w:tc>
        <w:tc>
          <w:tcPr>
            <w:tcW w:w="1553" w:type="dxa"/>
            <w:vAlign w:val="center"/>
          </w:tcPr>
          <w:p>
            <w:pPr>
              <w:overflowPunct w:val="0"/>
              <w:jc w:val="center"/>
              <w:rPr>
                <w:rFonts w:ascii="宋体" w:hAnsi="宋体"/>
                <w:sz w:val="18"/>
                <w:szCs w:val="18"/>
              </w:rPr>
            </w:pPr>
            <w:r>
              <w:rPr>
                <w:rFonts w:hint="eastAsia" w:ascii="宋体" w:hAnsi="宋体"/>
                <w:sz w:val="18"/>
                <w:szCs w:val="18"/>
              </w:rPr>
              <w:t>验票口</w:t>
            </w:r>
          </w:p>
        </w:tc>
        <w:tc>
          <w:tcPr>
            <w:tcW w:w="3402" w:type="dxa"/>
            <w:vAlign w:val="center"/>
          </w:tcPr>
          <w:p>
            <w:pPr>
              <w:overflowPunct w:val="0"/>
              <w:jc w:val="center"/>
              <w:rPr>
                <w:rFonts w:ascii="宋体" w:hAnsi="宋体"/>
                <w:sz w:val="18"/>
                <w:szCs w:val="18"/>
              </w:rPr>
            </w:pPr>
            <w:r>
              <w:rPr>
                <w:rFonts w:hint="eastAsia" w:ascii="宋体" w:hAnsi="宋体"/>
                <w:sz w:val="18"/>
                <w:szCs w:val="18"/>
              </w:rPr>
              <w:t>检票设备、系统故障导致观众无法入场的风险</w:t>
            </w:r>
          </w:p>
        </w:tc>
        <w:tc>
          <w:tcPr>
            <w:tcW w:w="1403" w:type="dxa"/>
            <w:vAlign w:val="center"/>
          </w:tcPr>
          <w:p>
            <w:pPr>
              <w:overflowPunct w:val="0"/>
              <w:jc w:val="center"/>
              <w:rPr>
                <w:rFonts w:ascii="宋体" w:hAnsi="宋体"/>
                <w:sz w:val="18"/>
                <w:szCs w:val="18"/>
              </w:rPr>
            </w:pPr>
            <w:r>
              <w:rPr>
                <w:rFonts w:hint="eastAsia" w:ascii="宋体" w:hAnsi="宋体"/>
                <w:sz w:val="18"/>
                <w:szCs w:val="18"/>
              </w:rPr>
              <w:t>设备安全事件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restart"/>
            <w:vAlign w:val="center"/>
          </w:tcPr>
          <w:p>
            <w:pPr>
              <w:overflowPunct w:val="0"/>
              <w:jc w:val="center"/>
              <w:rPr>
                <w:rFonts w:ascii="宋体" w:hAnsi="宋体"/>
                <w:sz w:val="18"/>
                <w:szCs w:val="18"/>
              </w:rPr>
            </w:pPr>
            <w:r>
              <w:rPr>
                <w:rFonts w:hint="eastAsia" w:ascii="宋体" w:hAnsi="宋体"/>
                <w:sz w:val="18"/>
                <w:szCs w:val="18"/>
              </w:rPr>
              <w:t>其他保障服务风险</w:t>
            </w:r>
          </w:p>
        </w:tc>
        <w:tc>
          <w:tcPr>
            <w:tcW w:w="600" w:type="dxa"/>
            <w:vAlign w:val="center"/>
          </w:tcPr>
          <w:p>
            <w:pPr>
              <w:overflowPunct w:val="0"/>
              <w:jc w:val="center"/>
              <w:rPr>
                <w:rFonts w:ascii="宋体" w:hAnsi="宋体"/>
                <w:sz w:val="18"/>
                <w:szCs w:val="18"/>
              </w:rPr>
            </w:pPr>
            <w:r>
              <w:rPr>
                <w:rFonts w:hint="eastAsia" w:ascii="宋体" w:hAnsi="宋体"/>
                <w:sz w:val="18"/>
                <w:szCs w:val="18"/>
              </w:rPr>
              <w:t>42</w:t>
            </w:r>
          </w:p>
        </w:tc>
        <w:tc>
          <w:tcPr>
            <w:tcW w:w="1790" w:type="dxa"/>
            <w:vAlign w:val="center"/>
          </w:tcPr>
          <w:p>
            <w:pPr>
              <w:overflowPunct w:val="0"/>
              <w:jc w:val="center"/>
              <w:rPr>
                <w:rFonts w:ascii="宋体" w:hAnsi="宋体"/>
                <w:sz w:val="18"/>
                <w:szCs w:val="18"/>
              </w:rPr>
            </w:pPr>
            <w:r>
              <w:rPr>
                <w:rFonts w:hint="eastAsia" w:ascii="宋体" w:hAnsi="宋体"/>
                <w:sz w:val="18"/>
                <w:szCs w:val="18"/>
              </w:rPr>
              <w:t>重要无线电通信受到干扰</w:t>
            </w:r>
          </w:p>
        </w:tc>
        <w:tc>
          <w:tcPr>
            <w:tcW w:w="1553" w:type="dxa"/>
            <w:vAlign w:val="center"/>
          </w:tcPr>
          <w:p>
            <w:pPr>
              <w:overflowPunct w:val="0"/>
              <w:jc w:val="center"/>
              <w:rPr>
                <w:rFonts w:ascii="宋体" w:hAnsi="宋体"/>
                <w:sz w:val="18"/>
                <w:szCs w:val="18"/>
              </w:rPr>
            </w:pPr>
            <w:r>
              <w:rPr>
                <w:rFonts w:hint="eastAsia" w:ascii="宋体" w:hAnsi="宋体"/>
                <w:sz w:val="18"/>
                <w:szCs w:val="18"/>
              </w:rPr>
              <w:t>活动内外保障区域</w:t>
            </w:r>
          </w:p>
        </w:tc>
        <w:tc>
          <w:tcPr>
            <w:tcW w:w="3402" w:type="dxa"/>
            <w:vAlign w:val="center"/>
          </w:tcPr>
          <w:p>
            <w:pPr>
              <w:overflowPunct w:val="0"/>
              <w:jc w:val="center"/>
              <w:rPr>
                <w:rFonts w:ascii="宋体" w:hAnsi="宋体"/>
                <w:sz w:val="18"/>
                <w:szCs w:val="18"/>
              </w:rPr>
            </w:pPr>
            <w:r>
              <w:rPr>
                <w:rFonts w:hint="eastAsia" w:ascii="宋体" w:hAnsi="宋体"/>
                <w:sz w:val="18"/>
                <w:szCs w:val="18"/>
              </w:rPr>
              <w:t>重要无线电通信受到干扰，影响赛事或转播正常进行</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43</w:t>
            </w:r>
          </w:p>
        </w:tc>
        <w:tc>
          <w:tcPr>
            <w:tcW w:w="1790" w:type="dxa"/>
            <w:vAlign w:val="center"/>
          </w:tcPr>
          <w:p>
            <w:pPr>
              <w:overflowPunct w:val="0"/>
              <w:jc w:val="center"/>
              <w:rPr>
                <w:rFonts w:ascii="宋体" w:hAnsi="宋体"/>
                <w:sz w:val="18"/>
                <w:szCs w:val="18"/>
              </w:rPr>
            </w:pPr>
            <w:r>
              <w:rPr>
                <w:rFonts w:hint="eastAsia" w:ascii="宋体" w:hAnsi="宋体"/>
                <w:sz w:val="18"/>
                <w:szCs w:val="18"/>
              </w:rPr>
              <w:t>网络安全被非法侵入风险</w:t>
            </w:r>
          </w:p>
        </w:tc>
        <w:tc>
          <w:tcPr>
            <w:tcW w:w="1553" w:type="dxa"/>
            <w:vAlign w:val="center"/>
          </w:tcPr>
          <w:p>
            <w:pPr>
              <w:overflowPunct w:val="0"/>
              <w:jc w:val="center"/>
              <w:rPr>
                <w:rFonts w:ascii="宋体" w:hAnsi="宋体"/>
                <w:sz w:val="18"/>
                <w:szCs w:val="18"/>
              </w:rPr>
            </w:pPr>
            <w:r>
              <w:rPr>
                <w:rFonts w:hint="eastAsia" w:ascii="宋体" w:hAnsi="宋体"/>
                <w:sz w:val="18"/>
                <w:szCs w:val="18"/>
              </w:rPr>
              <w:t>相关系统业务领域</w:t>
            </w:r>
          </w:p>
        </w:tc>
        <w:tc>
          <w:tcPr>
            <w:tcW w:w="3402" w:type="dxa"/>
            <w:vAlign w:val="center"/>
          </w:tcPr>
          <w:p>
            <w:pPr>
              <w:overflowPunct w:val="0"/>
              <w:jc w:val="center"/>
              <w:rPr>
                <w:rFonts w:ascii="宋体" w:hAnsi="宋体"/>
                <w:sz w:val="18"/>
                <w:szCs w:val="18"/>
              </w:rPr>
            </w:pPr>
            <w:r>
              <w:rPr>
                <w:rFonts w:hint="eastAsia" w:ascii="宋体" w:hAnsi="宋体"/>
                <w:sz w:val="18"/>
                <w:szCs w:val="18"/>
              </w:rPr>
              <w:t>核心网络被攻击/黑客入侵造成不可用</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44</w:t>
            </w:r>
          </w:p>
        </w:tc>
        <w:tc>
          <w:tcPr>
            <w:tcW w:w="1790" w:type="dxa"/>
            <w:vAlign w:val="center"/>
          </w:tcPr>
          <w:p>
            <w:pPr>
              <w:overflowPunct w:val="0"/>
              <w:jc w:val="center"/>
              <w:rPr>
                <w:rFonts w:ascii="宋体" w:hAnsi="宋体"/>
                <w:sz w:val="18"/>
                <w:szCs w:val="18"/>
              </w:rPr>
            </w:pPr>
            <w:r>
              <w:rPr>
                <w:rFonts w:hint="eastAsia" w:ascii="宋体" w:hAnsi="宋体"/>
                <w:sz w:val="18"/>
                <w:szCs w:val="18"/>
              </w:rPr>
              <w:t>系统感染病毒或木马分析</w:t>
            </w:r>
          </w:p>
        </w:tc>
        <w:tc>
          <w:tcPr>
            <w:tcW w:w="1553" w:type="dxa"/>
            <w:vAlign w:val="center"/>
          </w:tcPr>
          <w:p>
            <w:pPr>
              <w:overflowPunct w:val="0"/>
              <w:jc w:val="center"/>
              <w:rPr>
                <w:rFonts w:ascii="宋体" w:hAnsi="宋体"/>
                <w:sz w:val="18"/>
                <w:szCs w:val="18"/>
              </w:rPr>
            </w:pPr>
            <w:r>
              <w:rPr>
                <w:rFonts w:hint="eastAsia" w:ascii="宋体" w:hAnsi="宋体"/>
                <w:sz w:val="18"/>
                <w:szCs w:val="18"/>
              </w:rPr>
              <w:t>相关系统业务领域</w:t>
            </w:r>
          </w:p>
        </w:tc>
        <w:tc>
          <w:tcPr>
            <w:tcW w:w="3402" w:type="dxa"/>
            <w:vAlign w:val="center"/>
          </w:tcPr>
          <w:p>
            <w:pPr>
              <w:overflowPunct w:val="0"/>
              <w:jc w:val="center"/>
              <w:rPr>
                <w:rFonts w:ascii="宋体" w:hAnsi="宋体"/>
                <w:sz w:val="18"/>
                <w:szCs w:val="18"/>
              </w:rPr>
            </w:pPr>
            <w:r>
              <w:rPr>
                <w:rFonts w:hint="eastAsia" w:ascii="宋体" w:hAnsi="宋体"/>
                <w:sz w:val="18"/>
                <w:szCs w:val="18"/>
              </w:rPr>
              <w:t>主机感染病毒、木马等恶意代码、遭受伪造的钓鱼邮件诱导等风险</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45</w:t>
            </w:r>
          </w:p>
        </w:tc>
        <w:tc>
          <w:tcPr>
            <w:tcW w:w="1790" w:type="dxa"/>
            <w:vAlign w:val="center"/>
          </w:tcPr>
          <w:p>
            <w:pPr>
              <w:overflowPunct w:val="0"/>
              <w:jc w:val="center"/>
              <w:rPr>
                <w:rFonts w:ascii="宋体" w:hAnsi="宋体"/>
                <w:sz w:val="18"/>
                <w:szCs w:val="18"/>
              </w:rPr>
            </w:pPr>
            <w:r>
              <w:rPr>
                <w:rFonts w:hint="eastAsia" w:ascii="宋体" w:hAnsi="宋体"/>
                <w:sz w:val="18"/>
                <w:szCs w:val="18"/>
              </w:rPr>
              <w:t>失泄密</w:t>
            </w:r>
          </w:p>
        </w:tc>
        <w:tc>
          <w:tcPr>
            <w:tcW w:w="1553" w:type="dxa"/>
            <w:vAlign w:val="center"/>
          </w:tcPr>
          <w:p>
            <w:pPr>
              <w:overflowPunct w:val="0"/>
              <w:jc w:val="center"/>
              <w:rPr>
                <w:rFonts w:ascii="宋体" w:hAnsi="宋体"/>
                <w:sz w:val="18"/>
                <w:szCs w:val="18"/>
              </w:rPr>
            </w:pPr>
            <w:r>
              <w:rPr>
                <w:rFonts w:hint="eastAsia" w:ascii="宋体" w:hAnsi="宋体"/>
                <w:sz w:val="18"/>
                <w:szCs w:val="18"/>
              </w:rPr>
              <w:t>场馆区域</w:t>
            </w:r>
          </w:p>
        </w:tc>
        <w:tc>
          <w:tcPr>
            <w:tcW w:w="3402" w:type="dxa"/>
            <w:vAlign w:val="center"/>
          </w:tcPr>
          <w:p>
            <w:pPr>
              <w:overflowPunct w:val="0"/>
              <w:jc w:val="center"/>
              <w:rPr>
                <w:rFonts w:ascii="宋体" w:hAnsi="宋体"/>
                <w:sz w:val="18"/>
                <w:szCs w:val="18"/>
              </w:rPr>
            </w:pPr>
            <w:r>
              <w:rPr>
                <w:rFonts w:hint="eastAsia" w:ascii="宋体" w:hAnsi="宋体"/>
                <w:sz w:val="18"/>
                <w:szCs w:val="18"/>
              </w:rPr>
              <w:t>失泄密: 演出相关信息被提前泄漏</w:t>
            </w:r>
          </w:p>
        </w:tc>
        <w:tc>
          <w:tcPr>
            <w:tcW w:w="1403" w:type="dxa"/>
            <w:vAlign w:val="center"/>
          </w:tcPr>
          <w:p>
            <w:pPr>
              <w:overflowPunct w:val="0"/>
              <w:jc w:val="center"/>
              <w:rPr>
                <w:rFonts w:ascii="宋体" w:hAnsi="宋体"/>
                <w:sz w:val="18"/>
                <w:szCs w:val="18"/>
              </w:rPr>
            </w:pPr>
            <w:r>
              <w:rPr>
                <w:rFonts w:hint="eastAsia" w:ascii="宋体" w:hAnsi="宋体"/>
                <w:sz w:val="18"/>
                <w:szCs w:val="18"/>
              </w:rPr>
              <w:t>泄密事件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46</w:t>
            </w:r>
          </w:p>
        </w:tc>
        <w:tc>
          <w:tcPr>
            <w:tcW w:w="1790" w:type="dxa"/>
            <w:vAlign w:val="center"/>
          </w:tcPr>
          <w:p>
            <w:pPr>
              <w:overflowPunct w:val="0"/>
              <w:jc w:val="center"/>
              <w:rPr>
                <w:rFonts w:ascii="宋体" w:hAnsi="宋体"/>
                <w:sz w:val="18"/>
                <w:szCs w:val="18"/>
              </w:rPr>
            </w:pPr>
            <w:r>
              <w:rPr>
                <w:rFonts w:hint="eastAsia" w:ascii="宋体" w:hAnsi="宋体"/>
                <w:sz w:val="18"/>
                <w:szCs w:val="18"/>
              </w:rPr>
              <w:t>场馆餐饮区域发生火灾事故</w:t>
            </w:r>
          </w:p>
        </w:tc>
        <w:tc>
          <w:tcPr>
            <w:tcW w:w="1553" w:type="dxa"/>
            <w:vAlign w:val="center"/>
          </w:tcPr>
          <w:p>
            <w:pPr>
              <w:overflowPunct w:val="0"/>
              <w:jc w:val="center"/>
              <w:rPr>
                <w:rFonts w:ascii="宋体" w:hAnsi="宋体"/>
                <w:sz w:val="18"/>
                <w:szCs w:val="18"/>
              </w:rPr>
            </w:pPr>
            <w:r>
              <w:rPr>
                <w:rFonts w:hint="eastAsia" w:ascii="宋体" w:hAnsi="宋体"/>
                <w:sz w:val="18"/>
                <w:szCs w:val="18"/>
              </w:rPr>
              <w:t>餐饮就餐区</w:t>
            </w:r>
          </w:p>
        </w:tc>
        <w:tc>
          <w:tcPr>
            <w:tcW w:w="3402" w:type="dxa"/>
            <w:vAlign w:val="center"/>
          </w:tcPr>
          <w:p>
            <w:pPr>
              <w:overflowPunct w:val="0"/>
              <w:jc w:val="center"/>
              <w:rPr>
                <w:rFonts w:ascii="宋体" w:hAnsi="宋体"/>
                <w:sz w:val="18"/>
                <w:szCs w:val="18"/>
              </w:rPr>
            </w:pPr>
            <w:r>
              <w:rPr>
                <w:rFonts w:hint="eastAsia" w:ascii="宋体" w:hAnsi="宋体"/>
                <w:sz w:val="18"/>
                <w:szCs w:val="18"/>
              </w:rPr>
              <w:t>场馆餐饮区域发生火灾事故，场面混乱，有可能造成人员伤害。</w:t>
            </w:r>
          </w:p>
        </w:tc>
        <w:tc>
          <w:tcPr>
            <w:tcW w:w="1403" w:type="dxa"/>
            <w:vAlign w:val="center"/>
          </w:tcPr>
          <w:p>
            <w:pPr>
              <w:overflowPunct w:val="0"/>
              <w:jc w:val="center"/>
              <w:rPr>
                <w:rFonts w:ascii="宋体" w:hAnsi="宋体"/>
                <w:sz w:val="18"/>
                <w:szCs w:val="18"/>
              </w:rPr>
            </w:pPr>
            <w:r>
              <w:rPr>
                <w:rFonts w:hint="eastAsia" w:ascii="宋体" w:hAnsi="宋体"/>
                <w:sz w:val="18"/>
                <w:szCs w:val="18"/>
              </w:rPr>
              <w:t>火灾事故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47</w:t>
            </w:r>
          </w:p>
        </w:tc>
        <w:tc>
          <w:tcPr>
            <w:tcW w:w="1790" w:type="dxa"/>
            <w:vAlign w:val="center"/>
          </w:tcPr>
          <w:p>
            <w:pPr>
              <w:overflowPunct w:val="0"/>
              <w:jc w:val="center"/>
              <w:rPr>
                <w:rFonts w:ascii="宋体" w:hAnsi="宋体"/>
                <w:sz w:val="18"/>
                <w:szCs w:val="18"/>
              </w:rPr>
            </w:pPr>
            <w:r>
              <w:rPr>
                <w:rFonts w:hint="eastAsia" w:ascii="宋体" w:hAnsi="宋体"/>
                <w:sz w:val="18"/>
                <w:szCs w:val="18"/>
              </w:rPr>
              <w:t>关键信息记录不当，影响信息传达准确性</w:t>
            </w:r>
          </w:p>
        </w:tc>
        <w:tc>
          <w:tcPr>
            <w:tcW w:w="1553" w:type="dxa"/>
            <w:vAlign w:val="center"/>
          </w:tcPr>
          <w:p>
            <w:pPr>
              <w:overflowPunct w:val="0"/>
              <w:jc w:val="center"/>
              <w:rPr>
                <w:rFonts w:ascii="宋体" w:hAnsi="宋体"/>
                <w:sz w:val="18"/>
                <w:szCs w:val="18"/>
              </w:rPr>
            </w:pPr>
            <w:r>
              <w:rPr>
                <w:rFonts w:hint="eastAsia" w:ascii="宋体" w:hAnsi="宋体"/>
                <w:sz w:val="18"/>
                <w:szCs w:val="18"/>
              </w:rPr>
              <w:t>使用该集群设备的点位</w:t>
            </w:r>
          </w:p>
        </w:tc>
        <w:tc>
          <w:tcPr>
            <w:tcW w:w="3402" w:type="dxa"/>
            <w:vAlign w:val="center"/>
          </w:tcPr>
          <w:p>
            <w:pPr>
              <w:overflowPunct w:val="0"/>
              <w:jc w:val="center"/>
              <w:rPr>
                <w:rFonts w:ascii="宋体" w:hAnsi="宋体"/>
                <w:sz w:val="18"/>
                <w:szCs w:val="18"/>
              </w:rPr>
            </w:pPr>
            <w:r>
              <w:rPr>
                <w:rFonts w:hint="eastAsia" w:ascii="宋体" w:hAnsi="宋体"/>
                <w:sz w:val="18"/>
                <w:szCs w:val="18"/>
              </w:rPr>
              <w:t>监听人员记录关键信息时出现漏记或错记现象，导致信息传达不准确</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48</w:t>
            </w:r>
          </w:p>
        </w:tc>
        <w:tc>
          <w:tcPr>
            <w:tcW w:w="1790" w:type="dxa"/>
            <w:vAlign w:val="center"/>
          </w:tcPr>
          <w:p>
            <w:pPr>
              <w:overflowPunct w:val="0"/>
              <w:jc w:val="center"/>
              <w:rPr>
                <w:rFonts w:ascii="宋体" w:hAnsi="宋体"/>
                <w:sz w:val="18"/>
                <w:szCs w:val="18"/>
              </w:rPr>
            </w:pPr>
            <w:r>
              <w:rPr>
                <w:rFonts w:hint="eastAsia" w:ascii="宋体" w:hAnsi="宋体"/>
                <w:sz w:val="18"/>
                <w:szCs w:val="18"/>
              </w:rPr>
              <w:t>集群业务信道拥塞风险</w:t>
            </w:r>
          </w:p>
        </w:tc>
        <w:tc>
          <w:tcPr>
            <w:tcW w:w="1553" w:type="dxa"/>
            <w:vAlign w:val="center"/>
          </w:tcPr>
          <w:p>
            <w:pPr>
              <w:overflowPunct w:val="0"/>
              <w:jc w:val="center"/>
              <w:rPr>
                <w:rFonts w:ascii="宋体" w:hAnsi="宋体"/>
                <w:sz w:val="18"/>
                <w:szCs w:val="18"/>
              </w:rPr>
            </w:pPr>
            <w:r>
              <w:rPr>
                <w:rFonts w:hint="eastAsia" w:ascii="宋体" w:hAnsi="宋体"/>
                <w:sz w:val="18"/>
                <w:szCs w:val="18"/>
              </w:rPr>
              <w:t>工作人员、竞赛组织</w:t>
            </w:r>
          </w:p>
        </w:tc>
        <w:tc>
          <w:tcPr>
            <w:tcW w:w="3402" w:type="dxa"/>
            <w:vAlign w:val="center"/>
          </w:tcPr>
          <w:p>
            <w:pPr>
              <w:overflowPunct w:val="0"/>
              <w:jc w:val="center"/>
              <w:rPr>
                <w:rFonts w:ascii="宋体" w:hAnsi="宋体"/>
                <w:sz w:val="18"/>
                <w:szCs w:val="18"/>
              </w:rPr>
            </w:pPr>
            <w:r>
              <w:rPr>
                <w:rFonts w:hint="eastAsia" w:ascii="宋体" w:hAnsi="宋体"/>
                <w:sz w:val="18"/>
                <w:szCs w:val="18"/>
              </w:rPr>
              <w:t>馆内有突发事件，用户同时使用集群终端造成信道被占满，呼叫排队</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49</w:t>
            </w:r>
          </w:p>
        </w:tc>
        <w:tc>
          <w:tcPr>
            <w:tcW w:w="1790" w:type="dxa"/>
            <w:vAlign w:val="center"/>
          </w:tcPr>
          <w:p>
            <w:pPr>
              <w:overflowPunct w:val="0"/>
              <w:jc w:val="center"/>
              <w:rPr>
                <w:rFonts w:ascii="宋体" w:hAnsi="宋体"/>
                <w:sz w:val="18"/>
                <w:szCs w:val="18"/>
              </w:rPr>
            </w:pPr>
            <w:r>
              <w:rPr>
                <w:rFonts w:hint="eastAsia" w:ascii="宋体" w:hAnsi="宋体"/>
                <w:sz w:val="18"/>
                <w:szCs w:val="18"/>
              </w:rPr>
              <w:t>物资被毁或被盗</w:t>
            </w:r>
          </w:p>
        </w:tc>
        <w:tc>
          <w:tcPr>
            <w:tcW w:w="1553" w:type="dxa"/>
            <w:vAlign w:val="center"/>
          </w:tcPr>
          <w:p>
            <w:pPr>
              <w:overflowPunct w:val="0"/>
              <w:jc w:val="center"/>
              <w:rPr>
                <w:rFonts w:ascii="宋体" w:hAnsi="宋体"/>
                <w:sz w:val="18"/>
                <w:szCs w:val="18"/>
              </w:rPr>
            </w:pPr>
            <w:r>
              <w:rPr>
                <w:rFonts w:hint="eastAsia" w:ascii="宋体" w:hAnsi="宋体"/>
                <w:sz w:val="18"/>
                <w:szCs w:val="18"/>
              </w:rPr>
              <w:t>库房</w:t>
            </w:r>
          </w:p>
        </w:tc>
        <w:tc>
          <w:tcPr>
            <w:tcW w:w="3402" w:type="dxa"/>
            <w:vAlign w:val="center"/>
          </w:tcPr>
          <w:p>
            <w:pPr>
              <w:overflowPunct w:val="0"/>
              <w:jc w:val="center"/>
              <w:rPr>
                <w:rFonts w:ascii="宋体" w:hAnsi="宋体"/>
                <w:sz w:val="18"/>
                <w:szCs w:val="18"/>
              </w:rPr>
            </w:pPr>
            <w:r>
              <w:rPr>
                <w:rFonts w:hint="eastAsia" w:ascii="宋体" w:hAnsi="宋体"/>
                <w:sz w:val="18"/>
                <w:szCs w:val="18"/>
              </w:rPr>
              <w:t>物资被毁或被盗</w:t>
            </w:r>
          </w:p>
        </w:tc>
        <w:tc>
          <w:tcPr>
            <w:tcW w:w="1403" w:type="dxa"/>
            <w:vAlign w:val="center"/>
          </w:tcPr>
          <w:p>
            <w:pPr>
              <w:overflowPunct w:val="0"/>
              <w:jc w:val="center"/>
              <w:rPr>
                <w:rFonts w:ascii="宋体" w:hAnsi="宋体"/>
                <w:sz w:val="18"/>
                <w:szCs w:val="18"/>
              </w:rPr>
            </w:pPr>
            <w:r>
              <w:rPr>
                <w:rFonts w:hint="eastAsia" w:ascii="宋体" w:hAnsi="宋体"/>
                <w:sz w:val="18"/>
                <w:szCs w:val="18"/>
              </w:rPr>
              <w:t>治安事件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50</w:t>
            </w:r>
          </w:p>
        </w:tc>
        <w:tc>
          <w:tcPr>
            <w:tcW w:w="1790" w:type="dxa"/>
            <w:vAlign w:val="center"/>
          </w:tcPr>
          <w:p>
            <w:pPr>
              <w:overflowPunct w:val="0"/>
              <w:jc w:val="center"/>
              <w:rPr>
                <w:rFonts w:ascii="宋体" w:hAnsi="宋体"/>
                <w:sz w:val="18"/>
                <w:szCs w:val="18"/>
              </w:rPr>
            </w:pPr>
            <w:r>
              <w:rPr>
                <w:rFonts w:hint="eastAsia" w:ascii="宋体" w:hAnsi="宋体"/>
                <w:sz w:val="18"/>
                <w:szCs w:val="18"/>
              </w:rPr>
              <w:t>流程信息与现场导演要求不符</w:t>
            </w:r>
          </w:p>
        </w:tc>
        <w:tc>
          <w:tcPr>
            <w:tcW w:w="1553" w:type="dxa"/>
            <w:vAlign w:val="center"/>
          </w:tcPr>
          <w:p>
            <w:pPr>
              <w:overflowPunct w:val="0"/>
              <w:jc w:val="center"/>
              <w:rPr>
                <w:rFonts w:ascii="宋体" w:hAnsi="宋体"/>
                <w:sz w:val="18"/>
                <w:szCs w:val="18"/>
              </w:rPr>
            </w:pPr>
            <w:r>
              <w:rPr>
                <w:rFonts w:hint="eastAsia" w:ascii="宋体" w:hAnsi="宋体"/>
                <w:sz w:val="18"/>
                <w:szCs w:val="18"/>
              </w:rPr>
              <w:t>指挥大厅</w:t>
            </w:r>
          </w:p>
        </w:tc>
        <w:tc>
          <w:tcPr>
            <w:tcW w:w="3402" w:type="dxa"/>
            <w:vAlign w:val="center"/>
          </w:tcPr>
          <w:p>
            <w:pPr>
              <w:overflowPunct w:val="0"/>
              <w:jc w:val="center"/>
              <w:rPr>
                <w:rFonts w:ascii="宋体" w:hAnsi="宋体"/>
                <w:sz w:val="18"/>
                <w:szCs w:val="18"/>
              </w:rPr>
            </w:pPr>
            <w:r>
              <w:rPr>
                <w:rFonts w:hint="eastAsia" w:ascii="宋体" w:hAnsi="宋体"/>
                <w:sz w:val="18"/>
                <w:szCs w:val="18"/>
              </w:rPr>
              <w:t>节目调整顺序或时长导致流程信息与现场不符</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51</w:t>
            </w:r>
          </w:p>
        </w:tc>
        <w:tc>
          <w:tcPr>
            <w:tcW w:w="1790" w:type="dxa"/>
            <w:vAlign w:val="center"/>
          </w:tcPr>
          <w:p>
            <w:pPr>
              <w:overflowPunct w:val="0"/>
              <w:jc w:val="center"/>
              <w:rPr>
                <w:rFonts w:ascii="宋体" w:hAnsi="宋体"/>
                <w:sz w:val="18"/>
                <w:szCs w:val="18"/>
              </w:rPr>
            </w:pPr>
            <w:r>
              <w:rPr>
                <w:rFonts w:hint="eastAsia" w:ascii="宋体" w:hAnsi="宋体"/>
                <w:sz w:val="18"/>
                <w:szCs w:val="18"/>
              </w:rPr>
              <w:t>流程处理引擎故障</w:t>
            </w:r>
          </w:p>
        </w:tc>
        <w:tc>
          <w:tcPr>
            <w:tcW w:w="1553" w:type="dxa"/>
            <w:vAlign w:val="center"/>
          </w:tcPr>
          <w:p>
            <w:pPr>
              <w:overflowPunct w:val="0"/>
              <w:jc w:val="center"/>
              <w:rPr>
                <w:rFonts w:ascii="宋体" w:hAnsi="宋体"/>
                <w:sz w:val="18"/>
                <w:szCs w:val="18"/>
              </w:rPr>
            </w:pPr>
            <w:r>
              <w:rPr>
                <w:rFonts w:hint="eastAsia" w:ascii="宋体" w:hAnsi="宋体"/>
                <w:sz w:val="18"/>
                <w:szCs w:val="18"/>
              </w:rPr>
              <w:t>指挥监控机房</w:t>
            </w:r>
          </w:p>
        </w:tc>
        <w:tc>
          <w:tcPr>
            <w:tcW w:w="3402" w:type="dxa"/>
            <w:vAlign w:val="center"/>
          </w:tcPr>
          <w:p>
            <w:pPr>
              <w:overflowPunct w:val="0"/>
              <w:jc w:val="center"/>
              <w:rPr>
                <w:rFonts w:ascii="宋体" w:hAnsi="宋体"/>
                <w:sz w:val="18"/>
                <w:szCs w:val="18"/>
              </w:rPr>
            </w:pPr>
            <w:r>
              <w:rPr>
                <w:rFonts w:hint="eastAsia" w:ascii="宋体" w:hAnsi="宋体"/>
                <w:sz w:val="18"/>
                <w:szCs w:val="18"/>
              </w:rPr>
              <w:t>突发理引擎故障</w:t>
            </w:r>
          </w:p>
        </w:tc>
        <w:tc>
          <w:tcPr>
            <w:tcW w:w="1403" w:type="dxa"/>
            <w:vAlign w:val="center"/>
          </w:tcPr>
          <w:p>
            <w:pPr>
              <w:overflowPunct w:val="0"/>
              <w:jc w:val="center"/>
              <w:rPr>
                <w:rFonts w:ascii="宋体" w:hAnsi="宋体"/>
                <w:sz w:val="18"/>
                <w:szCs w:val="18"/>
              </w:rPr>
            </w:pPr>
            <w:r>
              <w:rPr>
                <w:rFonts w:hint="eastAsia" w:ascii="宋体" w:hAnsi="宋体"/>
                <w:sz w:val="18"/>
                <w:szCs w:val="18"/>
              </w:rPr>
              <w:t>通信安全事件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3" w:type="dxa"/>
            <w:vMerge w:val="continue"/>
            <w:vAlign w:val="center"/>
          </w:tcPr>
          <w:p>
            <w:pPr>
              <w:overflowPunct w:val="0"/>
              <w:jc w:val="center"/>
              <w:rPr>
                <w:rFonts w:ascii="宋体" w:hAnsi="宋体"/>
                <w:sz w:val="18"/>
                <w:szCs w:val="18"/>
              </w:rPr>
            </w:pPr>
          </w:p>
        </w:tc>
        <w:tc>
          <w:tcPr>
            <w:tcW w:w="600" w:type="dxa"/>
            <w:vAlign w:val="center"/>
          </w:tcPr>
          <w:p>
            <w:pPr>
              <w:overflowPunct w:val="0"/>
              <w:jc w:val="center"/>
              <w:rPr>
                <w:rFonts w:ascii="宋体" w:hAnsi="宋体"/>
                <w:sz w:val="18"/>
                <w:szCs w:val="18"/>
              </w:rPr>
            </w:pPr>
            <w:r>
              <w:rPr>
                <w:rFonts w:hint="eastAsia" w:ascii="宋体" w:hAnsi="宋体"/>
                <w:sz w:val="18"/>
                <w:szCs w:val="18"/>
              </w:rPr>
              <w:t>5</w:t>
            </w:r>
            <w:r>
              <w:rPr>
                <w:rFonts w:ascii="宋体" w:hAnsi="宋体"/>
                <w:sz w:val="18"/>
                <w:szCs w:val="18"/>
              </w:rPr>
              <w:t>2</w:t>
            </w:r>
          </w:p>
        </w:tc>
        <w:tc>
          <w:tcPr>
            <w:tcW w:w="1790" w:type="dxa"/>
            <w:vAlign w:val="center"/>
          </w:tcPr>
          <w:p>
            <w:pPr>
              <w:overflowPunct w:val="0"/>
              <w:jc w:val="center"/>
              <w:rPr>
                <w:rFonts w:ascii="宋体" w:hAnsi="宋体"/>
                <w:sz w:val="18"/>
                <w:szCs w:val="18"/>
              </w:rPr>
            </w:pPr>
            <w:r>
              <w:rPr>
                <w:rFonts w:hint="eastAsia" w:ascii="宋体" w:hAnsi="宋体"/>
                <w:sz w:val="18"/>
                <w:szCs w:val="18"/>
              </w:rPr>
              <w:t>其他</w:t>
            </w:r>
          </w:p>
        </w:tc>
        <w:tc>
          <w:tcPr>
            <w:tcW w:w="1553" w:type="dxa"/>
            <w:vAlign w:val="center"/>
          </w:tcPr>
          <w:p>
            <w:pPr>
              <w:overflowPunct w:val="0"/>
              <w:jc w:val="center"/>
              <w:rPr>
                <w:rFonts w:ascii="宋体" w:hAnsi="宋体"/>
                <w:sz w:val="18"/>
                <w:szCs w:val="18"/>
              </w:rPr>
            </w:pPr>
            <w:r>
              <w:rPr>
                <w:rFonts w:ascii="宋体" w:hAnsi="宋体"/>
                <w:sz w:val="18"/>
                <w:szCs w:val="18"/>
              </w:rPr>
              <w:t>……</w:t>
            </w:r>
          </w:p>
        </w:tc>
        <w:tc>
          <w:tcPr>
            <w:tcW w:w="3402" w:type="dxa"/>
            <w:vAlign w:val="center"/>
          </w:tcPr>
          <w:p>
            <w:pPr>
              <w:overflowPunct w:val="0"/>
              <w:jc w:val="center"/>
              <w:rPr>
                <w:rFonts w:ascii="宋体" w:hAnsi="宋体"/>
                <w:sz w:val="18"/>
                <w:szCs w:val="18"/>
              </w:rPr>
            </w:pPr>
            <w:r>
              <w:rPr>
                <w:rFonts w:ascii="宋体" w:hAnsi="宋体"/>
                <w:sz w:val="18"/>
                <w:szCs w:val="18"/>
              </w:rPr>
              <w:t>……</w:t>
            </w:r>
          </w:p>
        </w:tc>
        <w:tc>
          <w:tcPr>
            <w:tcW w:w="1403" w:type="dxa"/>
            <w:vAlign w:val="center"/>
          </w:tcPr>
          <w:p>
            <w:pPr>
              <w:overflowPunct w:val="0"/>
              <w:jc w:val="center"/>
              <w:rPr>
                <w:rFonts w:ascii="宋体" w:hAnsi="宋体"/>
                <w:sz w:val="18"/>
                <w:szCs w:val="18"/>
              </w:rPr>
            </w:pPr>
            <w:r>
              <w:rPr>
                <w:rFonts w:ascii="宋体" w:hAnsi="宋体"/>
                <w:sz w:val="18"/>
                <w:szCs w:val="18"/>
              </w:rPr>
              <w:t>……</w:t>
            </w:r>
          </w:p>
        </w:tc>
      </w:tr>
    </w:tbl>
    <w:p>
      <w:pPr>
        <w:pStyle w:val="104"/>
        <w:rPr>
          <w:rFonts w:asciiTheme="minorEastAsia" w:hAnsiTheme="minorEastAsia" w:eastAsiaTheme="minorEastAsia"/>
        </w:rPr>
      </w:pPr>
      <w:r>
        <w:rPr>
          <w:rFonts w:ascii="Times New Roman"/>
        </w:rPr>
        <w:br w:type="page"/>
      </w:r>
      <w:bookmarkStart w:id="365" w:name="_Toc163724922"/>
      <w:bookmarkStart w:id="366" w:name="_Toc166532072"/>
      <w:r>
        <w:rPr>
          <w:rFonts w:hint="eastAsia" w:ascii="Times New Roman"/>
        </w:rPr>
        <w:t>附  录  B</w:t>
      </w:r>
      <w:r>
        <w:rPr>
          <w:rFonts w:ascii="Times New Roman"/>
        </w:rPr>
        <w:br w:type="textWrapping"/>
      </w:r>
      <w:r>
        <w:rPr>
          <w:rFonts w:ascii="Times New Roman"/>
        </w:rPr>
        <w:t>（</w:t>
      </w:r>
      <w:r>
        <w:rPr>
          <w:rFonts w:hint="eastAsia" w:ascii="Times New Roman"/>
        </w:rPr>
        <w:t>资料</w:t>
      </w:r>
      <w:r>
        <w:rPr>
          <w:rFonts w:ascii="Times New Roman"/>
        </w:rPr>
        <w:t>性）</w:t>
      </w:r>
      <w:r>
        <w:rPr>
          <w:rFonts w:ascii="Times New Roman"/>
        </w:rPr>
        <w:br w:type="textWrapping"/>
      </w:r>
      <w:r>
        <w:rPr>
          <w:rFonts w:hint="eastAsia" w:hAnsi="黑体"/>
        </w:rPr>
        <w:t>预案体系构建参考表</w:t>
      </w:r>
      <w:bookmarkEnd w:id="365"/>
      <w:bookmarkEnd w:id="366"/>
      <w:bookmarkStart w:id="367" w:name="_Toc341965415"/>
      <w:bookmarkStart w:id="368" w:name="BKCKWX"/>
      <w:bookmarkStart w:id="369" w:name="_Toc343784542"/>
    </w:p>
    <w:p>
      <w:pPr>
        <w:pStyle w:val="88"/>
        <w:numPr>
          <w:ilvl w:val="0"/>
          <w:numId w:val="0"/>
        </w:numPr>
        <w:spacing w:before="156" w:after="156"/>
        <w:ind w:firstLine="420" w:firstLineChars="200"/>
        <w:outlineLvl w:val="9"/>
        <w:rPr>
          <w:rFonts w:asciiTheme="minorEastAsia" w:hAnsiTheme="minorEastAsia" w:eastAsiaTheme="minorEastAsia"/>
        </w:rPr>
      </w:pPr>
      <w:r>
        <w:rPr>
          <w:rFonts w:hint="eastAsia" w:asciiTheme="minorEastAsia" w:hAnsiTheme="minorEastAsia" w:eastAsiaTheme="minorEastAsia"/>
        </w:rPr>
        <w:t>预案体系构建参照表</w:t>
      </w:r>
      <w:r>
        <w:rPr>
          <w:rFonts w:asciiTheme="minorEastAsia" w:hAnsiTheme="minorEastAsia" w:eastAsiaTheme="minorEastAsia"/>
        </w:rPr>
        <w:t>B.1。</w:t>
      </w:r>
    </w:p>
    <w:p>
      <w:pPr>
        <w:pStyle w:val="24"/>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预案体系构建参考表</w:t>
      </w:r>
    </w:p>
    <w:tbl>
      <w:tblPr>
        <w:tblStyle w:val="34"/>
        <w:tblW w:w="0" w:type="auto"/>
        <w:jc w:val="center"/>
        <w:tblLayout w:type="fixed"/>
        <w:tblCellMar>
          <w:top w:w="0" w:type="dxa"/>
          <w:left w:w="108" w:type="dxa"/>
          <w:bottom w:w="0" w:type="dxa"/>
          <w:right w:w="108" w:type="dxa"/>
        </w:tblCellMar>
      </w:tblPr>
      <w:tblGrid>
        <w:gridCol w:w="1028"/>
        <w:gridCol w:w="1269"/>
        <w:gridCol w:w="1355"/>
        <w:gridCol w:w="1472"/>
        <w:gridCol w:w="1357"/>
        <w:gridCol w:w="1415"/>
        <w:gridCol w:w="1356"/>
      </w:tblGrid>
      <w:tr>
        <w:tblPrEx>
          <w:tblCellMar>
            <w:top w:w="0" w:type="dxa"/>
            <w:left w:w="108" w:type="dxa"/>
            <w:bottom w:w="0" w:type="dxa"/>
            <w:right w:w="108" w:type="dxa"/>
          </w:tblCellMar>
        </w:tblPrEx>
        <w:trPr>
          <w:trHeight w:val="331" w:hRule="atLeast"/>
          <w:jc w:val="center"/>
        </w:trPr>
        <w:tc>
          <w:tcPr>
            <w:tcW w:w="2297"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重大活动应急指挥组织</w:t>
            </w:r>
          </w:p>
          <w:p>
            <w:pPr>
              <w:widowControl/>
              <w:jc w:val="center"/>
              <w:rPr>
                <w:rFonts w:ascii="宋体" w:hAnsi="宋体" w:cs="宋体"/>
                <w:kern w:val="0"/>
                <w:sz w:val="18"/>
                <w:szCs w:val="18"/>
              </w:rPr>
            </w:pPr>
            <w:r>
              <w:rPr>
                <w:rFonts w:hint="eastAsia" w:ascii="宋体" w:hAnsi="宋体" w:cs="宋体"/>
                <w:kern w:val="0"/>
                <w:sz w:val="18"/>
                <w:szCs w:val="18"/>
              </w:rPr>
              <w:t>预案体系</w:t>
            </w:r>
          </w:p>
        </w:tc>
        <w:tc>
          <w:tcPr>
            <w:tcW w:w="6955"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应急指挥组织架构</w:t>
            </w:r>
          </w:p>
        </w:tc>
      </w:tr>
      <w:tr>
        <w:tblPrEx>
          <w:tblCellMar>
            <w:top w:w="0" w:type="dxa"/>
            <w:left w:w="108" w:type="dxa"/>
            <w:bottom w:w="0" w:type="dxa"/>
            <w:right w:w="108" w:type="dxa"/>
          </w:tblCellMar>
        </w:tblPrEx>
        <w:trPr>
          <w:trHeight w:val="331" w:hRule="atLeast"/>
          <w:jc w:val="center"/>
        </w:trPr>
        <w:tc>
          <w:tcPr>
            <w:tcW w:w="22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18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多层级</w:t>
            </w:r>
          </w:p>
        </w:tc>
        <w:tc>
          <w:tcPr>
            <w:tcW w:w="277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双层级</w:t>
            </w:r>
          </w:p>
        </w:tc>
      </w:tr>
      <w:tr>
        <w:tblPrEx>
          <w:tblCellMar>
            <w:top w:w="0" w:type="dxa"/>
            <w:left w:w="108" w:type="dxa"/>
            <w:bottom w:w="0" w:type="dxa"/>
            <w:right w:w="108" w:type="dxa"/>
          </w:tblCellMar>
        </w:tblPrEx>
        <w:trPr>
          <w:trHeight w:val="331" w:hRule="atLeast"/>
          <w:jc w:val="center"/>
        </w:trPr>
        <w:tc>
          <w:tcPr>
            <w:tcW w:w="22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总指挥机构</w:t>
            </w:r>
          </w:p>
        </w:tc>
        <w:tc>
          <w:tcPr>
            <w:tcW w:w="1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分指挥机构</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现场处置组</w:t>
            </w: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总指挥机构</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18"/>
                <w:szCs w:val="18"/>
              </w:rPr>
            </w:pPr>
            <w:r>
              <w:rPr>
                <w:rFonts w:hint="eastAsia" w:ascii="宋体"/>
                <w:kern w:val="0"/>
                <w:sz w:val="18"/>
                <w:szCs w:val="18"/>
              </w:rPr>
              <w:t>现场处置组</w:t>
            </w:r>
          </w:p>
        </w:tc>
      </w:tr>
      <w:tr>
        <w:tblPrEx>
          <w:tblCellMar>
            <w:top w:w="0" w:type="dxa"/>
            <w:left w:w="108" w:type="dxa"/>
            <w:bottom w:w="0" w:type="dxa"/>
            <w:right w:w="108" w:type="dxa"/>
          </w:tblCellMar>
        </w:tblPrEx>
        <w:trPr>
          <w:trHeight w:val="331" w:hRule="atLeast"/>
          <w:jc w:val="center"/>
        </w:trPr>
        <w:tc>
          <w:tcPr>
            <w:tcW w:w="10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风险类型</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复杂</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总体应急预案</w:t>
            </w:r>
            <w:r>
              <w:rPr>
                <w:rFonts w:hint="eastAsia"/>
                <w:sz w:val="18"/>
                <w:szCs w:val="18"/>
              </w:rPr>
              <w:t>专项应急预案</w:t>
            </w:r>
          </w:p>
        </w:tc>
        <w:tc>
          <w:tcPr>
            <w:tcW w:w="1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总体应急预案</w:t>
            </w:r>
          </w:p>
          <w:p>
            <w:pPr>
              <w:pStyle w:val="45"/>
              <w:ind w:firstLine="0"/>
              <w:jc w:val="center"/>
              <w:rPr>
                <w:rFonts w:ascii="宋体" w:hAnsi="宋体" w:cs="宋体"/>
                <w:kern w:val="0"/>
                <w:sz w:val="18"/>
                <w:szCs w:val="18"/>
              </w:rPr>
            </w:pPr>
            <w:r>
              <w:rPr>
                <w:rFonts w:hint="eastAsia" w:ascii="宋体" w:hAnsi="宋体" w:cs="宋体"/>
                <w:kern w:val="0"/>
                <w:sz w:val="18"/>
                <w:szCs w:val="18"/>
              </w:rPr>
              <w:t>专项应急预案</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现场处置方案</w:t>
            </w: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总体应急预案</w:t>
            </w:r>
          </w:p>
          <w:p>
            <w:pPr>
              <w:widowControl/>
              <w:jc w:val="center"/>
              <w:rPr>
                <w:rFonts w:ascii="宋体" w:hAnsi="宋体" w:cs="宋体"/>
                <w:kern w:val="0"/>
                <w:sz w:val="18"/>
                <w:szCs w:val="18"/>
              </w:rPr>
            </w:pPr>
            <w:r>
              <w:rPr>
                <w:rFonts w:hint="eastAsia" w:ascii="宋体" w:hAnsi="宋体" w:cs="宋体"/>
                <w:kern w:val="0"/>
                <w:sz w:val="18"/>
                <w:szCs w:val="18"/>
              </w:rPr>
              <w:t>专项应急预案</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现场处置方案</w:t>
            </w:r>
          </w:p>
        </w:tc>
      </w:tr>
      <w:tr>
        <w:tblPrEx>
          <w:tblCellMar>
            <w:top w:w="0" w:type="dxa"/>
            <w:left w:w="108" w:type="dxa"/>
            <w:bottom w:w="0" w:type="dxa"/>
            <w:right w:w="108" w:type="dxa"/>
          </w:tblCellMar>
        </w:tblPrEx>
        <w:trPr>
          <w:trHeight w:val="331" w:hRule="atLeast"/>
          <w:jc w:val="center"/>
        </w:trPr>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单一</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总体应急预案</w:t>
            </w:r>
          </w:p>
        </w:tc>
        <w:tc>
          <w:tcPr>
            <w:tcW w:w="1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专项应急预案</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现场处置方案</w:t>
            </w: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专项应急预案</w:t>
            </w:r>
          </w:p>
        </w:tc>
        <w:tc>
          <w:tcPr>
            <w:tcW w:w="13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现场处置方案</w:t>
            </w:r>
          </w:p>
        </w:tc>
      </w:tr>
    </w:tbl>
    <w:p>
      <w:pPr>
        <w:pStyle w:val="24"/>
        <w:tabs>
          <w:tab w:val="center" w:pos="0"/>
          <w:tab w:val="clear" w:pos="4201"/>
        </w:tabs>
        <w:spacing w:before="156" w:beforeLines="50"/>
        <w:ind w:firstLine="0" w:firstLineChars="0"/>
        <w:jc w:val="center"/>
        <w:rPr>
          <w:rFonts w:ascii="黑体" w:hAnsi="黑体" w:eastAsia="黑体"/>
        </w:rPr>
      </w:pPr>
    </w:p>
    <w:p>
      <w:pPr>
        <w:pStyle w:val="24"/>
        <w:tabs>
          <w:tab w:val="center" w:pos="0"/>
          <w:tab w:val="clear" w:pos="4201"/>
        </w:tabs>
        <w:spacing w:before="156" w:beforeLines="50"/>
        <w:ind w:firstLine="0" w:firstLineChars="0"/>
        <w:jc w:val="center"/>
        <w:rPr>
          <w:rFonts w:ascii="黑体" w:hAnsi="黑体" w:eastAsia="黑体"/>
        </w:rPr>
      </w:pPr>
    </w:p>
    <w:p>
      <w:pPr>
        <w:pStyle w:val="24"/>
        <w:tabs>
          <w:tab w:val="center" w:pos="0"/>
          <w:tab w:val="clear" w:pos="4201"/>
        </w:tabs>
        <w:spacing w:before="156" w:beforeLines="50"/>
        <w:ind w:firstLine="0" w:firstLineChars="0"/>
        <w:jc w:val="center"/>
        <w:rPr>
          <w:rFonts w:ascii="黑体" w:hAnsi="黑体" w:eastAsia="黑体"/>
        </w:rPr>
      </w:pPr>
      <w:r>
        <w:rPr>
          <w:rFonts w:ascii="黑体" w:hAnsi="黑体" w:eastAsia="黑体"/>
        </w:rPr>
        <w:br w:type="page"/>
      </w:r>
    </w:p>
    <w:p>
      <w:pPr>
        <w:pStyle w:val="150"/>
        <w:spacing w:before="156" w:after="156"/>
        <w:rPr>
          <w:rFonts w:hAnsi="黑体"/>
          <w:kern w:val="0"/>
          <w:szCs w:val="20"/>
        </w:rPr>
      </w:pPr>
      <w:r>
        <w:rPr>
          <w:rFonts w:hint="eastAsia" w:hAnsi="黑体"/>
          <w:kern w:val="0"/>
          <w:szCs w:val="20"/>
        </w:rPr>
        <w:t>参</w:t>
      </w:r>
      <w:r>
        <w:rPr>
          <w:kern w:val="0"/>
          <w:szCs w:val="20"/>
        </w:rPr>
        <w:t> </w:t>
      </w:r>
      <w:r>
        <w:rPr>
          <w:rFonts w:hint="eastAsia" w:hAnsi="黑体"/>
          <w:kern w:val="0"/>
          <w:szCs w:val="20"/>
        </w:rPr>
        <w:t>考</w:t>
      </w:r>
      <w:r>
        <w:rPr>
          <w:kern w:val="0"/>
          <w:szCs w:val="20"/>
        </w:rPr>
        <w:t> </w:t>
      </w:r>
      <w:r>
        <w:rPr>
          <w:rFonts w:hint="eastAsia" w:hAnsi="黑体"/>
          <w:kern w:val="0"/>
          <w:szCs w:val="20"/>
        </w:rPr>
        <w:t>文</w:t>
      </w:r>
      <w:r>
        <w:rPr>
          <w:kern w:val="0"/>
          <w:szCs w:val="20"/>
        </w:rPr>
        <w:t> </w:t>
      </w:r>
      <w:r>
        <w:rPr>
          <w:rFonts w:hint="eastAsia" w:hAnsi="黑体"/>
          <w:kern w:val="0"/>
          <w:szCs w:val="20"/>
        </w:rPr>
        <w:t>献</w:t>
      </w:r>
      <w:bookmarkEnd w:id="367"/>
      <w:bookmarkEnd w:id="368"/>
      <w:bookmarkEnd w:id="369"/>
    </w:p>
    <w:p>
      <w:pPr>
        <w:pStyle w:val="24"/>
        <w:rPr>
          <w:rFonts w:hAnsi="宋体"/>
        </w:rPr>
      </w:pPr>
      <w:r>
        <w:rPr>
          <w:rFonts w:hint="eastAsia"/>
        </w:rPr>
        <w:t xml:space="preserve">[1] </w:t>
      </w:r>
      <w:r>
        <w:rPr>
          <w:rFonts w:hint="eastAsia" w:hAnsi="宋体"/>
        </w:rPr>
        <w:t>《中华人民共和国突发事件应对法》</w:t>
      </w:r>
    </w:p>
    <w:p>
      <w:pPr>
        <w:pStyle w:val="24"/>
        <w:rPr>
          <w:rFonts w:hAnsi="宋体"/>
        </w:rPr>
      </w:pPr>
      <w:r>
        <w:rPr>
          <w:rFonts w:hint="eastAsia"/>
        </w:rPr>
        <w:t xml:space="preserve">[2] </w:t>
      </w:r>
      <w:r>
        <w:rPr>
          <w:rFonts w:hint="eastAsia" w:hAnsi="宋体"/>
        </w:rPr>
        <w:t>《中华人民共和国大型群众性活动安全管理条例》</w:t>
      </w:r>
    </w:p>
    <w:p>
      <w:pPr>
        <w:pStyle w:val="24"/>
        <w:rPr>
          <w:rFonts w:hAnsi="宋体"/>
        </w:rPr>
      </w:pPr>
      <w:r>
        <w:rPr>
          <w:rFonts w:hint="eastAsia"/>
        </w:rPr>
        <w:t xml:space="preserve">[3] </w:t>
      </w:r>
      <w:r>
        <w:rPr>
          <w:rFonts w:hint="eastAsia" w:hAnsi="宋体"/>
        </w:rPr>
        <w:t>《北京市实施＜中华人民共和国突发事件应对法＞办法》</w:t>
      </w:r>
    </w:p>
    <w:p>
      <w:pPr>
        <w:pStyle w:val="24"/>
        <w:rPr>
          <w:rFonts w:hAnsi="宋体"/>
        </w:rPr>
      </w:pPr>
      <w:r>
        <w:rPr>
          <w:rFonts w:hint="eastAsia"/>
        </w:rPr>
        <w:t xml:space="preserve">[4] </w:t>
      </w:r>
      <w:r>
        <w:rPr>
          <w:rFonts w:hint="eastAsia" w:hAnsi="宋体"/>
        </w:rPr>
        <w:t>《北京市大型群众性活动安全管理条例》</w:t>
      </w:r>
    </w:p>
    <w:p>
      <w:pPr>
        <w:pStyle w:val="24"/>
        <w:rPr>
          <w:rFonts w:hAnsi="宋体"/>
          <w:szCs w:val="22"/>
        </w:rPr>
      </w:pPr>
      <w:r>
        <w:rPr>
          <w:rFonts w:hint="eastAsia"/>
        </w:rPr>
        <w:t>[5] 《</w:t>
      </w:r>
      <w:r>
        <w:rPr>
          <w:rFonts w:hint="eastAsia" w:hAnsi="宋体"/>
          <w:szCs w:val="22"/>
        </w:rPr>
        <w:t>北京市气象灾害防御条例》</w:t>
      </w:r>
    </w:p>
    <w:p>
      <w:pPr>
        <w:pStyle w:val="24"/>
      </w:pPr>
      <w:r>
        <w:rPr>
          <w:rFonts w:hint="eastAsia"/>
        </w:rPr>
        <w:t>[6] 《突发事件应急预案管理办法（2024年修订）》</w:t>
      </w:r>
    </w:p>
    <w:p>
      <w:pPr>
        <w:pStyle w:val="24"/>
        <w:rPr>
          <w:rFonts w:hAnsi="宋体"/>
        </w:rPr>
      </w:pPr>
      <w:r>
        <w:rPr>
          <w:rFonts w:hint="eastAsia"/>
        </w:rPr>
        <w:t xml:space="preserve">[7] </w:t>
      </w:r>
      <w:r>
        <w:rPr>
          <w:rFonts w:hint="eastAsia" w:hAnsi="宋体"/>
        </w:rPr>
        <w:t>《北京市突发事件总体应急预案(2021年修订)》</w:t>
      </w:r>
    </w:p>
    <w:p>
      <w:pPr>
        <w:pStyle w:val="24"/>
        <w:rPr>
          <w:rFonts w:hAnsi="宋体"/>
        </w:rPr>
      </w:pPr>
      <w:r>
        <w:rPr>
          <w:rFonts w:hint="eastAsia"/>
        </w:rPr>
        <w:t xml:space="preserve">[8] </w:t>
      </w:r>
      <w:r>
        <w:rPr>
          <w:rFonts w:hint="eastAsia" w:hAnsi="宋体"/>
        </w:rPr>
        <w:t>《北京市突发事件应急预案管理办法(2017年修订)》</w:t>
      </w:r>
    </w:p>
    <w:p>
      <w:pPr>
        <w:pStyle w:val="24"/>
        <w:rPr>
          <w:rFonts w:hAnsi="宋体"/>
        </w:rPr>
      </w:pPr>
      <w:r>
        <w:rPr>
          <w:rFonts w:hint="eastAsia"/>
        </w:rPr>
        <w:t xml:space="preserve">[9] </w:t>
      </w:r>
      <w:r>
        <w:rPr>
          <w:rFonts w:hint="eastAsia" w:hAnsi="宋体"/>
        </w:rPr>
        <w:t>《北京市公共安全风险管理办法》</w:t>
      </w:r>
    </w:p>
    <w:p>
      <w:pPr>
        <w:pStyle w:val="24"/>
        <w:rPr>
          <w:rFonts w:hAnsi="宋体"/>
        </w:rPr>
      </w:pPr>
      <w:r>
        <w:rPr>
          <w:rFonts w:hint="eastAsia"/>
        </w:rPr>
        <w:t xml:space="preserve">[10] </w:t>
      </w:r>
      <w:r>
        <w:rPr>
          <w:rFonts w:hint="eastAsia" w:hAnsi="宋体"/>
        </w:rPr>
        <w:t>《北京市大型群众性活动安全风险评估工作规范（试行）》</w:t>
      </w:r>
    </w:p>
    <w:p>
      <w:pPr>
        <w:widowControl/>
        <w:tabs>
          <w:tab w:val="center" w:pos="4201"/>
          <w:tab w:val="right" w:leader="dot" w:pos="9298"/>
        </w:tabs>
        <w:autoSpaceDE w:val="0"/>
        <w:autoSpaceDN w:val="0"/>
        <w:rPr>
          <w:rFonts w:ascii="宋体"/>
          <w:kern w:val="0"/>
          <w:szCs w:val="20"/>
        </w:rPr>
      </w:pPr>
    </w:p>
    <w:p>
      <w:pPr>
        <w:framePr w:hSpace="181" w:vSpace="181" w:wrap="around" w:vAnchor="text" w:hAnchor="page" w:x="4115" w:y="5"/>
      </w:pPr>
      <w:r>
        <w:t>_________________________________</w:t>
      </w:r>
    </w:p>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Noto Color Emoji"/>
    <w:panose1 w:val="05000000000000000000"/>
    <w:charset w:val="02"/>
    <w:family w:val="auto"/>
    <w:pitch w:val="default"/>
    <w:sig w:usb0="00000000" w:usb1="00000000" w:usb2="00000000" w:usb3="00000000" w:csb0="80000000" w:csb1="00000000"/>
  </w:font>
  <w:font w:name="Arial">
    <w:altName w:val="文泉驿微米黑"/>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文泉驿微米黑"/>
    <w:panose1 w:val="02070309020205020404"/>
    <w:charset w:val="01"/>
    <w:family w:val="modern"/>
    <w:pitch w:val="default"/>
    <w:sig w:usb0="E0002AFF" w:usb1="C0007843" w:usb2="00000009" w:usb3="00000000" w:csb0="400001FF" w:csb1="FFFF0000"/>
  </w:font>
  <w:font w:name="Symbol">
    <w:altName w:val="Noto Color Emoji"/>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文泉驿微米黑"/>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Arial">
    <w:altName w:val="文泉驿微米黑"/>
    <w:panose1 w:val="020B0604020202020204"/>
    <w:charset w:val="00"/>
    <w:family w:val="swiss"/>
    <w:pitch w:val="default"/>
    <w:sig w:usb0="00000000" w:usb1="00000000" w:usb2="00000009" w:usb3="00000000" w:csb0="000001FF" w:csb1="00000000"/>
  </w:font>
  <w:font w:name="Noto Color Emoji">
    <w:panose1 w:val="02000609000000000000"/>
    <w:charset w:val="00"/>
    <w:family w:val="auto"/>
    <w:pitch w:val="default"/>
    <w:sig w:usb0="00000001" w:usb1="00000000" w:usb2="00000000" w:usb3="00000000" w:csb0="00000001" w:csb1="00000000"/>
  </w:font>
  <w:font w:name="Cambria">
    <w:altName w:val="Noto Serif Thai"/>
    <w:panose1 w:val="02040503050406030204"/>
    <w:charset w:val="00"/>
    <w:family w:val="roman"/>
    <w:pitch w:val="default"/>
    <w:sig w:usb0="00000000" w:usb1="00000000" w:usb2="00000000" w:usb3="00000000" w:csb0="0000019F" w:csb1="00000000"/>
  </w:font>
  <w:font w:name="Noto Serif Thai">
    <w:panose1 w:val="02020502060505020204"/>
    <w:charset w:val="00"/>
    <w:family w:val="auto"/>
    <w:pitch w:val="default"/>
    <w:sig w:usb0="81000063" w:usb1="00002000" w:usb2="00000000" w:usb3="00000000" w:csb0="00010093" w:csb1="00000000"/>
  </w:font>
  <w:font w:name="MS Mincho">
    <w:altName w:val="宋体"/>
    <w:panose1 w:val="02020609040205080304"/>
    <w:charset w:val="80"/>
    <w:family w:val="modern"/>
    <w:pitch w:val="default"/>
    <w:sig w:usb0="00000000" w:usb1="00000000" w:usb2="00000012" w:usb3="00000000" w:csb0="0002009F" w:csb1="00000000"/>
  </w:font>
  <w:font w:name="Helvetica">
    <w:altName w:val="文泉驿微米黑"/>
    <w:panose1 w:val="020B0504020202020204"/>
    <w:charset w:val="00"/>
    <w:family w:val="auto"/>
    <w:pitch w:val="default"/>
    <w:sig w:usb0="00000000" w:usb1="00000000" w:usb2="00000000" w:usb3="00000000" w:csb0="0000019F" w:csb1="00000000"/>
  </w:font>
  <w:font w:name="文泉驿正黑">
    <w:panose1 w:val="02000603000000000000"/>
    <w:charset w:val="86"/>
    <w:family w:val="auto"/>
    <w:pitch w:val="default"/>
    <w:sig w:usb0="900002BF" w:usb1="2BDF7DFB" w:usb2="00000036" w:usb3="00000000" w:csb0="603E000D" w:csb1="D2D70000"/>
  </w:font>
  <w:font w:name="DejaVu Sans">
    <w:altName w:val="HarmonyOS Sans SC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lang w:val="zh-CN"/>
      </w:rPr>
    </w:pPr>
    <w:r>
      <w:rPr>
        <w:lang w:val="zh-CN"/>
      </w:rPr>
      <w:fldChar w:fldCharType="begin"/>
    </w:r>
    <w:r>
      <w:rPr>
        <w:lang w:val="zh-CN"/>
      </w:rPr>
      <w:instrText xml:space="preserve"> PAGE   \* MERGEFORMAT </w:instrText>
    </w:r>
    <w:r>
      <w:rPr>
        <w:lang w:val="zh-CN"/>
      </w:rPr>
      <w:fldChar w:fldCharType="separate"/>
    </w:r>
    <w:r>
      <w:rPr>
        <w:lang w:val="zh-CN"/>
      </w:rPr>
      <w:t>12</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pPr>
    <w:r>
      <w:t>DB</w:t>
    </w:r>
    <w:r>
      <w:rPr>
        <w:rFonts w:hint="eastAsia"/>
      </w:rPr>
      <w:t>11</w:t>
    </w:r>
    <w:r>
      <w:t>/</w:t>
    </w:r>
    <w:r>
      <w:rPr>
        <w:rFonts w:hint="eastAsia"/>
      </w:rPr>
      <w:t>T</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pPr>
    <w:r>
      <w:t>DB</w:t>
    </w:r>
    <w:r>
      <w:rPr>
        <w:rFonts w:hint="eastAsia"/>
      </w:rPr>
      <w:t>11</w:t>
    </w:r>
    <w:r>
      <w:t>/</w:t>
    </w:r>
    <w:r>
      <w:rPr>
        <w:rFonts w:hint="eastAsia"/>
      </w:rPr>
      <w:t>T</w:t>
    </w:r>
    <w: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both"/>
    </w:pPr>
    <w:r>
      <w:t>DB</w:t>
    </w:r>
    <w:r>
      <w:rPr>
        <w:rFonts w:hint="eastAsia"/>
      </w:rPr>
      <w:t>11</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E67CB"/>
    <w:multiLevelType w:val="multilevel"/>
    <w:tmpl w:val="BE3E67CB"/>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EBEE1473"/>
    <w:multiLevelType w:val="multilevel"/>
    <w:tmpl w:val="EBEE1473"/>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079102AD"/>
    <w:multiLevelType w:val="multilevel"/>
    <w:tmpl w:val="079102AD"/>
    <w:lvl w:ilvl="0" w:tentative="0">
      <w:start w:val="1"/>
      <w:numFmt w:val="decimal"/>
      <w:pStyle w:val="16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114C4DA0"/>
    <w:multiLevelType w:val="multilevel"/>
    <w:tmpl w:val="114C4DA0"/>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1DBF583A"/>
    <w:multiLevelType w:val="multilevel"/>
    <w:tmpl w:val="1DBF583A"/>
    <w:lvl w:ilvl="0" w:tentative="0">
      <w:start w:val="1"/>
      <w:numFmt w:val="decimal"/>
      <w:pStyle w:val="129"/>
      <w:suff w:val="nothing"/>
      <w:lvlText w:val="注%1："/>
      <w:lvlJc w:val="left"/>
      <w:pPr>
        <w:ind w:left="874"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ECA6E35"/>
    <w:multiLevelType w:val="multilevel"/>
    <w:tmpl w:val="1ECA6E35"/>
    <w:lvl w:ilvl="0" w:tentative="0">
      <w:start w:val="2"/>
      <w:numFmt w:val="lowerLetter"/>
      <w:pStyle w:val="14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1FC91163"/>
    <w:multiLevelType w:val="multilevel"/>
    <w:tmpl w:val="1FC91163"/>
    <w:lvl w:ilvl="0" w:tentative="0">
      <w:start w:val="1"/>
      <w:numFmt w:val="decimal"/>
      <w:pStyle w:val="82"/>
      <w:suff w:val="nothing"/>
      <w:lvlText w:val="%1　"/>
      <w:lvlJc w:val="left"/>
      <w:pPr>
        <w:ind w:left="0" w:firstLine="0"/>
      </w:pPr>
      <w:rPr>
        <w:rFonts w:hint="default" w:ascii="黑体" w:hAnsi="Times New Roman" w:eastAsia="黑体"/>
        <w:b w:val="0"/>
        <w:i w:val="0"/>
        <w:color w:val="auto"/>
        <w:sz w:val="21"/>
        <w:szCs w:val="21"/>
      </w:rPr>
    </w:lvl>
    <w:lvl w:ilvl="1" w:tentative="0">
      <w:start w:val="1"/>
      <w:numFmt w:val="decimal"/>
      <w:pStyle w:val="63"/>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8"/>
      <w:suff w:val="nothing"/>
      <w:lvlText w:val="%1.%2.%3　"/>
      <w:lvlJc w:val="left"/>
      <w:pPr>
        <w:ind w:left="993"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17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454B9"/>
    <w:multiLevelType w:val="multilevel"/>
    <w:tmpl w:val="2A8454B9"/>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8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49"/>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olor w:val="auto"/>
      </w:rPr>
    </w:lvl>
    <w:lvl w:ilvl="2" w:tentative="0">
      <w:start w:val="1"/>
      <w:numFmt w:val="bullet"/>
      <w:pStyle w:val="7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2F017F5C"/>
    <w:multiLevelType w:val="multilevel"/>
    <w:tmpl w:val="2F017F5C"/>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1B74C47"/>
    <w:multiLevelType w:val="multilevel"/>
    <w:tmpl w:val="41B74C47"/>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4C50F90"/>
    <w:multiLevelType w:val="multilevel"/>
    <w:tmpl w:val="44C50F90"/>
    <w:lvl w:ilvl="0" w:tentative="0">
      <w:start w:val="1"/>
      <w:numFmt w:val="lowerLetter"/>
      <w:pStyle w:val="167"/>
      <w:lvlText w:val="%1)"/>
      <w:lvlJc w:val="left"/>
      <w:pPr>
        <w:tabs>
          <w:tab w:val="left" w:pos="851"/>
        </w:tabs>
        <w:ind w:left="851" w:hanging="426"/>
      </w:pPr>
      <w:rPr>
        <w:rFonts w:hint="eastAsia" w:ascii="宋体" w:hAnsi="Times New Roman" w:eastAsia="宋体"/>
        <w:sz w:val="21"/>
      </w:rPr>
    </w:lvl>
    <w:lvl w:ilvl="1" w:tentative="0">
      <w:start w:val="1"/>
      <w:numFmt w:val="decimal"/>
      <w:pStyle w:val="164"/>
      <w:lvlText w:val="%2)"/>
      <w:lvlJc w:val="left"/>
      <w:pPr>
        <w:tabs>
          <w:tab w:val="left" w:pos="1276"/>
        </w:tabs>
        <w:ind w:left="1276" w:hanging="425"/>
      </w:pPr>
      <w:rPr>
        <w:rFonts w:hint="eastAsia" w:ascii="宋体" w:hAnsi="Times New Roman" w:eastAsia="宋体"/>
        <w:sz w:val="21"/>
      </w:rPr>
    </w:lvl>
    <w:lvl w:ilvl="2" w:tentative="0">
      <w:start w:val="1"/>
      <w:numFmt w:val="decimal"/>
      <w:pStyle w:val="16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F553CB8"/>
    <w:multiLevelType w:val="multilevel"/>
    <w:tmpl w:val="4F553CB8"/>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4FBA3EB9"/>
    <w:multiLevelType w:val="multilevel"/>
    <w:tmpl w:val="4FBA3EB9"/>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6">
    <w:nsid w:val="56706154"/>
    <w:multiLevelType w:val="multilevel"/>
    <w:tmpl w:val="56706154"/>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572C769D"/>
    <w:multiLevelType w:val="multilevel"/>
    <w:tmpl w:val="572C769D"/>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62F23C4E"/>
    <w:multiLevelType w:val="multilevel"/>
    <w:tmpl w:val="62F23C4E"/>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98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13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77B7772E"/>
    <w:multiLevelType w:val="multilevel"/>
    <w:tmpl w:val="77B7772E"/>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7861626C"/>
    <w:multiLevelType w:val="multilevel"/>
    <w:tmpl w:val="7861626C"/>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3">
    <w:nsid w:val="78D557B6"/>
    <w:multiLevelType w:val="multilevel"/>
    <w:tmpl w:val="78D557B6"/>
    <w:lvl w:ilvl="0" w:tentative="0">
      <w:start w:val="1"/>
      <w:numFmt w:val="lowerLetter"/>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1"/>
  </w:num>
  <w:num w:numId="2">
    <w:abstractNumId w:val="6"/>
  </w:num>
  <w:num w:numId="3">
    <w:abstractNumId w:val="19"/>
  </w:num>
  <w:num w:numId="4">
    <w:abstractNumId w:val="9"/>
  </w:num>
  <w:num w:numId="5">
    <w:abstractNumId w:val="8"/>
  </w:num>
  <w:num w:numId="6">
    <w:abstractNumId w:val="5"/>
  </w:num>
  <w:num w:numId="7">
    <w:abstractNumId w:val="20"/>
  </w:num>
  <w:num w:numId="8">
    <w:abstractNumId w:val="4"/>
  </w:num>
  <w:num w:numId="9">
    <w:abstractNumId w:val="13"/>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12"/>
  </w:num>
  <w:num w:numId="24">
    <w:abstractNumId w:val="1"/>
  </w:num>
  <w:num w:numId="25">
    <w:abstractNumId w:val="10"/>
  </w:num>
  <w:num w:numId="26">
    <w:abstractNumId w:val="18"/>
  </w:num>
  <w:num w:numId="27">
    <w:abstractNumId w:val="15"/>
  </w:num>
  <w:num w:numId="28">
    <w:abstractNumId w:val="7"/>
  </w:num>
  <w:num w:numId="29">
    <w:abstractNumId w:val="22"/>
  </w:num>
  <w:num w:numId="30">
    <w:abstractNumId w:val="23"/>
  </w:num>
  <w:num w:numId="31">
    <w:abstractNumId w:val="21"/>
  </w:num>
  <w:num w:numId="32">
    <w:abstractNumId w:val="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AC650C"/>
    <w:rsid w:val="00000244"/>
    <w:rsid w:val="0000185F"/>
    <w:rsid w:val="000053F1"/>
    <w:rsid w:val="0000586F"/>
    <w:rsid w:val="000074B5"/>
    <w:rsid w:val="0001077B"/>
    <w:rsid w:val="000124E1"/>
    <w:rsid w:val="00013D86"/>
    <w:rsid w:val="00013E02"/>
    <w:rsid w:val="000167DB"/>
    <w:rsid w:val="00017552"/>
    <w:rsid w:val="0002034D"/>
    <w:rsid w:val="00020A15"/>
    <w:rsid w:val="00020C65"/>
    <w:rsid w:val="000211B9"/>
    <w:rsid w:val="0002143C"/>
    <w:rsid w:val="000226CF"/>
    <w:rsid w:val="0002410F"/>
    <w:rsid w:val="00025A65"/>
    <w:rsid w:val="00026915"/>
    <w:rsid w:val="00026C31"/>
    <w:rsid w:val="00027280"/>
    <w:rsid w:val="000312F8"/>
    <w:rsid w:val="0003139C"/>
    <w:rsid w:val="0003161A"/>
    <w:rsid w:val="000320A7"/>
    <w:rsid w:val="0003382A"/>
    <w:rsid w:val="00033F45"/>
    <w:rsid w:val="00035925"/>
    <w:rsid w:val="00035B95"/>
    <w:rsid w:val="00036046"/>
    <w:rsid w:val="000367C8"/>
    <w:rsid w:val="00037B0E"/>
    <w:rsid w:val="00040BDA"/>
    <w:rsid w:val="0004212C"/>
    <w:rsid w:val="00043312"/>
    <w:rsid w:val="00044878"/>
    <w:rsid w:val="00044CF9"/>
    <w:rsid w:val="00044D90"/>
    <w:rsid w:val="000459BA"/>
    <w:rsid w:val="0004673D"/>
    <w:rsid w:val="00050C1B"/>
    <w:rsid w:val="00050D0E"/>
    <w:rsid w:val="00051945"/>
    <w:rsid w:val="00051AD6"/>
    <w:rsid w:val="00051F1E"/>
    <w:rsid w:val="000532AF"/>
    <w:rsid w:val="0005399D"/>
    <w:rsid w:val="00053CCD"/>
    <w:rsid w:val="00057ED1"/>
    <w:rsid w:val="00060761"/>
    <w:rsid w:val="000673AD"/>
    <w:rsid w:val="00067CDF"/>
    <w:rsid w:val="00070B5D"/>
    <w:rsid w:val="0007149D"/>
    <w:rsid w:val="00074FBE"/>
    <w:rsid w:val="000751A9"/>
    <w:rsid w:val="00075F6A"/>
    <w:rsid w:val="00077815"/>
    <w:rsid w:val="00082215"/>
    <w:rsid w:val="00083582"/>
    <w:rsid w:val="00083A09"/>
    <w:rsid w:val="00084D68"/>
    <w:rsid w:val="0009005E"/>
    <w:rsid w:val="000924A2"/>
    <w:rsid w:val="00092857"/>
    <w:rsid w:val="00096315"/>
    <w:rsid w:val="00096C13"/>
    <w:rsid w:val="000A1119"/>
    <w:rsid w:val="000A20A9"/>
    <w:rsid w:val="000A33A4"/>
    <w:rsid w:val="000A48B1"/>
    <w:rsid w:val="000A4CB0"/>
    <w:rsid w:val="000A59C9"/>
    <w:rsid w:val="000A63DD"/>
    <w:rsid w:val="000B1AA2"/>
    <w:rsid w:val="000B1AFF"/>
    <w:rsid w:val="000B21EA"/>
    <w:rsid w:val="000B2C05"/>
    <w:rsid w:val="000B2E45"/>
    <w:rsid w:val="000B3143"/>
    <w:rsid w:val="000B3985"/>
    <w:rsid w:val="000B3EEE"/>
    <w:rsid w:val="000B4330"/>
    <w:rsid w:val="000B6454"/>
    <w:rsid w:val="000B6685"/>
    <w:rsid w:val="000C1956"/>
    <w:rsid w:val="000C4529"/>
    <w:rsid w:val="000C4696"/>
    <w:rsid w:val="000C58A5"/>
    <w:rsid w:val="000C6B05"/>
    <w:rsid w:val="000C6DD6"/>
    <w:rsid w:val="000C7238"/>
    <w:rsid w:val="000C73D4"/>
    <w:rsid w:val="000C7CEC"/>
    <w:rsid w:val="000D007E"/>
    <w:rsid w:val="000D163A"/>
    <w:rsid w:val="000D2CC2"/>
    <w:rsid w:val="000D3D4C"/>
    <w:rsid w:val="000D4F51"/>
    <w:rsid w:val="000D5C3E"/>
    <w:rsid w:val="000D67E2"/>
    <w:rsid w:val="000D718B"/>
    <w:rsid w:val="000D7E2B"/>
    <w:rsid w:val="000E0C46"/>
    <w:rsid w:val="000E1220"/>
    <w:rsid w:val="000E3BBC"/>
    <w:rsid w:val="000E4713"/>
    <w:rsid w:val="000E5E85"/>
    <w:rsid w:val="000E7D0C"/>
    <w:rsid w:val="000F030C"/>
    <w:rsid w:val="000F129C"/>
    <w:rsid w:val="000F2D37"/>
    <w:rsid w:val="000F43C0"/>
    <w:rsid w:val="000F4AE0"/>
    <w:rsid w:val="000F503D"/>
    <w:rsid w:val="000F559D"/>
    <w:rsid w:val="000F5C5B"/>
    <w:rsid w:val="000F6C0A"/>
    <w:rsid w:val="001056DE"/>
    <w:rsid w:val="001117BA"/>
    <w:rsid w:val="001124C0"/>
    <w:rsid w:val="00116A26"/>
    <w:rsid w:val="00116A55"/>
    <w:rsid w:val="00121475"/>
    <w:rsid w:val="00122E0E"/>
    <w:rsid w:val="00122E4E"/>
    <w:rsid w:val="00124041"/>
    <w:rsid w:val="0012456A"/>
    <w:rsid w:val="00126304"/>
    <w:rsid w:val="00126384"/>
    <w:rsid w:val="0012734C"/>
    <w:rsid w:val="00127AFA"/>
    <w:rsid w:val="0013175F"/>
    <w:rsid w:val="00131D62"/>
    <w:rsid w:val="00132371"/>
    <w:rsid w:val="00136388"/>
    <w:rsid w:val="0013769D"/>
    <w:rsid w:val="00137C8F"/>
    <w:rsid w:val="00140F7D"/>
    <w:rsid w:val="00141BB3"/>
    <w:rsid w:val="001438FE"/>
    <w:rsid w:val="00146C7D"/>
    <w:rsid w:val="00146F0A"/>
    <w:rsid w:val="001512B4"/>
    <w:rsid w:val="0015202F"/>
    <w:rsid w:val="001522B6"/>
    <w:rsid w:val="00152D06"/>
    <w:rsid w:val="00152D4F"/>
    <w:rsid w:val="00156566"/>
    <w:rsid w:val="00160DAA"/>
    <w:rsid w:val="00161245"/>
    <w:rsid w:val="001620A5"/>
    <w:rsid w:val="001632DD"/>
    <w:rsid w:val="0016432B"/>
    <w:rsid w:val="00164C45"/>
    <w:rsid w:val="00164E53"/>
    <w:rsid w:val="00164F67"/>
    <w:rsid w:val="0016699D"/>
    <w:rsid w:val="00167786"/>
    <w:rsid w:val="00170129"/>
    <w:rsid w:val="001704F6"/>
    <w:rsid w:val="00174A1D"/>
    <w:rsid w:val="00175159"/>
    <w:rsid w:val="00176208"/>
    <w:rsid w:val="00177440"/>
    <w:rsid w:val="00177E72"/>
    <w:rsid w:val="0018208D"/>
    <w:rsid w:val="0018211B"/>
    <w:rsid w:val="00182151"/>
    <w:rsid w:val="001840D3"/>
    <w:rsid w:val="00184456"/>
    <w:rsid w:val="00187D8C"/>
    <w:rsid w:val="001900F8"/>
    <w:rsid w:val="00191258"/>
    <w:rsid w:val="001925C4"/>
    <w:rsid w:val="00192680"/>
    <w:rsid w:val="0019301D"/>
    <w:rsid w:val="00193037"/>
    <w:rsid w:val="00193742"/>
    <w:rsid w:val="00193A2C"/>
    <w:rsid w:val="00193ECE"/>
    <w:rsid w:val="0019737F"/>
    <w:rsid w:val="00197D44"/>
    <w:rsid w:val="001A288E"/>
    <w:rsid w:val="001A4819"/>
    <w:rsid w:val="001A6E37"/>
    <w:rsid w:val="001B10DE"/>
    <w:rsid w:val="001B3A4C"/>
    <w:rsid w:val="001B6DC2"/>
    <w:rsid w:val="001C0457"/>
    <w:rsid w:val="001C149C"/>
    <w:rsid w:val="001C15E0"/>
    <w:rsid w:val="001C21AC"/>
    <w:rsid w:val="001C47BA"/>
    <w:rsid w:val="001C59EA"/>
    <w:rsid w:val="001C6ACC"/>
    <w:rsid w:val="001C6B53"/>
    <w:rsid w:val="001D1E99"/>
    <w:rsid w:val="001D2313"/>
    <w:rsid w:val="001D406C"/>
    <w:rsid w:val="001D41EE"/>
    <w:rsid w:val="001D4D43"/>
    <w:rsid w:val="001D7383"/>
    <w:rsid w:val="001D7A6E"/>
    <w:rsid w:val="001D7D41"/>
    <w:rsid w:val="001E0380"/>
    <w:rsid w:val="001E13B1"/>
    <w:rsid w:val="001E3B5B"/>
    <w:rsid w:val="001E4619"/>
    <w:rsid w:val="001E798E"/>
    <w:rsid w:val="001F1E97"/>
    <w:rsid w:val="001F3298"/>
    <w:rsid w:val="001F3A19"/>
    <w:rsid w:val="001F6A31"/>
    <w:rsid w:val="00201F2E"/>
    <w:rsid w:val="0020350E"/>
    <w:rsid w:val="00205E9A"/>
    <w:rsid w:val="00206B2C"/>
    <w:rsid w:val="002133D7"/>
    <w:rsid w:val="00213DBA"/>
    <w:rsid w:val="00215475"/>
    <w:rsid w:val="002168D9"/>
    <w:rsid w:val="00221D5C"/>
    <w:rsid w:val="00232E70"/>
    <w:rsid w:val="0023304F"/>
    <w:rsid w:val="002342EC"/>
    <w:rsid w:val="00234467"/>
    <w:rsid w:val="002348A1"/>
    <w:rsid w:val="00234B67"/>
    <w:rsid w:val="00236A34"/>
    <w:rsid w:val="00236EAC"/>
    <w:rsid w:val="00237D8D"/>
    <w:rsid w:val="00240637"/>
    <w:rsid w:val="0024164A"/>
    <w:rsid w:val="00241DA2"/>
    <w:rsid w:val="0024222F"/>
    <w:rsid w:val="00243936"/>
    <w:rsid w:val="00245FAD"/>
    <w:rsid w:val="00247034"/>
    <w:rsid w:val="00247FEE"/>
    <w:rsid w:val="00250E7D"/>
    <w:rsid w:val="0025247B"/>
    <w:rsid w:val="00252D22"/>
    <w:rsid w:val="0025419D"/>
    <w:rsid w:val="002543E9"/>
    <w:rsid w:val="0025526B"/>
    <w:rsid w:val="00255389"/>
    <w:rsid w:val="002565D5"/>
    <w:rsid w:val="002622C0"/>
    <w:rsid w:val="00262663"/>
    <w:rsid w:val="00271BDC"/>
    <w:rsid w:val="0027286B"/>
    <w:rsid w:val="002730DC"/>
    <w:rsid w:val="002750FB"/>
    <w:rsid w:val="002778AE"/>
    <w:rsid w:val="002778F0"/>
    <w:rsid w:val="00281B4C"/>
    <w:rsid w:val="0028269A"/>
    <w:rsid w:val="00283590"/>
    <w:rsid w:val="00283EB6"/>
    <w:rsid w:val="00284E80"/>
    <w:rsid w:val="00285C37"/>
    <w:rsid w:val="00286973"/>
    <w:rsid w:val="00287866"/>
    <w:rsid w:val="002909F5"/>
    <w:rsid w:val="00290E25"/>
    <w:rsid w:val="0029126E"/>
    <w:rsid w:val="00292780"/>
    <w:rsid w:val="002949B7"/>
    <w:rsid w:val="00294E70"/>
    <w:rsid w:val="0029676C"/>
    <w:rsid w:val="002A1924"/>
    <w:rsid w:val="002A46BB"/>
    <w:rsid w:val="002A55BF"/>
    <w:rsid w:val="002A5FCD"/>
    <w:rsid w:val="002A7420"/>
    <w:rsid w:val="002B0F12"/>
    <w:rsid w:val="002B1308"/>
    <w:rsid w:val="002B336E"/>
    <w:rsid w:val="002B4449"/>
    <w:rsid w:val="002B4554"/>
    <w:rsid w:val="002C03C5"/>
    <w:rsid w:val="002C075C"/>
    <w:rsid w:val="002C1919"/>
    <w:rsid w:val="002C5790"/>
    <w:rsid w:val="002C64AD"/>
    <w:rsid w:val="002C72D8"/>
    <w:rsid w:val="002D11FA"/>
    <w:rsid w:val="002D36A1"/>
    <w:rsid w:val="002D47CC"/>
    <w:rsid w:val="002D6BD8"/>
    <w:rsid w:val="002E0DDF"/>
    <w:rsid w:val="002E2906"/>
    <w:rsid w:val="002E2F20"/>
    <w:rsid w:val="002E44E6"/>
    <w:rsid w:val="002E5136"/>
    <w:rsid w:val="002E5635"/>
    <w:rsid w:val="002E5AD3"/>
    <w:rsid w:val="002E64C3"/>
    <w:rsid w:val="002E6A2C"/>
    <w:rsid w:val="002F05D6"/>
    <w:rsid w:val="002F1B6F"/>
    <w:rsid w:val="002F1D8C"/>
    <w:rsid w:val="002F21DA"/>
    <w:rsid w:val="002F38A7"/>
    <w:rsid w:val="002F42CC"/>
    <w:rsid w:val="002F6C87"/>
    <w:rsid w:val="002F6F2B"/>
    <w:rsid w:val="003015E1"/>
    <w:rsid w:val="00301F39"/>
    <w:rsid w:val="00304434"/>
    <w:rsid w:val="00305B3D"/>
    <w:rsid w:val="0030778C"/>
    <w:rsid w:val="00307957"/>
    <w:rsid w:val="003112BF"/>
    <w:rsid w:val="003123D9"/>
    <w:rsid w:val="0031622A"/>
    <w:rsid w:val="00323607"/>
    <w:rsid w:val="00325217"/>
    <w:rsid w:val="00325926"/>
    <w:rsid w:val="00327A8A"/>
    <w:rsid w:val="00330BA2"/>
    <w:rsid w:val="00334BF8"/>
    <w:rsid w:val="00336610"/>
    <w:rsid w:val="00336A8D"/>
    <w:rsid w:val="00343213"/>
    <w:rsid w:val="003432A8"/>
    <w:rsid w:val="00343537"/>
    <w:rsid w:val="00343F73"/>
    <w:rsid w:val="00345060"/>
    <w:rsid w:val="00345A86"/>
    <w:rsid w:val="003502F6"/>
    <w:rsid w:val="0035323B"/>
    <w:rsid w:val="00355269"/>
    <w:rsid w:val="00355400"/>
    <w:rsid w:val="00357660"/>
    <w:rsid w:val="003609D2"/>
    <w:rsid w:val="003637B3"/>
    <w:rsid w:val="00363F22"/>
    <w:rsid w:val="00366D18"/>
    <w:rsid w:val="00366D4D"/>
    <w:rsid w:val="00367510"/>
    <w:rsid w:val="00371569"/>
    <w:rsid w:val="00371656"/>
    <w:rsid w:val="00374A1F"/>
    <w:rsid w:val="00375564"/>
    <w:rsid w:val="00377F9B"/>
    <w:rsid w:val="00383191"/>
    <w:rsid w:val="00384000"/>
    <w:rsid w:val="00385CC2"/>
    <w:rsid w:val="00386DED"/>
    <w:rsid w:val="00386DF0"/>
    <w:rsid w:val="003912E7"/>
    <w:rsid w:val="0039246E"/>
    <w:rsid w:val="00393462"/>
    <w:rsid w:val="00393947"/>
    <w:rsid w:val="003961E3"/>
    <w:rsid w:val="00396F29"/>
    <w:rsid w:val="003A157C"/>
    <w:rsid w:val="003A2275"/>
    <w:rsid w:val="003A2DC2"/>
    <w:rsid w:val="003A2E6F"/>
    <w:rsid w:val="003A4953"/>
    <w:rsid w:val="003A6A4F"/>
    <w:rsid w:val="003A6CAC"/>
    <w:rsid w:val="003A7088"/>
    <w:rsid w:val="003A754D"/>
    <w:rsid w:val="003B00DF"/>
    <w:rsid w:val="003B0E65"/>
    <w:rsid w:val="003B1275"/>
    <w:rsid w:val="003B1778"/>
    <w:rsid w:val="003B18FD"/>
    <w:rsid w:val="003B333A"/>
    <w:rsid w:val="003B4E57"/>
    <w:rsid w:val="003B5DD4"/>
    <w:rsid w:val="003C11CB"/>
    <w:rsid w:val="003C34F2"/>
    <w:rsid w:val="003C3BF1"/>
    <w:rsid w:val="003C3F1E"/>
    <w:rsid w:val="003C75F3"/>
    <w:rsid w:val="003C78A3"/>
    <w:rsid w:val="003D0010"/>
    <w:rsid w:val="003D0EEF"/>
    <w:rsid w:val="003D30B5"/>
    <w:rsid w:val="003E0032"/>
    <w:rsid w:val="003E1867"/>
    <w:rsid w:val="003E5729"/>
    <w:rsid w:val="003E7F86"/>
    <w:rsid w:val="003F08F3"/>
    <w:rsid w:val="003F0D0A"/>
    <w:rsid w:val="003F38AD"/>
    <w:rsid w:val="003F4EE0"/>
    <w:rsid w:val="003F7677"/>
    <w:rsid w:val="00402153"/>
    <w:rsid w:val="00402FC1"/>
    <w:rsid w:val="00404C9C"/>
    <w:rsid w:val="00404CDF"/>
    <w:rsid w:val="00410C73"/>
    <w:rsid w:val="004113F6"/>
    <w:rsid w:val="004141E7"/>
    <w:rsid w:val="00417B83"/>
    <w:rsid w:val="00420338"/>
    <w:rsid w:val="0042044E"/>
    <w:rsid w:val="00425082"/>
    <w:rsid w:val="00427C89"/>
    <w:rsid w:val="00431DEB"/>
    <w:rsid w:val="00433CB3"/>
    <w:rsid w:val="00434657"/>
    <w:rsid w:val="0043668C"/>
    <w:rsid w:val="00436A41"/>
    <w:rsid w:val="00436FF2"/>
    <w:rsid w:val="0043792B"/>
    <w:rsid w:val="004422AE"/>
    <w:rsid w:val="00442619"/>
    <w:rsid w:val="004429CB"/>
    <w:rsid w:val="00442F4D"/>
    <w:rsid w:val="004434CB"/>
    <w:rsid w:val="00446349"/>
    <w:rsid w:val="00446B29"/>
    <w:rsid w:val="004534D9"/>
    <w:rsid w:val="00453D15"/>
    <w:rsid w:val="00453F9A"/>
    <w:rsid w:val="004540FB"/>
    <w:rsid w:val="0045450B"/>
    <w:rsid w:val="00455C95"/>
    <w:rsid w:val="00456802"/>
    <w:rsid w:val="004573E2"/>
    <w:rsid w:val="004604E9"/>
    <w:rsid w:val="0046181D"/>
    <w:rsid w:val="00461F79"/>
    <w:rsid w:val="004627ED"/>
    <w:rsid w:val="00462A8B"/>
    <w:rsid w:val="00463374"/>
    <w:rsid w:val="0046409D"/>
    <w:rsid w:val="004648B4"/>
    <w:rsid w:val="00464B7B"/>
    <w:rsid w:val="00465910"/>
    <w:rsid w:val="004672B9"/>
    <w:rsid w:val="004674E3"/>
    <w:rsid w:val="0046759D"/>
    <w:rsid w:val="00470788"/>
    <w:rsid w:val="004713A7"/>
    <w:rsid w:val="00471402"/>
    <w:rsid w:val="00471CA6"/>
    <w:rsid w:val="00471CBB"/>
    <w:rsid w:val="00471DC5"/>
    <w:rsid w:val="00471E91"/>
    <w:rsid w:val="004744B8"/>
    <w:rsid w:val="00474675"/>
    <w:rsid w:val="0047470C"/>
    <w:rsid w:val="00476615"/>
    <w:rsid w:val="0048355C"/>
    <w:rsid w:val="0048361A"/>
    <w:rsid w:val="0048599F"/>
    <w:rsid w:val="004949CC"/>
    <w:rsid w:val="00494EFE"/>
    <w:rsid w:val="00495E73"/>
    <w:rsid w:val="00497078"/>
    <w:rsid w:val="004A0FDE"/>
    <w:rsid w:val="004A158F"/>
    <w:rsid w:val="004A1E6C"/>
    <w:rsid w:val="004A21E9"/>
    <w:rsid w:val="004A35F9"/>
    <w:rsid w:val="004A3BBF"/>
    <w:rsid w:val="004A7516"/>
    <w:rsid w:val="004A7FB7"/>
    <w:rsid w:val="004B24C1"/>
    <w:rsid w:val="004B53F7"/>
    <w:rsid w:val="004B63B9"/>
    <w:rsid w:val="004B6CD9"/>
    <w:rsid w:val="004C0AAF"/>
    <w:rsid w:val="004C13F7"/>
    <w:rsid w:val="004C292F"/>
    <w:rsid w:val="004C2E69"/>
    <w:rsid w:val="004C2F16"/>
    <w:rsid w:val="004C4975"/>
    <w:rsid w:val="004C4D16"/>
    <w:rsid w:val="004C5219"/>
    <w:rsid w:val="004D02DD"/>
    <w:rsid w:val="004D2EF0"/>
    <w:rsid w:val="004D333E"/>
    <w:rsid w:val="004D345D"/>
    <w:rsid w:val="004D49D8"/>
    <w:rsid w:val="004E1E7C"/>
    <w:rsid w:val="004E471A"/>
    <w:rsid w:val="004E567C"/>
    <w:rsid w:val="004E62AC"/>
    <w:rsid w:val="004E77D5"/>
    <w:rsid w:val="004F0510"/>
    <w:rsid w:val="004F4977"/>
    <w:rsid w:val="004F51EB"/>
    <w:rsid w:val="004F5FD7"/>
    <w:rsid w:val="00502B23"/>
    <w:rsid w:val="00502E8E"/>
    <w:rsid w:val="00503D6D"/>
    <w:rsid w:val="00507EE3"/>
    <w:rsid w:val="00510280"/>
    <w:rsid w:val="00510D41"/>
    <w:rsid w:val="00513D73"/>
    <w:rsid w:val="00514A43"/>
    <w:rsid w:val="00515262"/>
    <w:rsid w:val="005164C1"/>
    <w:rsid w:val="005165DE"/>
    <w:rsid w:val="00516654"/>
    <w:rsid w:val="005174E5"/>
    <w:rsid w:val="005206E7"/>
    <w:rsid w:val="00522393"/>
    <w:rsid w:val="00522620"/>
    <w:rsid w:val="005227B5"/>
    <w:rsid w:val="00522C9C"/>
    <w:rsid w:val="00522F43"/>
    <w:rsid w:val="00523790"/>
    <w:rsid w:val="00525656"/>
    <w:rsid w:val="00525C60"/>
    <w:rsid w:val="005319FE"/>
    <w:rsid w:val="005329F5"/>
    <w:rsid w:val="00532A53"/>
    <w:rsid w:val="00533D01"/>
    <w:rsid w:val="00534C02"/>
    <w:rsid w:val="0053527C"/>
    <w:rsid w:val="005355F7"/>
    <w:rsid w:val="0053662F"/>
    <w:rsid w:val="00540D70"/>
    <w:rsid w:val="0054264B"/>
    <w:rsid w:val="00543786"/>
    <w:rsid w:val="0055190B"/>
    <w:rsid w:val="00552F44"/>
    <w:rsid w:val="005533D7"/>
    <w:rsid w:val="00557E7A"/>
    <w:rsid w:val="005610D3"/>
    <w:rsid w:val="005619E1"/>
    <w:rsid w:val="00562701"/>
    <w:rsid w:val="005653DB"/>
    <w:rsid w:val="005659F1"/>
    <w:rsid w:val="00565A2E"/>
    <w:rsid w:val="00565EE5"/>
    <w:rsid w:val="00567278"/>
    <w:rsid w:val="00567E4C"/>
    <w:rsid w:val="005703DE"/>
    <w:rsid w:val="00570881"/>
    <w:rsid w:val="0057088F"/>
    <w:rsid w:val="00573370"/>
    <w:rsid w:val="00576C26"/>
    <w:rsid w:val="00580113"/>
    <w:rsid w:val="0058012D"/>
    <w:rsid w:val="0058247C"/>
    <w:rsid w:val="0058464E"/>
    <w:rsid w:val="005847F9"/>
    <w:rsid w:val="00585F53"/>
    <w:rsid w:val="0058653C"/>
    <w:rsid w:val="00587D13"/>
    <w:rsid w:val="00590268"/>
    <w:rsid w:val="005906DB"/>
    <w:rsid w:val="0059209B"/>
    <w:rsid w:val="00595984"/>
    <w:rsid w:val="005974A0"/>
    <w:rsid w:val="00597F86"/>
    <w:rsid w:val="005A01CB"/>
    <w:rsid w:val="005A14AA"/>
    <w:rsid w:val="005A285C"/>
    <w:rsid w:val="005A58FF"/>
    <w:rsid w:val="005A5EAF"/>
    <w:rsid w:val="005A64C0"/>
    <w:rsid w:val="005A6DA9"/>
    <w:rsid w:val="005B01F6"/>
    <w:rsid w:val="005B116F"/>
    <w:rsid w:val="005B1738"/>
    <w:rsid w:val="005B31FF"/>
    <w:rsid w:val="005B3734"/>
    <w:rsid w:val="005B3C11"/>
    <w:rsid w:val="005B6D72"/>
    <w:rsid w:val="005B7805"/>
    <w:rsid w:val="005C1797"/>
    <w:rsid w:val="005C1C28"/>
    <w:rsid w:val="005C2F85"/>
    <w:rsid w:val="005C3182"/>
    <w:rsid w:val="005C47B9"/>
    <w:rsid w:val="005C63B3"/>
    <w:rsid w:val="005C6843"/>
    <w:rsid w:val="005C6DB5"/>
    <w:rsid w:val="005D001A"/>
    <w:rsid w:val="005D003B"/>
    <w:rsid w:val="005D2754"/>
    <w:rsid w:val="005E19E7"/>
    <w:rsid w:val="005E1E43"/>
    <w:rsid w:val="005E2AF8"/>
    <w:rsid w:val="005E3A92"/>
    <w:rsid w:val="005E5A2D"/>
    <w:rsid w:val="005E6BA9"/>
    <w:rsid w:val="005E78FA"/>
    <w:rsid w:val="005F15B2"/>
    <w:rsid w:val="005F175D"/>
    <w:rsid w:val="005F2B82"/>
    <w:rsid w:val="005F3CBF"/>
    <w:rsid w:val="005F518A"/>
    <w:rsid w:val="005F651D"/>
    <w:rsid w:val="005F7C47"/>
    <w:rsid w:val="0060490A"/>
    <w:rsid w:val="006104C0"/>
    <w:rsid w:val="0061563A"/>
    <w:rsid w:val="00615F74"/>
    <w:rsid w:val="00616485"/>
    <w:rsid w:val="0061716C"/>
    <w:rsid w:val="006175D4"/>
    <w:rsid w:val="0062053C"/>
    <w:rsid w:val="0062108C"/>
    <w:rsid w:val="006212C9"/>
    <w:rsid w:val="00623B2D"/>
    <w:rsid w:val="006243A1"/>
    <w:rsid w:val="00625994"/>
    <w:rsid w:val="00625FBA"/>
    <w:rsid w:val="0062743F"/>
    <w:rsid w:val="00632E56"/>
    <w:rsid w:val="00633944"/>
    <w:rsid w:val="0063515F"/>
    <w:rsid w:val="00635316"/>
    <w:rsid w:val="006358BF"/>
    <w:rsid w:val="00635CBA"/>
    <w:rsid w:val="00637628"/>
    <w:rsid w:val="00637F03"/>
    <w:rsid w:val="0064338B"/>
    <w:rsid w:val="00645F73"/>
    <w:rsid w:val="00646542"/>
    <w:rsid w:val="006504F4"/>
    <w:rsid w:val="00651E73"/>
    <w:rsid w:val="00653D2C"/>
    <w:rsid w:val="00654BC9"/>
    <w:rsid w:val="00654C12"/>
    <w:rsid w:val="006552FD"/>
    <w:rsid w:val="00655B9B"/>
    <w:rsid w:val="00661AE3"/>
    <w:rsid w:val="00663AF3"/>
    <w:rsid w:val="00663CD1"/>
    <w:rsid w:val="00663D8B"/>
    <w:rsid w:val="006647F8"/>
    <w:rsid w:val="006664D8"/>
    <w:rsid w:val="0066688A"/>
    <w:rsid w:val="00666B6C"/>
    <w:rsid w:val="00667C1F"/>
    <w:rsid w:val="00667C88"/>
    <w:rsid w:val="00670C75"/>
    <w:rsid w:val="006738AB"/>
    <w:rsid w:val="00680FFC"/>
    <w:rsid w:val="006813DB"/>
    <w:rsid w:val="00681B28"/>
    <w:rsid w:val="00681ECD"/>
    <w:rsid w:val="006822A3"/>
    <w:rsid w:val="00682682"/>
    <w:rsid w:val="00682702"/>
    <w:rsid w:val="00683453"/>
    <w:rsid w:val="006851B6"/>
    <w:rsid w:val="00686452"/>
    <w:rsid w:val="00686CCD"/>
    <w:rsid w:val="00686DA4"/>
    <w:rsid w:val="00686DC6"/>
    <w:rsid w:val="0069030C"/>
    <w:rsid w:val="00691460"/>
    <w:rsid w:val="00691981"/>
    <w:rsid w:val="00692368"/>
    <w:rsid w:val="00692B84"/>
    <w:rsid w:val="00693313"/>
    <w:rsid w:val="00694805"/>
    <w:rsid w:val="006A171E"/>
    <w:rsid w:val="006A2EBC"/>
    <w:rsid w:val="006A5997"/>
    <w:rsid w:val="006A5EA0"/>
    <w:rsid w:val="006A783B"/>
    <w:rsid w:val="006A7B33"/>
    <w:rsid w:val="006B0377"/>
    <w:rsid w:val="006B17A4"/>
    <w:rsid w:val="006B1862"/>
    <w:rsid w:val="006B365E"/>
    <w:rsid w:val="006B4E13"/>
    <w:rsid w:val="006B6033"/>
    <w:rsid w:val="006B75DD"/>
    <w:rsid w:val="006C353B"/>
    <w:rsid w:val="006C5D50"/>
    <w:rsid w:val="006C6793"/>
    <w:rsid w:val="006C67E0"/>
    <w:rsid w:val="006C76D2"/>
    <w:rsid w:val="006C7ABA"/>
    <w:rsid w:val="006C7DAA"/>
    <w:rsid w:val="006D0AB0"/>
    <w:rsid w:val="006D0D60"/>
    <w:rsid w:val="006D1122"/>
    <w:rsid w:val="006D2C7A"/>
    <w:rsid w:val="006D3134"/>
    <w:rsid w:val="006D3C00"/>
    <w:rsid w:val="006D526F"/>
    <w:rsid w:val="006D5591"/>
    <w:rsid w:val="006E3675"/>
    <w:rsid w:val="006E4A7F"/>
    <w:rsid w:val="006F00E3"/>
    <w:rsid w:val="006F07D5"/>
    <w:rsid w:val="006F0AE9"/>
    <w:rsid w:val="006F62B8"/>
    <w:rsid w:val="006F668C"/>
    <w:rsid w:val="00700303"/>
    <w:rsid w:val="00700ABF"/>
    <w:rsid w:val="00704DF6"/>
    <w:rsid w:val="00705678"/>
    <w:rsid w:val="0070651C"/>
    <w:rsid w:val="00706602"/>
    <w:rsid w:val="00707492"/>
    <w:rsid w:val="00710994"/>
    <w:rsid w:val="00710AF4"/>
    <w:rsid w:val="00710F0C"/>
    <w:rsid w:val="00711856"/>
    <w:rsid w:val="007132A3"/>
    <w:rsid w:val="007132B3"/>
    <w:rsid w:val="007147E3"/>
    <w:rsid w:val="00714A74"/>
    <w:rsid w:val="00714B13"/>
    <w:rsid w:val="00716421"/>
    <w:rsid w:val="007172A7"/>
    <w:rsid w:val="00720790"/>
    <w:rsid w:val="00721EE9"/>
    <w:rsid w:val="00723A36"/>
    <w:rsid w:val="007245BC"/>
    <w:rsid w:val="007248F7"/>
    <w:rsid w:val="00724EFB"/>
    <w:rsid w:val="007266E6"/>
    <w:rsid w:val="00731AED"/>
    <w:rsid w:val="00733080"/>
    <w:rsid w:val="0073355E"/>
    <w:rsid w:val="00734790"/>
    <w:rsid w:val="00735C0A"/>
    <w:rsid w:val="0073781F"/>
    <w:rsid w:val="007419C3"/>
    <w:rsid w:val="00741B7C"/>
    <w:rsid w:val="0074251F"/>
    <w:rsid w:val="007434A8"/>
    <w:rsid w:val="00744810"/>
    <w:rsid w:val="007467A7"/>
    <w:rsid w:val="007469DD"/>
    <w:rsid w:val="0074741B"/>
    <w:rsid w:val="0074759E"/>
    <w:rsid w:val="007478EA"/>
    <w:rsid w:val="00751C10"/>
    <w:rsid w:val="00753DC7"/>
    <w:rsid w:val="0075415C"/>
    <w:rsid w:val="007577C9"/>
    <w:rsid w:val="00763502"/>
    <w:rsid w:val="0076387A"/>
    <w:rsid w:val="007648E3"/>
    <w:rsid w:val="00764E96"/>
    <w:rsid w:val="00765BCC"/>
    <w:rsid w:val="00770502"/>
    <w:rsid w:val="007715CE"/>
    <w:rsid w:val="00771FDF"/>
    <w:rsid w:val="00772A6E"/>
    <w:rsid w:val="00777704"/>
    <w:rsid w:val="00780A0F"/>
    <w:rsid w:val="0078197F"/>
    <w:rsid w:val="00782B4E"/>
    <w:rsid w:val="00783748"/>
    <w:rsid w:val="00790079"/>
    <w:rsid w:val="00791212"/>
    <w:rsid w:val="007913AB"/>
    <w:rsid w:val="007914F7"/>
    <w:rsid w:val="00794236"/>
    <w:rsid w:val="0079490C"/>
    <w:rsid w:val="007A360E"/>
    <w:rsid w:val="007A43E9"/>
    <w:rsid w:val="007A78BA"/>
    <w:rsid w:val="007B0F2F"/>
    <w:rsid w:val="007B1625"/>
    <w:rsid w:val="007B2F1E"/>
    <w:rsid w:val="007B4177"/>
    <w:rsid w:val="007B706E"/>
    <w:rsid w:val="007B71EB"/>
    <w:rsid w:val="007C016D"/>
    <w:rsid w:val="007C5181"/>
    <w:rsid w:val="007C53D1"/>
    <w:rsid w:val="007C6205"/>
    <w:rsid w:val="007C6293"/>
    <w:rsid w:val="007C686A"/>
    <w:rsid w:val="007C728E"/>
    <w:rsid w:val="007D259E"/>
    <w:rsid w:val="007D2C53"/>
    <w:rsid w:val="007D3879"/>
    <w:rsid w:val="007D3D60"/>
    <w:rsid w:val="007D5796"/>
    <w:rsid w:val="007D6F5F"/>
    <w:rsid w:val="007D6FD7"/>
    <w:rsid w:val="007D7F32"/>
    <w:rsid w:val="007E1980"/>
    <w:rsid w:val="007E4B76"/>
    <w:rsid w:val="007E4F9D"/>
    <w:rsid w:val="007E5393"/>
    <w:rsid w:val="007E5B31"/>
    <w:rsid w:val="007E5E2C"/>
    <w:rsid w:val="007E5EA8"/>
    <w:rsid w:val="007E6841"/>
    <w:rsid w:val="007E6923"/>
    <w:rsid w:val="007F0CF1"/>
    <w:rsid w:val="007F12A5"/>
    <w:rsid w:val="007F17CF"/>
    <w:rsid w:val="007F1C2A"/>
    <w:rsid w:val="007F1F52"/>
    <w:rsid w:val="007F1FEB"/>
    <w:rsid w:val="007F25D8"/>
    <w:rsid w:val="007F4555"/>
    <w:rsid w:val="007F4CF1"/>
    <w:rsid w:val="007F5D5D"/>
    <w:rsid w:val="007F656A"/>
    <w:rsid w:val="007F6DC8"/>
    <w:rsid w:val="007F758D"/>
    <w:rsid w:val="007F78CE"/>
    <w:rsid w:val="007F7918"/>
    <w:rsid w:val="007F7D52"/>
    <w:rsid w:val="007F7FC1"/>
    <w:rsid w:val="00802C16"/>
    <w:rsid w:val="00803085"/>
    <w:rsid w:val="008053B8"/>
    <w:rsid w:val="00805660"/>
    <w:rsid w:val="0080654C"/>
    <w:rsid w:val="008071C6"/>
    <w:rsid w:val="008075F1"/>
    <w:rsid w:val="00807A7D"/>
    <w:rsid w:val="00807F19"/>
    <w:rsid w:val="00813079"/>
    <w:rsid w:val="00815215"/>
    <w:rsid w:val="008166D2"/>
    <w:rsid w:val="00817A00"/>
    <w:rsid w:val="00817B71"/>
    <w:rsid w:val="00822033"/>
    <w:rsid w:val="00824040"/>
    <w:rsid w:val="00830E3C"/>
    <w:rsid w:val="00831DAC"/>
    <w:rsid w:val="00832B82"/>
    <w:rsid w:val="00832DA8"/>
    <w:rsid w:val="0083490C"/>
    <w:rsid w:val="00835720"/>
    <w:rsid w:val="00835DB3"/>
    <w:rsid w:val="0083617B"/>
    <w:rsid w:val="008371BD"/>
    <w:rsid w:val="008373CC"/>
    <w:rsid w:val="00837E7F"/>
    <w:rsid w:val="0084093D"/>
    <w:rsid w:val="00842192"/>
    <w:rsid w:val="0084332E"/>
    <w:rsid w:val="008434B3"/>
    <w:rsid w:val="00844CD8"/>
    <w:rsid w:val="008454BF"/>
    <w:rsid w:val="008473E8"/>
    <w:rsid w:val="0084746B"/>
    <w:rsid w:val="008504A8"/>
    <w:rsid w:val="00850AD0"/>
    <w:rsid w:val="00850DEF"/>
    <w:rsid w:val="0085282E"/>
    <w:rsid w:val="00852EDA"/>
    <w:rsid w:val="008549ED"/>
    <w:rsid w:val="00855407"/>
    <w:rsid w:val="00856BD6"/>
    <w:rsid w:val="0086104F"/>
    <w:rsid w:val="0086366E"/>
    <w:rsid w:val="008711C2"/>
    <w:rsid w:val="0087198C"/>
    <w:rsid w:val="00871F39"/>
    <w:rsid w:val="00872C1F"/>
    <w:rsid w:val="00873B42"/>
    <w:rsid w:val="00875621"/>
    <w:rsid w:val="00875A3D"/>
    <w:rsid w:val="00877AE0"/>
    <w:rsid w:val="0088034A"/>
    <w:rsid w:val="00880750"/>
    <w:rsid w:val="00880C1B"/>
    <w:rsid w:val="0088113A"/>
    <w:rsid w:val="008817FA"/>
    <w:rsid w:val="00883CCB"/>
    <w:rsid w:val="00884033"/>
    <w:rsid w:val="008856D8"/>
    <w:rsid w:val="00885A33"/>
    <w:rsid w:val="008869D3"/>
    <w:rsid w:val="008928B4"/>
    <w:rsid w:val="00892E82"/>
    <w:rsid w:val="00895EA6"/>
    <w:rsid w:val="008A05F9"/>
    <w:rsid w:val="008A3C42"/>
    <w:rsid w:val="008A5A11"/>
    <w:rsid w:val="008A6170"/>
    <w:rsid w:val="008A689D"/>
    <w:rsid w:val="008A6A6C"/>
    <w:rsid w:val="008A6BE3"/>
    <w:rsid w:val="008B47BF"/>
    <w:rsid w:val="008B6EE9"/>
    <w:rsid w:val="008B7269"/>
    <w:rsid w:val="008C081E"/>
    <w:rsid w:val="008C1B58"/>
    <w:rsid w:val="008C262C"/>
    <w:rsid w:val="008C39AE"/>
    <w:rsid w:val="008C4EBB"/>
    <w:rsid w:val="008C547D"/>
    <w:rsid w:val="008C5673"/>
    <w:rsid w:val="008C590D"/>
    <w:rsid w:val="008C674A"/>
    <w:rsid w:val="008C6FD8"/>
    <w:rsid w:val="008C75D3"/>
    <w:rsid w:val="008C7BF0"/>
    <w:rsid w:val="008D16FA"/>
    <w:rsid w:val="008D1A53"/>
    <w:rsid w:val="008D2A2F"/>
    <w:rsid w:val="008D4868"/>
    <w:rsid w:val="008D5194"/>
    <w:rsid w:val="008D5CA2"/>
    <w:rsid w:val="008D740F"/>
    <w:rsid w:val="008D7423"/>
    <w:rsid w:val="008D7E7C"/>
    <w:rsid w:val="008E0053"/>
    <w:rsid w:val="008E031B"/>
    <w:rsid w:val="008E0CDC"/>
    <w:rsid w:val="008E4D00"/>
    <w:rsid w:val="008E578B"/>
    <w:rsid w:val="008E59D9"/>
    <w:rsid w:val="008E7029"/>
    <w:rsid w:val="008E7EF6"/>
    <w:rsid w:val="008F0248"/>
    <w:rsid w:val="008F0287"/>
    <w:rsid w:val="008F1F98"/>
    <w:rsid w:val="008F6758"/>
    <w:rsid w:val="008F69E2"/>
    <w:rsid w:val="0090162A"/>
    <w:rsid w:val="00901860"/>
    <w:rsid w:val="009040DD"/>
    <w:rsid w:val="00905B47"/>
    <w:rsid w:val="00906973"/>
    <w:rsid w:val="009069A3"/>
    <w:rsid w:val="009103AA"/>
    <w:rsid w:val="00910A5D"/>
    <w:rsid w:val="0091331C"/>
    <w:rsid w:val="00917A85"/>
    <w:rsid w:val="00921131"/>
    <w:rsid w:val="00922840"/>
    <w:rsid w:val="0092532E"/>
    <w:rsid w:val="00926BA1"/>
    <w:rsid w:val="009279DE"/>
    <w:rsid w:val="00927C35"/>
    <w:rsid w:val="00930116"/>
    <w:rsid w:val="009366EE"/>
    <w:rsid w:val="00940773"/>
    <w:rsid w:val="0094212C"/>
    <w:rsid w:val="00942AA3"/>
    <w:rsid w:val="00943F83"/>
    <w:rsid w:val="00945130"/>
    <w:rsid w:val="0094655A"/>
    <w:rsid w:val="0094667A"/>
    <w:rsid w:val="009479B1"/>
    <w:rsid w:val="00950D15"/>
    <w:rsid w:val="009524F9"/>
    <w:rsid w:val="00952CA8"/>
    <w:rsid w:val="00953B04"/>
    <w:rsid w:val="00954689"/>
    <w:rsid w:val="0095555E"/>
    <w:rsid w:val="00955D8A"/>
    <w:rsid w:val="00956029"/>
    <w:rsid w:val="009617C9"/>
    <w:rsid w:val="00961C93"/>
    <w:rsid w:val="0096215B"/>
    <w:rsid w:val="00962C1B"/>
    <w:rsid w:val="00965324"/>
    <w:rsid w:val="009671D5"/>
    <w:rsid w:val="0097091E"/>
    <w:rsid w:val="00971949"/>
    <w:rsid w:val="00973DF0"/>
    <w:rsid w:val="009760D3"/>
    <w:rsid w:val="00977132"/>
    <w:rsid w:val="00981A4B"/>
    <w:rsid w:val="00982501"/>
    <w:rsid w:val="009828B6"/>
    <w:rsid w:val="009841F2"/>
    <w:rsid w:val="00985690"/>
    <w:rsid w:val="009877D3"/>
    <w:rsid w:val="00992FFF"/>
    <w:rsid w:val="009938A1"/>
    <w:rsid w:val="00993DB0"/>
    <w:rsid w:val="00994E8F"/>
    <w:rsid w:val="009951DC"/>
    <w:rsid w:val="009959BB"/>
    <w:rsid w:val="00995ABB"/>
    <w:rsid w:val="00997158"/>
    <w:rsid w:val="009A0774"/>
    <w:rsid w:val="009A339C"/>
    <w:rsid w:val="009A3A7C"/>
    <w:rsid w:val="009A3E25"/>
    <w:rsid w:val="009A403B"/>
    <w:rsid w:val="009A5F22"/>
    <w:rsid w:val="009A7754"/>
    <w:rsid w:val="009B0725"/>
    <w:rsid w:val="009B2ADB"/>
    <w:rsid w:val="009B36A2"/>
    <w:rsid w:val="009B5B12"/>
    <w:rsid w:val="009B603A"/>
    <w:rsid w:val="009B68F3"/>
    <w:rsid w:val="009C0358"/>
    <w:rsid w:val="009C2D0E"/>
    <w:rsid w:val="009C3DAC"/>
    <w:rsid w:val="009C42E0"/>
    <w:rsid w:val="009C5DFA"/>
    <w:rsid w:val="009C663D"/>
    <w:rsid w:val="009D25A9"/>
    <w:rsid w:val="009D2B9F"/>
    <w:rsid w:val="009D38FD"/>
    <w:rsid w:val="009D5362"/>
    <w:rsid w:val="009D7024"/>
    <w:rsid w:val="009D716D"/>
    <w:rsid w:val="009D7A74"/>
    <w:rsid w:val="009D7C83"/>
    <w:rsid w:val="009E1415"/>
    <w:rsid w:val="009E1A26"/>
    <w:rsid w:val="009E2563"/>
    <w:rsid w:val="009E4AD3"/>
    <w:rsid w:val="009E6116"/>
    <w:rsid w:val="009F0859"/>
    <w:rsid w:val="009F1EED"/>
    <w:rsid w:val="009F476D"/>
    <w:rsid w:val="009F4F89"/>
    <w:rsid w:val="009F4FEA"/>
    <w:rsid w:val="009F6346"/>
    <w:rsid w:val="00A02188"/>
    <w:rsid w:val="00A02E43"/>
    <w:rsid w:val="00A059E9"/>
    <w:rsid w:val="00A05EF7"/>
    <w:rsid w:val="00A065F9"/>
    <w:rsid w:val="00A06FDF"/>
    <w:rsid w:val="00A07F34"/>
    <w:rsid w:val="00A1117E"/>
    <w:rsid w:val="00A12411"/>
    <w:rsid w:val="00A150C4"/>
    <w:rsid w:val="00A165CA"/>
    <w:rsid w:val="00A21CD0"/>
    <w:rsid w:val="00A22154"/>
    <w:rsid w:val="00A22799"/>
    <w:rsid w:val="00A233B6"/>
    <w:rsid w:val="00A23A21"/>
    <w:rsid w:val="00A249C9"/>
    <w:rsid w:val="00A257D1"/>
    <w:rsid w:val="00A25C38"/>
    <w:rsid w:val="00A25C98"/>
    <w:rsid w:val="00A276DC"/>
    <w:rsid w:val="00A31275"/>
    <w:rsid w:val="00A33CA0"/>
    <w:rsid w:val="00A3498F"/>
    <w:rsid w:val="00A36BBE"/>
    <w:rsid w:val="00A370E7"/>
    <w:rsid w:val="00A3774C"/>
    <w:rsid w:val="00A40F62"/>
    <w:rsid w:val="00A418BC"/>
    <w:rsid w:val="00A4307A"/>
    <w:rsid w:val="00A4331D"/>
    <w:rsid w:val="00A43462"/>
    <w:rsid w:val="00A45CDA"/>
    <w:rsid w:val="00A47EBB"/>
    <w:rsid w:val="00A51CDD"/>
    <w:rsid w:val="00A56F16"/>
    <w:rsid w:val="00A56F46"/>
    <w:rsid w:val="00A604FD"/>
    <w:rsid w:val="00A61D12"/>
    <w:rsid w:val="00A61FB3"/>
    <w:rsid w:val="00A62FCC"/>
    <w:rsid w:val="00A65151"/>
    <w:rsid w:val="00A66CFC"/>
    <w:rsid w:val="00A66FC7"/>
    <w:rsid w:val="00A6730D"/>
    <w:rsid w:val="00A67B3F"/>
    <w:rsid w:val="00A67B99"/>
    <w:rsid w:val="00A7141B"/>
    <w:rsid w:val="00A71625"/>
    <w:rsid w:val="00A71B9B"/>
    <w:rsid w:val="00A741E1"/>
    <w:rsid w:val="00A74737"/>
    <w:rsid w:val="00A747C4"/>
    <w:rsid w:val="00A751C7"/>
    <w:rsid w:val="00A76A6F"/>
    <w:rsid w:val="00A80913"/>
    <w:rsid w:val="00A8100E"/>
    <w:rsid w:val="00A81869"/>
    <w:rsid w:val="00A83C41"/>
    <w:rsid w:val="00A85F64"/>
    <w:rsid w:val="00A87844"/>
    <w:rsid w:val="00A908F6"/>
    <w:rsid w:val="00A91E2C"/>
    <w:rsid w:val="00A92FE9"/>
    <w:rsid w:val="00A9316A"/>
    <w:rsid w:val="00A93344"/>
    <w:rsid w:val="00A95B28"/>
    <w:rsid w:val="00A95CAE"/>
    <w:rsid w:val="00AA038C"/>
    <w:rsid w:val="00AA4295"/>
    <w:rsid w:val="00AA43CD"/>
    <w:rsid w:val="00AA4B2A"/>
    <w:rsid w:val="00AA7648"/>
    <w:rsid w:val="00AA7A09"/>
    <w:rsid w:val="00AB1DD1"/>
    <w:rsid w:val="00AB3B50"/>
    <w:rsid w:val="00AB4978"/>
    <w:rsid w:val="00AB5098"/>
    <w:rsid w:val="00AC05B1"/>
    <w:rsid w:val="00AC06E9"/>
    <w:rsid w:val="00AC1B6C"/>
    <w:rsid w:val="00AC1BF5"/>
    <w:rsid w:val="00AC2229"/>
    <w:rsid w:val="00AC2E4E"/>
    <w:rsid w:val="00AC3399"/>
    <w:rsid w:val="00AC650C"/>
    <w:rsid w:val="00AC701F"/>
    <w:rsid w:val="00AD356C"/>
    <w:rsid w:val="00AD3F24"/>
    <w:rsid w:val="00AD675C"/>
    <w:rsid w:val="00AD69C6"/>
    <w:rsid w:val="00AD71F8"/>
    <w:rsid w:val="00AE03C4"/>
    <w:rsid w:val="00AE060D"/>
    <w:rsid w:val="00AE0741"/>
    <w:rsid w:val="00AE2914"/>
    <w:rsid w:val="00AE52DB"/>
    <w:rsid w:val="00AE6D15"/>
    <w:rsid w:val="00AF0708"/>
    <w:rsid w:val="00AF18CD"/>
    <w:rsid w:val="00AF3FBB"/>
    <w:rsid w:val="00AF5227"/>
    <w:rsid w:val="00B00662"/>
    <w:rsid w:val="00B0098F"/>
    <w:rsid w:val="00B012DB"/>
    <w:rsid w:val="00B023BB"/>
    <w:rsid w:val="00B028E0"/>
    <w:rsid w:val="00B04182"/>
    <w:rsid w:val="00B04411"/>
    <w:rsid w:val="00B056DD"/>
    <w:rsid w:val="00B079A2"/>
    <w:rsid w:val="00B07AE3"/>
    <w:rsid w:val="00B1053F"/>
    <w:rsid w:val="00B11430"/>
    <w:rsid w:val="00B11680"/>
    <w:rsid w:val="00B12769"/>
    <w:rsid w:val="00B12B57"/>
    <w:rsid w:val="00B131ED"/>
    <w:rsid w:val="00B14E34"/>
    <w:rsid w:val="00B15C94"/>
    <w:rsid w:val="00B2038D"/>
    <w:rsid w:val="00B20F81"/>
    <w:rsid w:val="00B233CB"/>
    <w:rsid w:val="00B2625A"/>
    <w:rsid w:val="00B2767A"/>
    <w:rsid w:val="00B27759"/>
    <w:rsid w:val="00B30749"/>
    <w:rsid w:val="00B30AB3"/>
    <w:rsid w:val="00B31141"/>
    <w:rsid w:val="00B332D2"/>
    <w:rsid w:val="00B34B11"/>
    <w:rsid w:val="00B353EB"/>
    <w:rsid w:val="00B36604"/>
    <w:rsid w:val="00B42E31"/>
    <w:rsid w:val="00B439C4"/>
    <w:rsid w:val="00B4435E"/>
    <w:rsid w:val="00B4447B"/>
    <w:rsid w:val="00B44DD8"/>
    <w:rsid w:val="00B45254"/>
    <w:rsid w:val="00B4535E"/>
    <w:rsid w:val="00B454B8"/>
    <w:rsid w:val="00B5182B"/>
    <w:rsid w:val="00B51FE1"/>
    <w:rsid w:val="00B5238C"/>
    <w:rsid w:val="00B5281A"/>
    <w:rsid w:val="00B52A8C"/>
    <w:rsid w:val="00B57139"/>
    <w:rsid w:val="00B57EF0"/>
    <w:rsid w:val="00B607D6"/>
    <w:rsid w:val="00B62D83"/>
    <w:rsid w:val="00B6322C"/>
    <w:rsid w:val="00B636A8"/>
    <w:rsid w:val="00B63B8D"/>
    <w:rsid w:val="00B63CC8"/>
    <w:rsid w:val="00B6401A"/>
    <w:rsid w:val="00B642BF"/>
    <w:rsid w:val="00B64859"/>
    <w:rsid w:val="00B665C6"/>
    <w:rsid w:val="00B667BA"/>
    <w:rsid w:val="00B71FBD"/>
    <w:rsid w:val="00B741CB"/>
    <w:rsid w:val="00B758DA"/>
    <w:rsid w:val="00B76324"/>
    <w:rsid w:val="00B76C15"/>
    <w:rsid w:val="00B805AF"/>
    <w:rsid w:val="00B80B04"/>
    <w:rsid w:val="00B80B33"/>
    <w:rsid w:val="00B8139D"/>
    <w:rsid w:val="00B84378"/>
    <w:rsid w:val="00B8604A"/>
    <w:rsid w:val="00B862D8"/>
    <w:rsid w:val="00B869EC"/>
    <w:rsid w:val="00B91680"/>
    <w:rsid w:val="00B920DC"/>
    <w:rsid w:val="00B921EC"/>
    <w:rsid w:val="00B9397A"/>
    <w:rsid w:val="00B95C34"/>
    <w:rsid w:val="00B9633D"/>
    <w:rsid w:val="00BA0753"/>
    <w:rsid w:val="00BA0C98"/>
    <w:rsid w:val="00BA18B0"/>
    <w:rsid w:val="00BA27EC"/>
    <w:rsid w:val="00BA2EBE"/>
    <w:rsid w:val="00BA339B"/>
    <w:rsid w:val="00BA4DD3"/>
    <w:rsid w:val="00BA60B1"/>
    <w:rsid w:val="00BA638F"/>
    <w:rsid w:val="00BA718D"/>
    <w:rsid w:val="00BA7B3E"/>
    <w:rsid w:val="00BB0F28"/>
    <w:rsid w:val="00BB16AC"/>
    <w:rsid w:val="00BB2CCE"/>
    <w:rsid w:val="00BB458A"/>
    <w:rsid w:val="00BB4F0D"/>
    <w:rsid w:val="00BB6D74"/>
    <w:rsid w:val="00BB7D95"/>
    <w:rsid w:val="00BC58F3"/>
    <w:rsid w:val="00BC653F"/>
    <w:rsid w:val="00BC685E"/>
    <w:rsid w:val="00BC793A"/>
    <w:rsid w:val="00BD00D3"/>
    <w:rsid w:val="00BD0C40"/>
    <w:rsid w:val="00BD1659"/>
    <w:rsid w:val="00BD1934"/>
    <w:rsid w:val="00BD256D"/>
    <w:rsid w:val="00BD2F61"/>
    <w:rsid w:val="00BD3AA9"/>
    <w:rsid w:val="00BD4A18"/>
    <w:rsid w:val="00BD6DB2"/>
    <w:rsid w:val="00BD7FB3"/>
    <w:rsid w:val="00BE0A29"/>
    <w:rsid w:val="00BE11CF"/>
    <w:rsid w:val="00BE1674"/>
    <w:rsid w:val="00BE21AB"/>
    <w:rsid w:val="00BE423C"/>
    <w:rsid w:val="00BE508F"/>
    <w:rsid w:val="00BE55CB"/>
    <w:rsid w:val="00BF0B43"/>
    <w:rsid w:val="00BF1126"/>
    <w:rsid w:val="00BF400F"/>
    <w:rsid w:val="00BF617A"/>
    <w:rsid w:val="00BF69BA"/>
    <w:rsid w:val="00C01859"/>
    <w:rsid w:val="00C0379D"/>
    <w:rsid w:val="00C03931"/>
    <w:rsid w:val="00C044B3"/>
    <w:rsid w:val="00C05C58"/>
    <w:rsid w:val="00C05FE3"/>
    <w:rsid w:val="00C06C2E"/>
    <w:rsid w:val="00C070BE"/>
    <w:rsid w:val="00C1002A"/>
    <w:rsid w:val="00C10058"/>
    <w:rsid w:val="00C116B2"/>
    <w:rsid w:val="00C149D0"/>
    <w:rsid w:val="00C16B55"/>
    <w:rsid w:val="00C170D3"/>
    <w:rsid w:val="00C20AE7"/>
    <w:rsid w:val="00C2136D"/>
    <w:rsid w:val="00C214EE"/>
    <w:rsid w:val="00C2314B"/>
    <w:rsid w:val="00C232AB"/>
    <w:rsid w:val="00C24971"/>
    <w:rsid w:val="00C25E5B"/>
    <w:rsid w:val="00C2693B"/>
    <w:rsid w:val="00C26BE5"/>
    <w:rsid w:val="00C26E4D"/>
    <w:rsid w:val="00C275A4"/>
    <w:rsid w:val="00C27909"/>
    <w:rsid w:val="00C27B03"/>
    <w:rsid w:val="00C27E29"/>
    <w:rsid w:val="00C314E1"/>
    <w:rsid w:val="00C34397"/>
    <w:rsid w:val="00C3664B"/>
    <w:rsid w:val="00C4095D"/>
    <w:rsid w:val="00C40DE1"/>
    <w:rsid w:val="00C42906"/>
    <w:rsid w:val="00C44C34"/>
    <w:rsid w:val="00C45537"/>
    <w:rsid w:val="00C45F43"/>
    <w:rsid w:val="00C4784B"/>
    <w:rsid w:val="00C47D5B"/>
    <w:rsid w:val="00C47EFE"/>
    <w:rsid w:val="00C54DED"/>
    <w:rsid w:val="00C5522C"/>
    <w:rsid w:val="00C601D2"/>
    <w:rsid w:val="00C60854"/>
    <w:rsid w:val="00C60AF5"/>
    <w:rsid w:val="00C62636"/>
    <w:rsid w:val="00C62E7F"/>
    <w:rsid w:val="00C6443D"/>
    <w:rsid w:val="00C65BCC"/>
    <w:rsid w:val="00C66341"/>
    <w:rsid w:val="00C66970"/>
    <w:rsid w:val="00C70889"/>
    <w:rsid w:val="00C72435"/>
    <w:rsid w:val="00C725E5"/>
    <w:rsid w:val="00C7428C"/>
    <w:rsid w:val="00C74DDE"/>
    <w:rsid w:val="00C75AEE"/>
    <w:rsid w:val="00C7703B"/>
    <w:rsid w:val="00C77936"/>
    <w:rsid w:val="00C81176"/>
    <w:rsid w:val="00C81305"/>
    <w:rsid w:val="00C813E7"/>
    <w:rsid w:val="00C8345D"/>
    <w:rsid w:val="00C8691C"/>
    <w:rsid w:val="00C873EC"/>
    <w:rsid w:val="00C876C2"/>
    <w:rsid w:val="00C9087A"/>
    <w:rsid w:val="00C91800"/>
    <w:rsid w:val="00C92ABB"/>
    <w:rsid w:val="00C93E84"/>
    <w:rsid w:val="00C941C4"/>
    <w:rsid w:val="00C94EB5"/>
    <w:rsid w:val="00C9633A"/>
    <w:rsid w:val="00CA065A"/>
    <w:rsid w:val="00CA09E9"/>
    <w:rsid w:val="00CA0AEC"/>
    <w:rsid w:val="00CA168A"/>
    <w:rsid w:val="00CA357E"/>
    <w:rsid w:val="00CA44F9"/>
    <w:rsid w:val="00CA4A69"/>
    <w:rsid w:val="00CA4D61"/>
    <w:rsid w:val="00CA6E73"/>
    <w:rsid w:val="00CB05C3"/>
    <w:rsid w:val="00CB2007"/>
    <w:rsid w:val="00CB3299"/>
    <w:rsid w:val="00CB38B9"/>
    <w:rsid w:val="00CB3B2A"/>
    <w:rsid w:val="00CB47A9"/>
    <w:rsid w:val="00CB702A"/>
    <w:rsid w:val="00CC0172"/>
    <w:rsid w:val="00CC148B"/>
    <w:rsid w:val="00CC1D73"/>
    <w:rsid w:val="00CC3286"/>
    <w:rsid w:val="00CC3B24"/>
    <w:rsid w:val="00CC3E0C"/>
    <w:rsid w:val="00CC58D3"/>
    <w:rsid w:val="00CC784D"/>
    <w:rsid w:val="00CD1679"/>
    <w:rsid w:val="00CD2FB3"/>
    <w:rsid w:val="00CD3470"/>
    <w:rsid w:val="00CD3F6F"/>
    <w:rsid w:val="00CD5842"/>
    <w:rsid w:val="00CD602E"/>
    <w:rsid w:val="00CE05A6"/>
    <w:rsid w:val="00CE21B6"/>
    <w:rsid w:val="00CE6081"/>
    <w:rsid w:val="00CE79F0"/>
    <w:rsid w:val="00CF24F0"/>
    <w:rsid w:val="00CF2D37"/>
    <w:rsid w:val="00CF4CFC"/>
    <w:rsid w:val="00CF58DD"/>
    <w:rsid w:val="00CF6635"/>
    <w:rsid w:val="00D0243B"/>
    <w:rsid w:val="00D0337B"/>
    <w:rsid w:val="00D0428B"/>
    <w:rsid w:val="00D0438A"/>
    <w:rsid w:val="00D055CF"/>
    <w:rsid w:val="00D05960"/>
    <w:rsid w:val="00D06C41"/>
    <w:rsid w:val="00D079B2"/>
    <w:rsid w:val="00D114E9"/>
    <w:rsid w:val="00D11FBD"/>
    <w:rsid w:val="00D13528"/>
    <w:rsid w:val="00D14C0C"/>
    <w:rsid w:val="00D15600"/>
    <w:rsid w:val="00D161F4"/>
    <w:rsid w:val="00D21421"/>
    <w:rsid w:val="00D21D84"/>
    <w:rsid w:val="00D2320C"/>
    <w:rsid w:val="00D23D84"/>
    <w:rsid w:val="00D33A7F"/>
    <w:rsid w:val="00D33A98"/>
    <w:rsid w:val="00D36B84"/>
    <w:rsid w:val="00D40143"/>
    <w:rsid w:val="00D429C6"/>
    <w:rsid w:val="00D4589E"/>
    <w:rsid w:val="00D47748"/>
    <w:rsid w:val="00D51B15"/>
    <w:rsid w:val="00D536EC"/>
    <w:rsid w:val="00D545EF"/>
    <w:rsid w:val="00D54B81"/>
    <w:rsid w:val="00D54CC3"/>
    <w:rsid w:val="00D56A04"/>
    <w:rsid w:val="00D602E5"/>
    <w:rsid w:val="00D6041A"/>
    <w:rsid w:val="00D6269A"/>
    <w:rsid w:val="00D633EB"/>
    <w:rsid w:val="00D65F76"/>
    <w:rsid w:val="00D70A6A"/>
    <w:rsid w:val="00D712B5"/>
    <w:rsid w:val="00D7200C"/>
    <w:rsid w:val="00D72710"/>
    <w:rsid w:val="00D745E5"/>
    <w:rsid w:val="00D749C5"/>
    <w:rsid w:val="00D76516"/>
    <w:rsid w:val="00D76EC7"/>
    <w:rsid w:val="00D77FA6"/>
    <w:rsid w:val="00D801F5"/>
    <w:rsid w:val="00D82FF7"/>
    <w:rsid w:val="00D833CA"/>
    <w:rsid w:val="00D843AE"/>
    <w:rsid w:val="00D847FE"/>
    <w:rsid w:val="00D923D6"/>
    <w:rsid w:val="00D947D1"/>
    <w:rsid w:val="00D95E2A"/>
    <w:rsid w:val="00D964EA"/>
    <w:rsid w:val="00D966D0"/>
    <w:rsid w:val="00D975ED"/>
    <w:rsid w:val="00DA07E6"/>
    <w:rsid w:val="00DA0C59"/>
    <w:rsid w:val="00DA20E5"/>
    <w:rsid w:val="00DA2202"/>
    <w:rsid w:val="00DA3991"/>
    <w:rsid w:val="00DA3CBD"/>
    <w:rsid w:val="00DA56F8"/>
    <w:rsid w:val="00DB0B1A"/>
    <w:rsid w:val="00DB7E6C"/>
    <w:rsid w:val="00DC0375"/>
    <w:rsid w:val="00DC07E5"/>
    <w:rsid w:val="00DC19C8"/>
    <w:rsid w:val="00DC35E9"/>
    <w:rsid w:val="00DC7E75"/>
    <w:rsid w:val="00DD0012"/>
    <w:rsid w:val="00DD1AD7"/>
    <w:rsid w:val="00DD2A0F"/>
    <w:rsid w:val="00DD4B12"/>
    <w:rsid w:val="00DD5A29"/>
    <w:rsid w:val="00DD5D9D"/>
    <w:rsid w:val="00DD5E23"/>
    <w:rsid w:val="00DD6162"/>
    <w:rsid w:val="00DD6BA3"/>
    <w:rsid w:val="00DD7A55"/>
    <w:rsid w:val="00DE0345"/>
    <w:rsid w:val="00DE1053"/>
    <w:rsid w:val="00DE27FA"/>
    <w:rsid w:val="00DE35CB"/>
    <w:rsid w:val="00DE4203"/>
    <w:rsid w:val="00DE5B31"/>
    <w:rsid w:val="00DE7600"/>
    <w:rsid w:val="00DE7D54"/>
    <w:rsid w:val="00DF135A"/>
    <w:rsid w:val="00DF21E9"/>
    <w:rsid w:val="00DF278E"/>
    <w:rsid w:val="00DF7053"/>
    <w:rsid w:val="00E00043"/>
    <w:rsid w:val="00E00CEA"/>
    <w:rsid w:val="00E00F14"/>
    <w:rsid w:val="00E05E20"/>
    <w:rsid w:val="00E06386"/>
    <w:rsid w:val="00E06D44"/>
    <w:rsid w:val="00E077D8"/>
    <w:rsid w:val="00E14590"/>
    <w:rsid w:val="00E15854"/>
    <w:rsid w:val="00E2062E"/>
    <w:rsid w:val="00E2229F"/>
    <w:rsid w:val="00E23154"/>
    <w:rsid w:val="00E24EB4"/>
    <w:rsid w:val="00E26C76"/>
    <w:rsid w:val="00E26DFB"/>
    <w:rsid w:val="00E27039"/>
    <w:rsid w:val="00E276B2"/>
    <w:rsid w:val="00E2783A"/>
    <w:rsid w:val="00E30049"/>
    <w:rsid w:val="00E3107A"/>
    <w:rsid w:val="00E320ED"/>
    <w:rsid w:val="00E32A07"/>
    <w:rsid w:val="00E33AFB"/>
    <w:rsid w:val="00E34218"/>
    <w:rsid w:val="00E40054"/>
    <w:rsid w:val="00E402C0"/>
    <w:rsid w:val="00E42094"/>
    <w:rsid w:val="00E4428C"/>
    <w:rsid w:val="00E44372"/>
    <w:rsid w:val="00E46282"/>
    <w:rsid w:val="00E465CE"/>
    <w:rsid w:val="00E51BBA"/>
    <w:rsid w:val="00E5216E"/>
    <w:rsid w:val="00E54977"/>
    <w:rsid w:val="00E551CF"/>
    <w:rsid w:val="00E55A1D"/>
    <w:rsid w:val="00E56AA9"/>
    <w:rsid w:val="00E577BA"/>
    <w:rsid w:val="00E60C36"/>
    <w:rsid w:val="00E611BA"/>
    <w:rsid w:val="00E62959"/>
    <w:rsid w:val="00E63747"/>
    <w:rsid w:val="00E64CE0"/>
    <w:rsid w:val="00E64E8E"/>
    <w:rsid w:val="00E65505"/>
    <w:rsid w:val="00E65AA3"/>
    <w:rsid w:val="00E65EC9"/>
    <w:rsid w:val="00E6759D"/>
    <w:rsid w:val="00E7051B"/>
    <w:rsid w:val="00E727A8"/>
    <w:rsid w:val="00E746DA"/>
    <w:rsid w:val="00E753EB"/>
    <w:rsid w:val="00E76996"/>
    <w:rsid w:val="00E82344"/>
    <w:rsid w:val="00E828AA"/>
    <w:rsid w:val="00E84C82"/>
    <w:rsid w:val="00E84D64"/>
    <w:rsid w:val="00E84E4C"/>
    <w:rsid w:val="00E85C16"/>
    <w:rsid w:val="00E85FBD"/>
    <w:rsid w:val="00E866AF"/>
    <w:rsid w:val="00E87408"/>
    <w:rsid w:val="00E87912"/>
    <w:rsid w:val="00E90EDE"/>
    <w:rsid w:val="00E914C4"/>
    <w:rsid w:val="00E934F5"/>
    <w:rsid w:val="00E96961"/>
    <w:rsid w:val="00EA3A3D"/>
    <w:rsid w:val="00EA608A"/>
    <w:rsid w:val="00EA6F3C"/>
    <w:rsid w:val="00EA71E7"/>
    <w:rsid w:val="00EA72EC"/>
    <w:rsid w:val="00EB11CB"/>
    <w:rsid w:val="00EB1863"/>
    <w:rsid w:val="00EB275A"/>
    <w:rsid w:val="00EB35CE"/>
    <w:rsid w:val="00EB451E"/>
    <w:rsid w:val="00EB554C"/>
    <w:rsid w:val="00EB786A"/>
    <w:rsid w:val="00EC0866"/>
    <w:rsid w:val="00EC10A4"/>
    <w:rsid w:val="00EC1578"/>
    <w:rsid w:val="00EC1C01"/>
    <w:rsid w:val="00EC1C72"/>
    <w:rsid w:val="00EC1F89"/>
    <w:rsid w:val="00EC23CD"/>
    <w:rsid w:val="00EC3CC9"/>
    <w:rsid w:val="00EC3D2B"/>
    <w:rsid w:val="00EC3E12"/>
    <w:rsid w:val="00EC479E"/>
    <w:rsid w:val="00EC4CD8"/>
    <w:rsid w:val="00EC512B"/>
    <w:rsid w:val="00EC5782"/>
    <w:rsid w:val="00EC680A"/>
    <w:rsid w:val="00ED2307"/>
    <w:rsid w:val="00ED3AF1"/>
    <w:rsid w:val="00ED572C"/>
    <w:rsid w:val="00ED649D"/>
    <w:rsid w:val="00ED67F1"/>
    <w:rsid w:val="00EE1481"/>
    <w:rsid w:val="00EE2ABB"/>
    <w:rsid w:val="00EE2BED"/>
    <w:rsid w:val="00EE374B"/>
    <w:rsid w:val="00EE402A"/>
    <w:rsid w:val="00EE5DFB"/>
    <w:rsid w:val="00EE75F0"/>
    <w:rsid w:val="00EE77BA"/>
    <w:rsid w:val="00EF03C9"/>
    <w:rsid w:val="00EF2F55"/>
    <w:rsid w:val="00EF4967"/>
    <w:rsid w:val="00EF4EBA"/>
    <w:rsid w:val="00EF4FF6"/>
    <w:rsid w:val="00EF6489"/>
    <w:rsid w:val="00EF7EB8"/>
    <w:rsid w:val="00F02F73"/>
    <w:rsid w:val="00F03FDB"/>
    <w:rsid w:val="00F068F0"/>
    <w:rsid w:val="00F069FA"/>
    <w:rsid w:val="00F11BB5"/>
    <w:rsid w:val="00F1282B"/>
    <w:rsid w:val="00F130CA"/>
    <w:rsid w:val="00F1417B"/>
    <w:rsid w:val="00F143C8"/>
    <w:rsid w:val="00F16BB7"/>
    <w:rsid w:val="00F20DCA"/>
    <w:rsid w:val="00F20FA5"/>
    <w:rsid w:val="00F213A8"/>
    <w:rsid w:val="00F21B9C"/>
    <w:rsid w:val="00F235CC"/>
    <w:rsid w:val="00F2363D"/>
    <w:rsid w:val="00F241E7"/>
    <w:rsid w:val="00F251B6"/>
    <w:rsid w:val="00F26214"/>
    <w:rsid w:val="00F314EC"/>
    <w:rsid w:val="00F31936"/>
    <w:rsid w:val="00F31F51"/>
    <w:rsid w:val="00F32363"/>
    <w:rsid w:val="00F33633"/>
    <w:rsid w:val="00F34B99"/>
    <w:rsid w:val="00F3646E"/>
    <w:rsid w:val="00F367F2"/>
    <w:rsid w:val="00F37315"/>
    <w:rsid w:val="00F40CD2"/>
    <w:rsid w:val="00F41957"/>
    <w:rsid w:val="00F41F6C"/>
    <w:rsid w:val="00F4228F"/>
    <w:rsid w:val="00F428BB"/>
    <w:rsid w:val="00F45D32"/>
    <w:rsid w:val="00F4794F"/>
    <w:rsid w:val="00F50FB9"/>
    <w:rsid w:val="00F52DAB"/>
    <w:rsid w:val="00F543F0"/>
    <w:rsid w:val="00F57279"/>
    <w:rsid w:val="00F5728C"/>
    <w:rsid w:val="00F60834"/>
    <w:rsid w:val="00F62FFE"/>
    <w:rsid w:val="00F64120"/>
    <w:rsid w:val="00F66581"/>
    <w:rsid w:val="00F66A80"/>
    <w:rsid w:val="00F66EC4"/>
    <w:rsid w:val="00F6771A"/>
    <w:rsid w:val="00F6792B"/>
    <w:rsid w:val="00F71679"/>
    <w:rsid w:val="00F71952"/>
    <w:rsid w:val="00F71983"/>
    <w:rsid w:val="00F722AB"/>
    <w:rsid w:val="00F735B4"/>
    <w:rsid w:val="00F75C1D"/>
    <w:rsid w:val="00F7745B"/>
    <w:rsid w:val="00F777D7"/>
    <w:rsid w:val="00F77FAD"/>
    <w:rsid w:val="00F80C57"/>
    <w:rsid w:val="00F80D65"/>
    <w:rsid w:val="00F81D29"/>
    <w:rsid w:val="00F82748"/>
    <w:rsid w:val="00F82C7B"/>
    <w:rsid w:val="00F8796C"/>
    <w:rsid w:val="00F91C4D"/>
    <w:rsid w:val="00F92FD9"/>
    <w:rsid w:val="00F9585C"/>
    <w:rsid w:val="00F95EF0"/>
    <w:rsid w:val="00F970C7"/>
    <w:rsid w:val="00FA06C8"/>
    <w:rsid w:val="00FA6512"/>
    <w:rsid w:val="00FA6666"/>
    <w:rsid w:val="00FA6684"/>
    <w:rsid w:val="00FA6E7C"/>
    <w:rsid w:val="00FA708B"/>
    <w:rsid w:val="00FA731E"/>
    <w:rsid w:val="00FB0926"/>
    <w:rsid w:val="00FB0DBC"/>
    <w:rsid w:val="00FB282A"/>
    <w:rsid w:val="00FB2851"/>
    <w:rsid w:val="00FB2B38"/>
    <w:rsid w:val="00FB5939"/>
    <w:rsid w:val="00FC08C0"/>
    <w:rsid w:val="00FC26A5"/>
    <w:rsid w:val="00FC292A"/>
    <w:rsid w:val="00FC3528"/>
    <w:rsid w:val="00FC4B1C"/>
    <w:rsid w:val="00FC6358"/>
    <w:rsid w:val="00FC6658"/>
    <w:rsid w:val="00FC7BE7"/>
    <w:rsid w:val="00FD1FFC"/>
    <w:rsid w:val="00FD30C7"/>
    <w:rsid w:val="00FD320D"/>
    <w:rsid w:val="00FD4458"/>
    <w:rsid w:val="00FE1F80"/>
    <w:rsid w:val="00FE23DE"/>
    <w:rsid w:val="00FE2DFB"/>
    <w:rsid w:val="00FE7061"/>
    <w:rsid w:val="00FF28F2"/>
    <w:rsid w:val="00FF54B5"/>
    <w:rsid w:val="00FF681F"/>
    <w:rsid w:val="00FF6B4F"/>
    <w:rsid w:val="034019BC"/>
    <w:rsid w:val="037B0FED"/>
    <w:rsid w:val="03B239A3"/>
    <w:rsid w:val="056A1AD1"/>
    <w:rsid w:val="05B1618A"/>
    <w:rsid w:val="075172A7"/>
    <w:rsid w:val="0A6657FE"/>
    <w:rsid w:val="0F0C2A7C"/>
    <w:rsid w:val="10264881"/>
    <w:rsid w:val="10465395"/>
    <w:rsid w:val="10DC439C"/>
    <w:rsid w:val="10F47728"/>
    <w:rsid w:val="11845AC8"/>
    <w:rsid w:val="12336C89"/>
    <w:rsid w:val="12A007AD"/>
    <w:rsid w:val="14638917"/>
    <w:rsid w:val="14DF4ED0"/>
    <w:rsid w:val="180C76DD"/>
    <w:rsid w:val="19FB4A82"/>
    <w:rsid w:val="1AB754A0"/>
    <w:rsid w:val="1C332632"/>
    <w:rsid w:val="1EBF7216"/>
    <w:rsid w:val="1EBFAD70"/>
    <w:rsid w:val="1FB9065F"/>
    <w:rsid w:val="205B6E84"/>
    <w:rsid w:val="21962BC0"/>
    <w:rsid w:val="22B6537E"/>
    <w:rsid w:val="28C73B19"/>
    <w:rsid w:val="293D410E"/>
    <w:rsid w:val="2DA04CEE"/>
    <w:rsid w:val="2E8B0370"/>
    <w:rsid w:val="31A53162"/>
    <w:rsid w:val="31F55F2B"/>
    <w:rsid w:val="328D2503"/>
    <w:rsid w:val="32AA4A0C"/>
    <w:rsid w:val="33B6F4BD"/>
    <w:rsid w:val="347C11F0"/>
    <w:rsid w:val="34D664D4"/>
    <w:rsid w:val="37504ED7"/>
    <w:rsid w:val="38312C76"/>
    <w:rsid w:val="383D0D54"/>
    <w:rsid w:val="3872420E"/>
    <w:rsid w:val="3A96397A"/>
    <w:rsid w:val="3AF80BD3"/>
    <w:rsid w:val="3D2A2AE0"/>
    <w:rsid w:val="3FCA7B57"/>
    <w:rsid w:val="417F2726"/>
    <w:rsid w:val="43465FFB"/>
    <w:rsid w:val="44D74862"/>
    <w:rsid w:val="44DA7AD2"/>
    <w:rsid w:val="44FF0457"/>
    <w:rsid w:val="4749512E"/>
    <w:rsid w:val="484550F4"/>
    <w:rsid w:val="486C6945"/>
    <w:rsid w:val="48E821E7"/>
    <w:rsid w:val="4933220D"/>
    <w:rsid w:val="4A531D0B"/>
    <w:rsid w:val="4A636C30"/>
    <w:rsid w:val="4AF938C7"/>
    <w:rsid w:val="4B1E0086"/>
    <w:rsid w:val="4C835172"/>
    <w:rsid w:val="4DA329F9"/>
    <w:rsid w:val="4DA46626"/>
    <w:rsid w:val="4EDE70A2"/>
    <w:rsid w:val="4EF640CD"/>
    <w:rsid w:val="4F750DBB"/>
    <w:rsid w:val="4FD3699B"/>
    <w:rsid w:val="535141C8"/>
    <w:rsid w:val="544F3AFD"/>
    <w:rsid w:val="54C12DE7"/>
    <w:rsid w:val="56767748"/>
    <w:rsid w:val="567E3344"/>
    <w:rsid w:val="56EC354E"/>
    <w:rsid w:val="57BC6FB2"/>
    <w:rsid w:val="58491E7B"/>
    <w:rsid w:val="58F51ADB"/>
    <w:rsid w:val="58F7641F"/>
    <w:rsid w:val="5B182FE7"/>
    <w:rsid w:val="5B806564"/>
    <w:rsid w:val="5C353321"/>
    <w:rsid w:val="5CFC0FB4"/>
    <w:rsid w:val="5DFF5B67"/>
    <w:rsid w:val="60C86750"/>
    <w:rsid w:val="61AB4433"/>
    <w:rsid w:val="626C51FE"/>
    <w:rsid w:val="668E1557"/>
    <w:rsid w:val="66CF25F4"/>
    <w:rsid w:val="673821D5"/>
    <w:rsid w:val="68157779"/>
    <w:rsid w:val="68E93D7B"/>
    <w:rsid w:val="6A3B7E06"/>
    <w:rsid w:val="6AF2389E"/>
    <w:rsid w:val="6D1B1833"/>
    <w:rsid w:val="6DE203A9"/>
    <w:rsid w:val="6E3C6476"/>
    <w:rsid w:val="6EDA41E8"/>
    <w:rsid w:val="6FFB91A7"/>
    <w:rsid w:val="71CD6891"/>
    <w:rsid w:val="726151F3"/>
    <w:rsid w:val="7267653B"/>
    <w:rsid w:val="73E0218B"/>
    <w:rsid w:val="73FFABFF"/>
    <w:rsid w:val="754005CB"/>
    <w:rsid w:val="76773841"/>
    <w:rsid w:val="76B1F273"/>
    <w:rsid w:val="76E50061"/>
    <w:rsid w:val="77601EA0"/>
    <w:rsid w:val="77E04E14"/>
    <w:rsid w:val="78ED6688"/>
    <w:rsid w:val="7A3B0580"/>
    <w:rsid w:val="7B4811D2"/>
    <w:rsid w:val="7DBF391D"/>
    <w:rsid w:val="7F7D579C"/>
    <w:rsid w:val="7F7E5ABA"/>
    <w:rsid w:val="7FDF9A3E"/>
    <w:rsid w:val="E6FF3D58"/>
    <w:rsid w:val="EFEFFF9C"/>
    <w:rsid w:val="EFFF47CC"/>
    <w:rsid w:val="FF3F0E37"/>
    <w:rsid w:val="FFBF30E7"/>
    <w:rsid w:val="FFFB502C"/>
    <w:rsid w:val="FFFCB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tLeast"/>
      <w:ind w:firstLine="420" w:firstLineChars="200"/>
    </w:pPr>
    <w:rPr>
      <w:rFonts w:eastAsia="仿宋_GB2312"/>
      <w:spacing w:val="-6"/>
      <w:sz w:val="32"/>
      <w:szCs w:val="20"/>
    </w:r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7"/>
    <w:unhideWhenUsed/>
    <w:qFormat/>
    <w:uiPriority w:val="99"/>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8"/>
    <w:qFormat/>
    <w:uiPriority w:val="0"/>
    <w:rPr>
      <w:sz w:val="18"/>
      <w:szCs w:val="18"/>
    </w:rPr>
  </w:style>
  <w:style w:type="paragraph" w:styleId="18">
    <w:name w:val="footer"/>
    <w:basedOn w:val="1"/>
    <w:link w:val="49"/>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semiHidden/>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0"/>
    <w:rPr>
      <w:i/>
    </w:rPr>
  </w:style>
  <w:style w:type="character" w:styleId="42">
    <w:name w:val="Hyperlink"/>
    <w:qFormat/>
    <w:uiPriority w:val="99"/>
    <w:rPr>
      <w:color w:val="0000FF"/>
      <w:spacing w:val="0"/>
      <w:w w:val="100"/>
      <w:szCs w:val="21"/>
      <w:u w:val="single"/>
    </w:rPr>
  </w:style>
  <w:style w:type="character" w:styleId="43">
    <w:name w:val="annotation reference"/>
    <w:unhideWhenUsed/>
    <w:qFormat/>
    <w:uiPriority w:val="99"/>
    <w:rPr>
      <w:sz w:val="21"/>
      <w:szCs w:val="21"/>
    </w:rPr>
  </w:style>
  <w:style w:type="character" w:styleId="44">
    <w:name w:val="footnote reference"/>
    <w:semiHidden/>
    <w:qFormat/>
    <w:uiPriority w:val="0"/>
    <w:rPr>
      <w:vertAlign w:val="superscript"/>
    </w:rPr>
  </w:style>
  <w:style w:type="paragraph" w:customStyle="1" w:styleId="45">
    <w:name w:val="_Style 1"/>
    <w:basedOn w:val="1"/>
    <w:next w:val="1"/>
    <w:qFormat/>
    <w:uiPriority w:val="99"/>
    <w:pPr>
      <w:ind w:firstLine="420"/>
    </w:pPr>
  </w:style>
  <w:style w:type="character" w:customStyle="1" w:styleId="46">
    <w:name w:val="标题 1 字符"/>
    <w:link w:val="3"/>
    <w:qFormat/>
    <w:uiPriority w:val="0"/>
    <w:rPr>
      <w:b/>
      <w:bCs/>
      <w:kern w:val="44"/>
      <w:sz w:val="44"/>
      <w:szCs w:val="44"/>
    </w:rPr>
  </w:style>
  <w:style w:type="character" w:customStyle="1" w:styleId="47">
    <w:name w:val="批注文字 字符"/>
    <w:link w:val="9"/>
    <w:qFormat/>
    <w:uiPriority w:val="99"/>
    <w:rPr>
      <w:kern w:val="2"/>
      <w:sz w:val="21"/>
      <w:szCs w:val="24"/>
    </w:rPr>
  </w:style>
  <w:style w:type="character" w:customStyle="1" w:styleId="48">
    <w:name w:val="批注框文本 字符"/>
    <w:link w:val="17"/>
    <w:qFormat/>
    <w:uiPriority w:val="0"/>
    <w:rPr>
      <w:kern w:val="2"/>
      <w:sz w:val="18"/>
      <w:szCs w:val="18"/>
    </w:rPr>
  </w:style>
  <w:style w:type="character" w:customStyle="1" w:styleId="49">
    <w:name w:val="页脚 字符"/>
    <w:link w:val="18"/>
    <w:qFormat/>
    <w:uiPriority w:val="99"/>
    <w:rPr>
      <w:kern w:val="2"/>
      <w:sz w:val="18"/>
      <w:szCs w:val="18"/>
    </w:rPr>
  </w:style>
  <w:style w:type="character" w:customStyle="1" w:styleId="50">
    <w:name w:val="段 Char"/>
    <w:link w:val="24"/>
    <w:qFormat/>
    <w:uiPriority w:val="0"/>
    <w:rPr>
      <w:rFonts w:ascii="宋体"/>
      <w:sz w:val="21"/>
      <w:lang w:val="en-US" w:eastAsia="zh-CN" w:bidi="ar-SA"/>
    </w:rPr>
  </w:style>
  <w:style w:type="character" w:customStyle="1" w:styleId="51">
    <w:name w:val="标准文件_段 Char"/>
    <w:link w:val="52"/>
    <w:qFormat/>
    <w:uiPriority w:val="0"/>
    <w:rPr>
      <w:rFonts w:ascii="宋体"/>
      <w:sz w:val="21"/>
    </w:rPr>
  </w:style>
  <w:style w:type="paragraph" w:customStyle="1" w:styleId="52">
    <w:name w:val="标准文件_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text_keo1f"/>
    <w:qFormat/>
    <w:uiPriority w:val="0"/>
  </w:style>
  <w:style w:type="character" w:customStyle="1" w:styleId="54">
    <w:name w:val="附录公式 Char"/>
    <w:link w:val="55"/>
    <w:qFormat/>
    <w:uiPriority w:val="0"/>
    <w:rPr>
      <w:lang w:val="en-US" w:eastAsia="zh-CN" w:bidi="ar-SA"/>
    </w:rPr>
  </w:style>
  <w:style w:type="paragraph" w:customStyle="1" w:styleId="55">
    <w:name w:val="附录公式"/>
    <w:basedOn w:val="24"/>
    <w:next w:val="24"/>
    <w:link w:val="54"/>
    <w:qFormat/>
    <w:uiPriority w:val="0"/>
  </w:style>
  <w:style w:type="character" w:customStyle="1" w:styleId="56">
    <w:name w:val="发布"/>
    <w:qFormat/>
    <w:uiPriority w:val="0"/>
    <w:rPr>
      <w:rFonts w:ascii="黑体" w:eastAsia="黑体"/>
      <w:spacing w:val="85"/>
      <w:w w:val="100"/>
      <w:position w:val="3"/>
      <w:sz w:val="28"/>
      <w:szCs w:val="28"/>
    </w:rPr>
  </w:style>
  <w:style w:type="character" w:customStyle="1" w:styleId="57">
    <w:name w:val="text-tag"/>
    <w:qFormat/>
    <w:uiPriority w:val="0"/>
  </w:style>
  <w:style w:type="character" w:customStyle="1" w:styleId="58">
    <w:name w:val="正文2 Char"/>
    <w:link w:val="59"/>
    <w:qFormat/>
    <w:uiPriority w:val="0"/>
    <w:rPr>
      <w:rFonts w:ascii="仿宋_GB2312" w:hAnsi="仿宋_GB2312" w:eastAsia="仿宋_GB2312"/>
      <w:kern w:val="2"/>
      <w:sz w:val="30"/>
      <w:szCs w:val="24"/>
    </w:rPr>
  </w:style>
  <w:style w:type="paragraph" w:customStyle="1" w:styleId="59">
    <w:name w:val="正文2"/>
    <w:basedOn w:val="1"/>
    <w:link w:val="58"/>
    <w:qFormat/>
    <w:uiPriority w:val="0"/>
    <w:pPr>
      <w:snapToGrid w:val="0"/>
      <w:spacing w:line="560" w:lineRule="exact"/>
      <w:ind w:firstLine="420" w:firstLineChars="200"/>
    </w:pPr>
    <w:rPr>
      <w:rFonts w:ascii="仿宋_GB2312" w:hAnsi="仿宋_GB2312" w:eastAsia="仿宋_GB2312"/>
      <w:sz w:val="30"/>
    </w:rPr>
  </w:style>
  <w:style w:type="character" w:customStyle="1" w:styleId="60">
    <w:name w:val="首示例 Char"/>
    <w:link w:val="61"/>
    <w:qFormat/>
    <w:uiPriority w:val="0"/>
    <w:rPr>
      <w:rFonts w:ascii="宋体" w:hAnsi="宋体"/>
      <w:kern w:val="2"/>
      <w:sz w:val="18"/>
      <w:szCs w:val="18"/>
      <w:lang w:val="en-US" w:eastAsia="zh-CN" w:bidi="ar-SA"/>
    </w:rPr>
  </w:style>
  <w:style w:type="paragraph" w:customStyle="1" w:styleId="61">
    <w:name w:val="首示例"/>
    <w:next w:val="24"/>
    <w:link w:val="60"/>
    <w:qFormat/>
    <w:uiPriority w:val="0"/>
    <w:pPr>
      <w:tabs>
        <w:tab w:val="left" w:pos="360"/>
      </w:tabs>
    </w:pPr>
    <w:rPr>
      <w:rFonts w:ascii="宋体" w:hAnsi="宋体" w:eastAsia="宋体" w:cs="Times New Roman"/>
      <w:kern w:val="2"/>
      <w:sz w:val="18"/>
      <w:szCs w:val="18"/>
      <w:lang w:val="en-US" w:eastAsia="zh-CN" w:bidi="ar-SA"/>
    </w:rPr>
  </w:style>
  <w:style w:type="character" w:customStyle="1" w:styleId="62">
    <w:name w:val="一级条标题 Char"/>
    <w:link w:val="63"/>
    <w:qFormat/>
    <w:locked/>
    <w:uiPriority w:val="0"/>
    <w:rPr>
      <w:rFonts w:ascii="黑体" w:eastAsia="黑体"/>
      <w:sz w:val="21"/>
      <w:szCs w:val="21"/>
      <w:lang w:bidi="ar-SA"/>
    </w:rPr>
  </w:style>
  <w:style w:type="paragraph" w:customStyle="1" w:styleId="63">
    <w:name w:val="一级条标题"/>
    <w:next w:val="24"/>
    <w:link w:val="6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65">
    <w:name w:val="四级无"/>
    <w:basedOn w:val="66"/>
    <w:qFormat/>
    <w:uiPriority w:val="0"/>
    <w:pPr>
      <w:spacing w:beforeLines="0" w:afterLines="0"/>
    </w:pPr>
    <w:rPr>
      <w:rFonts w:ascii="宋体" w:eastAsia="宋体"/>
    </w:rPr>
  </w:style>
  <w:style w:type="paragraph" w:customStyle="1" w:styleId="66">
    <w:name w:val="四级条标题"/>
    <w:basedOn w:val="67"/>
    <w:next w:val="24"/>
    <w:qFormat/>
    <w:uiPriority w:val="0"/>
    <w:pPr>
      <w:numPr>
        <w:ilvl w:val="4"/>
      </w:numPr>
      <w:outlineLvl w:val="5"/>
    </w:pPr>
  </w:style>
  <w:style w:type="paragraph" w:customStyle="1" w:styleId="67">
    <w:name w:val="三级条标题"/>
    <w:basedOn w:val="68"/>
    <w:next w:val="24"/>
    <w:qFormat/>
    <w:uiPriority w:val="0"/>
    <w:pPr>
      <w:numPr>
        <w:ilvl w:val="3"/>
        <w:numId w:val="2"/>
      </w:numPr>
      <w:outlineLvl w:val="4"/>
    </w:pPr>
  </w:style>
  <w:style w:type="paragraph" w:customStyle="1" w:styleId="68">
    <w:name w:val="二级条标题"/>
    <w:basedOn w:val="63"/>
    <w:next w:val="24"/>
    <w:qFormat/>
    <w:uiPriority w:val="0"/>
    <w:pPr>
      <w:numPr>
        <w:ilvl w:val="0"/>
        <w:numId w:val="0"/>
      </w:numPr>
      <w:spacing w:before="50" w:after="50"/>
      <w:ind w:left="993"/>
      <w:outlineLvl w:val="3"/>
    </w:pPr>
  </w:style>
  <w:style w:type="paragraph" w:customStyle="1" w:styleId="6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0">
    <w:name w:val="封面标准文稿编辑信息"/>
    <w:basedOn w:val="71"/>
    <w:qFormat/>
    <w:uiPriority w:val="0"/>
    <w:pPr>
      <w:framePr w:wrap="around"/>
      <w:spacing w:before="180" w:line="180" w:lineRule="exact"/>
    </w:pPr>
    <w:rPr>
      <w:sz w:val="21"/>
    </w:rPr>
  </w:style>
  <w:style w:type="paragraph" w:customStyle="1" w:styleId="71">
    <w:name w:val="封面标准文稿类别"/>
    <w:basedOn w:val="72"/>
    <w:qFormat/>
    <w:uiPriority w:val="0"/>
    <w:pPr>
      <w:framePr w:wrap="around"/>
      <w:spacing w:after="160" w:line="240" w:lineRule="auto"/>
    </w:pPr>
    <w:rPr>
      <w:sz w:val="24"/>
    </w:rPr>
  </w:style>
  <w:style w:type="paragraph" w:customStyle="1" w:styleId="72">
    <w:name w:val="封面一致性程度标识"/>
    <w:basedOn w:val="73"/>
    <w:qFormat/>
    <w:uiPriority w:val="0"/>
    <w:pPr>
      <w:framePr w:wrap="around"/>
      <w:spacing w:before="440"/>
    </w:pPr>
    <w:rPr>
      <w:rFonts w:ascii="宋体" w:eastAsia="宋体"/>
    </w:rPr>
  </w:style>
  <w:style w:type="paragraph" w:customStyle="1" w:styleId="73">
    <w:name w:val="封面标准英文名称"/>
    <w:basedOn w:val="74"/>
    <w:qFormat/>
    <w:uiPriority w:val="0"/>
    <w:pPr>
      <w:framePr w:wrap="around"/>
      <w:spacing w:before="370" w:line="400" w:lineRule="exact"/>
    </w:pPr>
    <w:rPr>
      <w:rFonts w:ascii="Times New Roman"/>
      <w:sz w:val="28"/>
      <w:szCs w:val="28"/>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二级无"/>
    <w:basedOn w:val="68"/>
    <w:qFormat/>
    <w:uiPriority w:val="0"/>
    <w:pPr>
      <w:spacing w:beforeLines="0" w:afterLines="0"/>
    </w:pPr>
    <w:rPr>
      <w:rFonts w:ascii="宋体" w:eastAsia="宋体"/>
    </w:rPr>
  </w:style>
  <w:style w:type="paragraph" w:customStyle="1" w:styleId="76">
    <w:name w:val="标准文件_章标题"/>
    <w:next w:val="52"/>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77">
    <w:name w:val="附录章标题"/>
    <w:next w:val="24"/>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列项◆（三级）"/>
    <w:basedOn w:val="1"/>
    <w:qFormat/>
    <w:uiPriority w:val="0"/>
    <w:pPr>
      <w:numPr>
        <w:ilvl w:val="2"/>
        <w:numId w:val="4"/>
      </w:numPr>
    </w:pPr>
    <w:rPr>
      <w:rFonts w:ascii="宋体"/>
      <w:szCs w:val="21"/>
    </w:rPr>
  </w:style>
  <w:style w:type="paragraph" w:customStyle="1" w:styleId="79">
    <w:name w:val="终结线"/>
    <w:basedOn w:val="1"/>
    <w:qFormat/>
    <w:uiPriority w:val="0"/>
    <w:pPr>
      <w:framePr w:hSpace="181" w:vSpace="181" w:wrap="around" w:vAnchor="text" w:hAnchor="margin" w:xAlign="center" w:y="285"/>
    </w:p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三级无"/>
    <w:basedOn w:val="67"/>
    <w:qFormat/>
    <w:uiPriority w:val="0"/>
    <w:pPr>
      <w:spacing w:beforeLines="0" w:afterLines="0"/>
    </w:pPr>
    <w:rPr>
      <w:rFonts w:ascii="宋体" w:eastAsia="宋体"/>
    </w:rPr>
  </w:style>
  <w:style w:type="paragraph" w:customStyle="1" w:styleId="8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3">
    <w:name w:val="条文脚注"/>
    <w:basedOn w:val="25"/>
    <w:qFormat/>
    <w:uiPriority w:val="0"/>
    <w:pPr>
      <w:numPr>
        <w:numId w:val="0"/>
      </w:numPr>
      <w:jc w:val="both"/>
    </w:pPr>
  </w:style>
  <w:style w:type="paragraph" w:customStyle="1" w:styleId="8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5">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6">
    <w:name w:val="附录图标题"/>
    <w:basedOn w:val="1"/>
    <w:next w:val="2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8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8">
    <w:name w:val="标准文件_一级条标题"/>
    <w:basedOn w:val="76"/>
    <w:next w:val="52"/>
    <w:qFormat/>
    <w:uiPriority w:val="0"/>
    <w:pPr>
      <w:numPr>
        <w:ilvl w:val="2"/>
        <w:numId w:val="2"/>
      </w:numPr>
      <w:spacing w:beforeLines="50" w:afterLines="50"/>
      <w:outlineLvl w:val="1"/>
    </w:pPr>
    <w:rPr>
      <w:rFonts w:hAnsi="Calibri"/>
    </w:r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封面标准名称2"/>
    <w:basedOn w:val="74"/>
    <w:qFormat/>
    <w:uiPriority w:val="0"/>
    <w:pPr>
      <w:framePr w:wrap="around" w:y="4469"/>
      <w:spacing w:beforeLines="630"/>
    </w:pPr>
  </w:style>
  <w:style w:type="paragraph" w:customStyle="1" w:styleId="91">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92">
    <w:name w:val="附录二级条标题"/>
    <w:basedOn w:val="1"/>
    <w:next w:val="24"/>
    <w:qFormat/>
    <w:uiPriority w:val="0"/>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表标号"/>
    <w:basedOn w:val="1"/>
    <w:next w:val="24"/>
    <w:qFormat/>
    <w:uiPriority w:val="0"/>
    <w:pPr>
      <w:spacing w:line="14" w:lineRule="exact"/>
      <w:jc w:val="center"/>
      <w:outlineLvl w:val="0"/>
    </w:pPr>
    <w:rPr>
      <w:color w:val="FFFFFF"/>
    </w:rPr>
  </w:style>
  <w:style w:type="paragraph" w:customStyle="1" w:styleId="9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6">
    <w:name w:val="封面标准文稿编辑信息2"/>
    <w:basedOn w:val="70"/>
    <w:qFormat/>
    <w:uiPriority w:val="0"/>
    <w:pPr>
      <w:framePr w:wrap="around" w:y="4469"/>
    </w:pPr>
  </w:style>
  <w:style w:type="paragraph" w:customStyle="1" w:styleId="97">
    <w:name w:val="五级无"/>
    <w:basedOn w:val="98"/>
    <w:qFormat/>
    <w:uiPriority w:val="0"/>
    <w:pPr>
      <w:spacing w:beforeLines="0" w:afterLines="0"/>
    </w:pPr>
    <w:rPr>
      <w:rFonts w:ascii="宋体" w:eastAsia="宋体"/>
    </w:rPr>
  </w:style>
  <w:style w:type="paragraph" w:customStyle="1" w:styleId="98">
    <w:name w:val="五级条标题"/>
    <w:basedOn w:val="66"/>
    <w:next w:val="24"/>
    <w:qFormat/>
    <w:uiPriority w:val="0"/>
    <w:pPr>
      <w:numPr>
        <w:ilvl w:val="0"/>
        <w:numId w:val="0"/>
      </w:numPr>
      <w:outlineLvl w:val="6"/>
    </w:pPr>
  </w:style>
  <w:style w:type="paragraph" w:customStyle="1" w:styleId="99">
    <w:name w:val="数字编号列项（二级）"/>
    <w:qFormat/>
    <w:uiPriority w:val="0"/>
    <w:pPr>
      <w:tabs>
        <w:tab w:val="left" w:pos="1259"/>
      </w:tabs>
      <w:jc w:val="both"/>
    </w:pPr>
    <w:rPr>
      <w:rFonts w:ascii="宋体" w:hAnsi="Times New Roman" w:eastAsia="宋体" w:cs="Times New Roman"/>
      <w:sz w:val="21"/>
      <w:lang w:val="en-US" w:eastAsia="zh-CN" w:bidi="ar-SA"/>
    </w:rPr>
  </w:style>
  <w:style w:type="paragraph" w:customStyle="1" w:styleId="100">
    <w:name w:val="封面标准英文名称2"/>
    <w:basedOn w:val="73"/>
    <w:qFormat/>
    <w:uiPriority w:val="0"/>
    <w:pPr>
      <w:framePr w:wrap="around" w:y="4469"/>
    </w:pPr>
  </w:style>
  <w:style w:type="paragraph" w:customStyle="1" w:styleId="101">
    <w:name w:val="其他发布部门"/>
    <w:basedOn w:val="87"/>
    <w:qFormat/>
    <w:uiPriority w:val="0"/>
    <w:pPr>
      <w:framePr w:wrap="around" w:y="15310"/>
      <w:spacing w:line="0" w:lineRule="atLeast"/>
    </w:pPr>
    <w:rPr>
      <w:rFonts w:ascii="黑体" w:eastAsia="黑体"/>
      <w:b w:val="0"/>
    </w:rPr>
  </w:style>
  <w:style w:type="paragraph" w:customStyle="1" w:styleId="102">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03">
    <w:name w:val="封面一致性程度标识2"/>
    <w:basedOn w:val="72"/>
    <w:qFormat/>
    <w:uiPriority w:val="0"/>
    <w:pPr>
      <w:framePr w:wrap="around" w:y="4469"/>
    </w:pPr>
  </w:style>
  <w:style w:type="paragraph" w:customStyle="1" w:styleId="104">
    <w:name w:val="附录标识"/>
    <w:basedOn w:val="1"/>
    <w:next w:val="24"/>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105">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06">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07">
    <w:name w:val="附录五级条标题"/>
    <w:basedOn w:val="108"/>
    <w:next w:val="24"/>
    <w:qFormat/>
    <w:uiPriority w:val="0"/>
    <w:pPr>
      <w:outlineLvl w:val="6"/>
    </w:pPr>
  </w:style>
  <w:style w:type="paragraph" w:customStyle="1" w:styleId="108">
    <w:name w:val="附录四级条标题"/>
    <w:basedOn w:val="109"/>
    <w:next w:val="24"/>
    <w:qFormat/>
    <w:uiPriority w:val="0"/>
    <w:pPr>
      <w:outlineLvl w:val="5"/>
    </w:pPr>
  </w:style>
  <w:style w:type="paragraph" w:customStyle="1" w:styleId="109">
    <w:name w:val="附录三级条标题"/>
    <w:basedOn w:val="92"/>
    <w:next w:val="24"/>
    <w:qFormat/>
    <w:uiPriority w:val="0"/>
    <w:pPr>
      <w:outlineLvl w:val="4"/>
    </w:pPr>
  </w:style>
  <w:style w:type="paragraph" w:customStyle="1" w:styleId="110">
    <w:name w:val="一级无"/>
    <w:basedOn w:val="63"/>
    <w:qFormat/>
    <w:uiPriority w:val="0"/>
    <w:pPr>
      <w:spacing w:beforeLines="0" w:afterLines="0"/>
    </w:pPr>
    <w:rPr>
      <w:rFonts w:ascii="宋体" w:eastAsia="宋体"/>
    </w:rPr>
  </w:style>
  <w:style w:type="paragraph" w:customStyle="1" w:styleId="11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其他发布日期"/>
    <w:basedOn w:val="94"/>
    <w:qFormat/>
    <w:uiPriority w:val="0"/>
    <w:pPr>
      <w:framePr w:wrap="around" w:vAnchor="page" w:hAnchor="text" w:x="1419"/>
    </w:pPr>
  </w:style>
  <w:style w:type="paragraph" w:customStyle="1" w:styleId="115">
    <w:name w:val="示例后文字"/>
    <w:basedOn w:val="24"/>
    <w:next w:val="24"/>
    <w:qFormat/>
    <w:uiPriority w:val="0"/>
    <w:pPr>
      <w:ind w:firstLine="360"/>
    </w:pPr>
    <w:rPr>
      <w:sz w:val="18"/>
    </w:rPr>
  </w:style>
  <w:style w:type="paragraph" w:customStyle="1" w:styleId="116">
    <w:name w:val="注：（正文）"/>
    <w:basedOn w:val="84"/>
    <w:next w:val="24"/>
    <w:qFormat/>
    <w:uiPriority w:val="0"/>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9">
    <w:name w:val="实施日期"/>
    <w:basedOn w:val="94"/>
    <w:qFormat/>
    <w:uiPriority w:val="0"/>
    <w:pPr>
      <w:framePr w:wrap="around" w:vAnchor="page" w:hAnchor="text"/>
      <w:jc w:val="right"/>
    </w:pPr>
  </w:style>
  <w:style w:type="paragraph" w:customStyle="1" w:styleId="120">
    <w:name w:val="其他标准标志"/>
    <w:basedOn w:val="113"/>
    <w:qFormat/>
    <w:uiPriority w:val="0"/>
    <w:pPr>
      <w:framePr w:w="6101" w:wrap="around" w:vAnchor="page" w:hAnchor="page" w:x="4673" w:y="942"/>
    </w:pPr>
    <w:rPr>
      <w:w w:val="130"/>
    </w:rPr>
  </w:style>
  <w:style w:type="paragraph" w:customStyle="1" w:styleId="121">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3">
    <w:name w:val="标准书眉_偶数页"/>
    <w:basedOn w:val="124"/>
    <w:next w:val="1"/>
    <w:qFormat/>
    <w:uiPriority w:val="0"/>
    <w:pPr>
      <w:tabs>
        <w:tab w:val="center" w:pos="4154"/>
        <w:tab w:val="right" w:pos="8306"/>
      </w:tabs>
      <w:jc w:val="left"/>
    </w:pPr>
  </w:style>
  <w:style w:type="paragraph" w:customStyle="1" w:styleId="1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_Style 125"/>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附录五级无"/>
    <w:basedOn w:val="107"/>
    <w:qFormat/>
    <w:uiPriority w:val="0"/>
    <w:pPr>
      <w:spacing w:beforeLines="0" w:afterLines="0"/>
    </w:pPr>
    <w:rPr>
      <w:rFonts w:ascii="宋体" w:eastAsia="宋体"/>
      <w:szCs w:val="21"/>
    </w:rPr>
  </w:style>
  <w:style w:type="paragraph" w:customStyle="1" w:styleId="129">
    <w:name w:val="注×：（正文）"/>
    <w:qFormat/>
    <w:uiPriority w:val="0"/>
    <w:pPr>
      <w:numPr>
        <w:ilvl w:val="0"/>
        <w:numId w:val="8"/>
      </w:numPr>
      <w:ind w:left="811"/>
      <w:jc w:val="both"/>
    </w:pPr>
    <w:rPr>
      <w:rFonts w:ascii="宋体" w:hAnsi="Times New Roman" w:eastAsia="宋体" w:cs="Times New Roman"/>
      <w:sz w:val="18"/>
      <w:szCs w:val="18"/>
      <w:lang w:val="en-US" w:eastAsia="zh-CN" w:bidi="ar-SA"/>
    </w:rPr>
  </w:style>
  <w:style w:type="paragraph" w:customStyle="1" w:styleId="130">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2">
    <w:name w:val="附录三级无"/>
    <w:basedOn w:val="109"/>
    <w:qFormat/>
    <w:uiPriority w:val="0"/>
    <w:pPr>
      <w:spacing w:beforeLines="0" w:afterLines="0"/>
    </w:pPr>
    <w:rPr>
      <w:rFonts w:ascii="宋体" w:eastAsia="宋体"/>
      <w:szCs w:val="21"/>
    </w:rPr>
  </w:style>
  <w:style w:type="paragraph" w:customStyle="1" w:styleId="13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4">
    <w:name w:val="图表脚注说明"/>
    <w:basedOn w:val="1"/>
    <w:qFormat/>
    <w:uiPriority w:val="0"/>
    <w:pPr>
      <w:ind w:left="544" w:hanging="181"/>
    </w:pPr>
    <w:rPr>
      <w:rFonts w:ascii="宋体"/>
      <w:sz w:val="18"/>
      <w:szCs w:val="18"/>
    </w:rPr>
  </w:style>
  <w:style w:type="paragraph" w:customStyle="1" w:styleId="13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6">
    <w:name w:val="其他实施日期"/>
    <w:basedOn w:val="119"/>
    <w:qFormat/>
    <w:uiPriority w:val="0"/>
    <w:pPr>
      <w:framePr w:wrap="around"/>
    </w:pPr>
  </w:style>
  <w:style w:type="paragraph" w:customStyle="1" w:styleId="137">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139">
    <w:name w:val="示例"/>
    <w:next w:val="14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4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41">
    <w:name w:val="附录二级无"/>
    <w:basedOn w:val="92"/>
    <w:qFormat/>
    <w:uiPriority w:val="0"/>
    <w:pPr>
      <w:spacing w:beforeLines="0" w:afterLines="0"/>
    </w:pPr>
    <w:rPr>
      <w:rFonts w:ascii="宋体" w:eastAsia="宋体"/>
      <w:szCs w:val="21"/>
    </w:rPr>
  </w:style>
  <w:style w:type="paragraph" w:customStyle="1" w:styleId="14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3">
    <w:name w:val="字母编号列项（一级）"/>
    <w:qFormat/>
    <w:uiPriority w:val="99"/>
    <w:pPr>
      <w:numPr>
        <w:ilvl w:val="0"/>
        <w:numId w:val="6"/>
      </w:numPr>
      <w:jc w:val="both"/>
    </w:pPr>
    <w:rPr>
      <w:rFonts w:ascii="宋体" w:hAnsi="Times New Roman" w:eastAsia="宋体" w:cs="Times New Roman"/>
      <w:sz w:val="21"/>
      <w:lang w:val="en-US" w:eastAsia="zh-CN" w:bidi="ar-SA"/>
    </w:rPr>
  </w:style>
  <w:style w:type="paragraph" w:customStyle="1" w:styleId="144">
    <w:name w:val="示例×："/>
    <w:basedOn w:val="82"/>
    <w:qFormat/>
    <w:uiPriority w:val="0"/>
    <w:pPr>
      <w:numPr>
        <w:numId w:val="0"/>
      </w:numPr>
      <w:spacing w:beforeLines="0" w:afterLines="0"/>
      <w:ind w:firstLine="363"/>
      <w:outlineLvl w:val="9"/>
    </w:pPr>
    <w:rPr>
      <w:rFonts w:ascii="宋体" w:eastAsia="宋体"/>
      <w:sz w:val="18"/>
      <w:szCs w:val="18"/>
    </w:rPr>
  </w:style>
  <w:style w:type="paragraph" w:customStyle="1" w:styleId="145">
    <w:name w:val="封面标准文稿类别2"/>
    <w:basedOn w:val="71"/>
    <w:qFormat/>
    <w:uiPriority w:val="0"/>
    <w:pPr>
      <w:framePr w:wrap="around" w:y="4469"/>
    </w:pPr>
  </w:style>
  <w:style w:type="paragraph" w:customStyle="1" w:styleId="146">
    <w:name w:val="附录一级条标题"/>
    <w:basedOn w:val="77"/>
    <w:next w:val="24"/>
    <w:qFormat/>
    <w:uiPriority w:val="0"/>
    <w:pPr>
      <w:autoSpaceDN w:val="0"/>
      <w:spacing w:beforeLines="50" w:afterLines="50"/>
      <w:outlineLvl w:val="2"/>
    </w:pPr>
  </w:style>
  <w:style w:type="paragraph" w:customStyle="1" w:styleId="147">
    <w:name w:val="图标脚注说明"/>
    <w:basedOn w:val="24"/>
    <w:qFormat/>
    <w:uiPriority w:val="0"/>
    <w:pPr>
      <w:ind w:left="840" w:hanging="420" w:firstLineChars="0"/>
    </w:pPr>
    <w:rPr>
      <w:sz w:val="18"/>
      <w:szCs w:val="18"/>
    </w:rPr>
  </w:style>
  <w:style w:type="paragraph" w:customStyle="1" w:styleId="1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150">
    <w:name w:val="附录表标题"/>
    <w:basedOn w:val="1"/>
    <w:next w:val="24"/>
    <w:qFormat/>
    <w:uiPriority w:val="0"/>
    <w:pPr>
      <w:spacing w:beforeLines="50" w:afterLines="50"/>
      <w:jc w:val="center"/>
    </w:pPr>
    <w:rPr>
      <w:rFonts w:ascii="黑体" w:eastAsia="黑体"/>
      <w:szCs w:val="21"/>
    </w:rPr>
  </w:style>
  <w:style w:type="paragraph" w:customStyle="1" w:styleId="151">
    <w:name w:val="附录标题"/>
    <w:basedOn w:val="24"/>
    <w:next w:val="24"/>
    <w:qFormat/>
    <w:uiPriority w:val="0"/>
    <w:pPr>
      <w:ind w:firstLine="0" w:firstLineChars="0"/>
      <w:jc w:val="center"/>
    </w:pPr>
    <w:rPr>
      <w:rFonts w:ascii="黑体" w:eastAsia="黑体"/>
    </w:rPr>
  </w:style>
  <w:style w:type="paragraph" w:customStyle="1" w:styleId="152">
    <w:name w:val="附录一级无"/>
    <w:basedOn w:val="146"/>
    <w:qFormat/>
    <w:uiPriority w:val="0"/>
    <w:pPr>
      <w:spacing w:beforeLines="0" w:afterLines="0"/>
    </w:pPr>
    <w:rPr>
      <w:rFonts w:ascii="宋体" w:eastAsia="宋体"/>
      <w:szCs w:val="21"/>
    </w:rPr>
  </w:style>
  <w:style w:type="paragraph" w:customStyle="1" w:styleId="153">
    <w:name w:val="附录四级无"/>
    <w:basedOn w:val="108"/>
    <w:qFormat/>
    <w:uiPriority w:val="0"/>
    <w:pPr>
      <w:spacing w:beforeLines="0" w:afterLines="0"/>
    </w:pPr>
    <w:rPr>
      <w:rFonts w:ascii="宋体" w:eastAsia="宋体"/>
      <w:szCs w:val="21"/>
    </w:rPr>
  </w:style>
  <w:style w:type="paragraph" w:customStyle="1" w:styleId="1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styleId="15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公式编号制表符"/>
    <w:basedOn w:val="24"/>
    <w:next w:val="24"/>
    <w:qFormat/>
    <w:uiPriority w:val="0"/>
    <w:pPr>
      <w:ind w:firstLine="0" w:firstLineChars="0"/>
    </w:pPr>
  </w:style>
  <w:style w:type="paragraph" w:customStyle="1" w:styleId="157">
    <w:name w:val="正文表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table" w:customStyle="1" w:styleId="158">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5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0">
    <w:name w:val="标准文件_二级条标题"/>
    <w:next w:val="52"/>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1">
    <w:name w:val="标准文件_三级条标题"/>
    <w:basedOn w:val="160"/>
    <w:next w:val="52"/>
    <w:qFormat/>
    <w:uiPriority w:val="0"/>
    <w:pPr>
      <w:widowControl/>
      <w:outlineLvl w:val="3"/>
    </w:pPr>
  </w:style>
  <w:style w:type="paragraph" w:customStyle="1" w:styleId="162">
    <w:name w:val="标准文件_四级条标题"/>
    <w:next w:val="52"/>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3">
    <w:name w:val="标准文件_五级条标题"/>
    <w:next w:val="52"/>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64">
    <w:name w:val="标准文件_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65">
    <w:name w:val="标准文件_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6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7">
    <w:name w:val="标准文件_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68">
    <w:name w:val="标准文件_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69">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70">
    <w:name w:val="标准文件_四级无标题"/>
    <w:basedOn w:val="162"/>
    <w:qFormat/>
    <w:uiPriority w:val="0"/>
    <w:pPr>
      <w:numPr>
        <w:ilvl w:val="5"/>
        <w:numId w:val="2"/>
      </w:numPr>
      <w:spacing w:before="0" w:beforeLines="0" w:after="0" w:afterLines="0"/>
      <w:outlineLvl w:val="9"/>
    </w:pPr>
    <w:rPr>
      <w:rFonts w:ascii="宋体" w:hAnsi="黑体" w:eastAsia="宋体"/>
      <w:szCs w:val="52"/>
    </w:rPr>
  </w:style>
  <w:style w:type="paragraph" w:customStyle="1" w:styleId="171">
    <w:name w:val="标准文件_三级项"/>
    <w:basedOn w:val="1"/>
    <w:qFormat/>
    <w:uiPriority w:val="0"/>
    <w:pPr>
      <w:adjustRightInd w:val="0"/>
      <w:spacing w:line="536870612" w:lineRule="auto"/>
      <w:ind w:left="851" w:hanging="426"/>
    </w:pPr>
    <w:rPr>
      <w:szCs w:val="21"/>
    </w:rPr>
  </w:style>
  <w:style w:type="paragraph" w:customStyle="1" w:styleId="172">
    <w:name w:val="标准文件_二级项2"/>
    <w:basedOn w:val="52"/>
    <w:qFormat/>
    <w:uiPriority w:val="0"/>
    <w:pPr>
      <w:ind w:left="1271" w:hanging="420" w:firstLineChars="0"/>
    </w:pPr>
  </w:style>
  <w:style w:type="paragraph" w:customStyle="1" w:styleId="17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1587</Words>
  <Characters>9049</Characters>
  <Lines>75</Lines>
  <Paragraphs>21</Paragraphs>
  <TotalTime>1</TotalTime>
  <ScaleCrop>false</ScaleCrop>
  <LinksUpToDate>false</LinksUpToDate>
  <CharactersWithSpaces>10615</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2024-05-24T17:32:00Z</dcterms:created>
  <dc:creator>Microsoft</dc:creator>
  <cp:lastModifiedBy>ZP</cp:lastModifiedBy>
  <cp:lastPrinted>2024-05-24T01:19:00Z</cp:lastPrinted>
  <dcterms:modified xsi:type="dcterms:W3CDTF">2024-05-30T16:59:39Z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7C222F8FD8B3ED31FB3F5866A5BCD609_43</vt:lpwstr>
  </property>
</Properties>
</file>