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52" w:rsidRPr="00B40536" w:rsidRDefault="00D10B52" w:rsidP="00B40536">
      <w:pPr>
        <w:spacing w:line="560" w:lineRule="exact"/>
        <w:rPr>
          <w:rFonts w:eastAsia="仿宋_GB2312"/>
          <w:sz w:val="32"/>
          <w:szCs w:val="32"/>
        </w:rPr>
      </w:pPr>
      <w:bookmarkStart w:id="0" w:name="_Hlk32919828"/>
      <w:r w:rsidRPr="00B40536">
        <w:rPr>
          <w:rFonts w:eastAsia="仿宋_GB2312" w:hint="eastAsia"/>
          <w:sz w:val="32"/>
          <w:szCs w:val="32"/>
        </w:rPr>
        <w:t>附件</w:t>
      </w:r>
      <w:r w:rsidR="00B40536">
        <w:rPr>
          <w:rFonts w:eastAsia="仿宋_GB2312" w:hint="eastAsia"/>
          <w:sz w:val="32"/>
          <w:szCs w:val="32"/>
        </w:rPr>
        <w:t>：</w:t>
      </w:r>
    </w:p>
    <w:bookmarkEnd w:id="0"/>
    <w:p w:rsidR="007916C0" w:rsidRPr="007916C0" w:rsidRDefault="007916C0" w:rsidP="007916C0">
      <w:pPr>
        <w:jc w:val="center"/>
        <w:rPr>
          <w:rFonts w:ascii="方正小标宋简体" w:eastAsia="方正小标宋简体" w:hAnsi="宋体" w:cs="宋体"/>
          <w:bCs/>
          <w:sz w:val="44"/>
          <w:szCs w:val="44"/>
        </w:rPr>
      </w:pPr>
      <w:r w:rsidRPr="007916C0">
        <w:rPr>
          <w:rFonts w:ascii="方正小标宋简体" w:eastAsia="方正小标宋简体" w:hAnsi="宋体" w:cs="宋体" w:hint="eastAsia"/>
          <w:bCs/>
          <w:sz w:val="44"/>
          <w:szCs w:val="44"/>
        </w:rPr>
        <w:t>2020年度</w:t>
      </w:r>
      <w:proofErr w:type="gramStart"/>
      <w:r w:rsidRPr="007916C0">
        <w:rPr>
          <w:rFonts w:ascii="方正小标宋简体" w:eastAsia="方正小标宋简体" w:hAnsi="宋体" w:cs="宋体" w:hint="eastAsia"/>
          <w:bCs/>
          <w:sz w:val="44"/>
          <w:szCs w:val="44"/>
        </w:rPr>
        <w:t>安责险</w:t>
      </w:r>
      <w:proofErr w:type="gramEnd"/>
      <w:r w:rsidRPr="007916C0">
        <w:rPr>
          <w:rFonts w:ascii="方正小标宋简体" w:eastAsia="方正小标宋简体" w:hAnsi="宋体" w:cs="宋体" w:hint="eastAsia"/>
          <w:bCs/>
          <w:sz w:val="44"/>
          <w:szCs w:val="44"/>
        </w:rPr>
        <w:t>保险服务评价表</w:t>
      </w:r>
    </w:p>
    <w:p w:rsidR="007916C0" w:rsidRDefault="007916C0" w:rsidP="007916C0">
      <w:pPr>
        <w:rPr>
          <w:rFonts w:ascii="宋体" w:eastAsia="宋体" w:hAnsi="宋体" w:cs="宋体"/>
          <w:b/>
          <w:bCs/>
          <w:sz w:val="24"/>
          <w:szCs w:val="24"/>
        </w:rPr>
      </w:pPr>
    </w:p>
    <w:p w:rsidR="007916C0" w:rsidRDefault="007916C0" w:rsidP="007916C0">
      <w:pPr>
        <w:rPr>
          <w:rFonts w:ascii="宋体" w:eastAsia="宋体" w:hAnsi="宋体" w:cs="宋体"/>
          <w:b/>
          <w:bCs/>
          <w:sz w:val="24"/>
          <w:szCs w:val="24"/>
        </w:rPr>
      </w:pPr>
      <w:r>
        <w:rPr>
          <w:rFonts w:ascii="宋体" w:eastAsia="宋体" w:hAnsi="宋体" w:cs="宋体" w:hint="eastAsia"/>
          <w:b/>
          <w:bCs/>
          <w:sz w:val="24"/>
          <w:szCs w:val="24"/>
        </w:rPr>
        <w:t>单位（加盖公章）：                        联系人：           填表日期：</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4"/>
        <w:gridCol w:w="1154"/>
        <w:gridCol w:w="3174"/>
        <w:gridCol w:w="660"/>
        <w:gridCol w:w="729"/>
        <w:gridCol w:w="920"/>
        <w:gridCol w:w="674"/>
        <w:gridCol w:w="674"/>
        <w:gridCol w:w="701"/>
      </w:tblGrid>
      <w:tr w:rsidR="007916C0" w:rsidTr="00AD00AA">
        <w:trPr>
          <w:trHeight w:val="495"/>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115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考核项目</w:t>
            </w:r>
          </w:p>
        </w:tc>
        <w:tc>
          <w:tcPr>
            <w:tcW w:w="317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考核内容</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分值</w:t>
            </w:r>
          </w:p>
        </w:tc>
        <w:tc>
          <w:tcPr>
            <w:tcW w:w="729"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人保</w:t>
            </w:r>
          </w:p>
        </w:tc>
        <w:tc>
          <w:tcPr>
            <w:tcW w:w="92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太平洋</w:t>
            </w:r>
          </w:p>
        </w:tc>
        <w:tc>
          <w:tcPr>
            <w:tcW w:w="67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太平</w:t>
            </w:r>
          </w:p>
        </w:tc>
        <w:tc>
          <w:tcPr>
            <w:tcW w:w="67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国寿</w:t>
            </w:r>
          </w:p>
        </w:tc>
        <w:tc>
          <w:tcPr>
            <w:tcW w:w="701"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平安</w:t>
            </w:r>
          </w:p>
        </w:tc>
      </w:tr>
      <w:tr w:rsidR="007916C0" w:rsidTr="00AD00AA">
        <w:trPr>
          <w:trHeight w:val="1260"/>
          <w:jc w:val="center"/>
        </w:trPr>
        <w:tc>
          <w:tcPr>
            <w:tcW w:w="71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1</w:t>
            </w:r>
          </w:p>
        </w:tc>
        <w:tc>
          <w:tcPr>
            <w:tcW w:w="115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组织机构（10分）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是否设立专门的</w:t>
            </w:r>
            <w:proofErr w:type="gramStart"/>
            <w:r>
              <w:rPr>
                <w:rFonts w:ascii="宋体" w:eastAsia="宋体" w:hAnsi="宋体" w:cs="宋体" w:hint="eastAsia"/>
                <w:color w:val="000000"/>
                <w:kern w:val="0"/>
                <w:sz w:val="24"/>
                <w:szCs w:val="24"/>
              </w:rPr>
              <w:t>安责险</w:t>
            </w:r>
            <w:proofErr w:type="gramEnd"/>
            <w:r>
              <w:rPr>
                <w:rFonts w:ascii="宋体" w:eastAsia="宋体" w:hAnsi="宋体" w:cs="宋体" w:hint="eastAsia"/>
                <w:color w:val="000000"/>
                <w:kern w:val="0"/>
                <w:sz w:val="24"/>
                <w:szCs w:val="24"/>
              </w:rPr>
              <w:t>服务团队；支公司主管领导是否重视此项工作；培训人员是否专业。（每项2分）</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260"/>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一线服务人员专业素质、沟通技巧等能力是否满足</w:t>
            </w:r>
            <w:proofErr w:type="gramStart"/>
            <w:r>
              <w:rPr>
                <w:rFonts w:ascii="宋体" w:eastAsia="宋体" w:hAnsi="宋体" w:cs="宋体" w:hint="eastAsia"/>
                <w:color w:val="000000"/>
                <w:kern w:val="0"/>
                <w:sz w:val="24"/>
                <w:szCs w:val="24"/>
              </w:rPr>
              <w:t>安责险推动</w:t>
            </w:r>
            <w:proofErr w:type="gramEnd"/>
            <w:r>
              <w:rPr>
                <w:rFonts w:ascii="宋体" w:eastAsia="宋体" w:hAnsi="宋体" w:cs="宋体" w:hint="eastAsia"/>
                <w:color w:val="000000"/>
                <w:kern w:val="0"/>
                <w:sz w:val="24"/>
                <w:szCs w:val="24"/>
              </w:rPr>
              <w:t>工作要求，没有相关问题反映。</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915"/>
          <w:jc w:val="center"/>
        </w:trPr>
        <w:tc>
          <w:tcPr>
            <w:tcW w:w="71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2</w:t>
            </w:r>
          </w:p>
        </w:tc>
        <w:tc>
          <w:tcPr>
            <w:tcW w:w="115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运营服务（12分）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服务的积极性、主动性；是否建立经常性沟通机制。</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380"/>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是否能配合政府有关部门召开宣导会，为企业提供现场承保服务，与企业建立联系并及时跟进服务，没有相关问题反映。</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125"/>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是否能积极参加有关政府部门组织召开的各</w:t>
            </w:r>
            <w:proofErr w:type="gramStart"/>
            <w:r>
              <w:rPr>
                <w:rFonts w:ascii="宋体" w:eastAsia="宋体" w:hAnsi="宋体" w:cs="宋体" w:hint="eastAsia"/>
                <w:color w:val="000000"/>
                <w:kern w:val="0"/>
                <w:sz w:val="24"/>
                <w:szCs w:val="24"/>
              </w:rPr>
              <w:t>类安责</w:t>
            </w:r>
            <w:proofErr w:type="gramEnd"/>
            <w:r>
              <w:rPr>
                <w:rFonts w:ascii="宋体" w:eastAsia="宋体" w:hAnsi="宋体" w:cs="宋体" w:hint="eastAsia"/>
                <w:color w:val="000000"/>
                <w:kern w:val="0"/>
                <w:sz w:val="24"/>
                <w:szCs w:val="24"/>
              </w:rPr>
              <w:t>险工作会、沟通会、座谈会等。</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260"/>
          <w:jc w:val="center"/>
        </w:trPr>
        <w:tc>
          <w:tcPr>
            <w:tcW w:w="71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3</w:t>
            </w:r>
          </w:p>
        </w:tc>
        <w:tc>
          <w:tcPr>
            <w:tcW w:w="115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承保服务（10分）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对保险公司推动工作的满意度评价；</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765"/>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是否达到该保险公司预期的参保企业目标。</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260"/>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是否能严格执行</w:t>
            </w:r>
            <w:proofErr w:type="gramStart"/>
            <w:r>
              <w:rPr>
                <w:rFonts w:ascii="宋体" w:eastAsia="宋体" w:hAnsi="宋体" w:cs="宋体" w:hint="eastAsia"/>
                <w:color w:val="000000"/>
                <w:kern w:val="0"/>
                <w:sz w:val="24"/>
                <w:szCs w:val="24"/>
              </w:rPr>
              <w:t>安责险产品</w:t>
            </w:r>
            <w:proofErr w:type="gramEnd"/>
            <w:r>
              <w:rPr>
                <w:rFonts w:ascii="宋体" w:eastAsia="宋体" w:hAnsi="宋体" w:cs="宋体" w:hint="eastAsia"/>
                <w:color w:val="000000"/>
                <w:kern w:val="0"/>
                <w:sz w:val="24"/>
                <w:szCs w:val="24"/>
              </w:rPr>
              <w:t>规范，统一执行费率、统一报价，没有相关问题反映。</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7916C0">
        <w:trPr>
          <w:trHeight w:val="1002"/>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是否能够为企业提供现场、上门和固定营业场所的服务</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260"/>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是否能为客户及时出具保单、发票并及时递送，没有相关问题反映。</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260"/>
          <w:jc w:val="center"/>
        </w:trPr>
        <w:tc>
          <w:tcPr>
            <w:tcW w:w="71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4</w:t>
            </w:r>
          </w:p>
        </w:tc>
        <w:tc>
          <w:tcPr>
            <w:tcW w:w="115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理赔服务（8分）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对于辖区内保险事故的理赔服务是否及时、主动、合理；能否按照理赔服务规范，提供预付赔款和垫付赔款。</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770"/>
          <w:jc w:val="center"/>
        </w:trPr>
        <w:tc>
          <w:tcPr>
            <w:tcW w:w="71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当发生1人死亡或3人重伤以上的保险事故时，保险公司是否能及时通知有关政府部门。</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770"/>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5</w:t>
            </w:r>
          </w:p>
        </w:tc>
        <w:tc>
          <w:tcPr>
            <w:tcW w:w="115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事故预防（4分）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是否能与有关政府部门就各区事故预防专项费统筹使用工作积极联系沟通、积极落实费用投入使用，没有相关问题反映。</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260"/>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6</w:t>
            </w:r>
          </w:p>
        </w:tc>
        <w:tc>
          <w:tcPr>
            <w:tcW w:w="115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隐患排查（4分）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是否组织和协助第三方技术服务机构，对辖区内参保企业开展安全隐患排查服务。是否能及时通知解决工作中出现的问题。</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jc w:val="left"/>
              <w:rPr>
                <w:rFonts w:ascii="宋体" w:eastAsia="宋体" w:hAnsi="宋体" w:cs="宋体"/>
                <w:color w:val="000000"/>
                <w:sz w:val="22"/>
              </w:rPr>
            </w:pPr>
          </w:p>
        </w:tc>
      </w:tr>
      <w:tr w:rsidR="007916C0" w:rsidTr="00AD00AA">
        <w:trPr>
          <w:trHeight w:val="1110"/>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7</w:t>
            </w:r>
          </w:p>
        </w:tc>
        <w:tc>
          <w:tcPr>
            <w:tcW w:w="115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信息报送（4分）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是否能及时为政府有关部门提供</w:t>
            </w:r>
            <w:proofErr w:type="gramStart"/>
            <w:r>
              <w:rPr>
                <w:rFonts w:ascii="宋体" w:eastAsia="宋体" w:hAnsi="宋体" w:cs="宋体" w:hint="eastAsia"/>
                <w:color w:val="000000"/>
                <w:kern w:val="0"/>
                <w:sz w:val="24"/>
                <w:szCs w:val="24"/>
              </w:rPr>
              <w:t>安责险</w:t>
            </w:r>
            <w:proofErr w:type="gramEnd"/>
            <w:r>
              <w:rPr>
                <w:rFonts w:ascii="宋体" w:eastAsia="宋体" w:hAnsi="宋体" w:cs="宋体" w:hint="eastAsia"/>
                <w:color w:val="000000"/>
                <w:kern w:val="0"/>
                <w:sz w:val="24"/>
                <w:szCs w:val="24"/>
              </w:rPr>
              <w:t>承保、理赔等数据信息，提供工作动态和总结。</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920"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674"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674"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701"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r>
      <w:tr w:rsidR="007916C0" w:rsidTr="00AD00AA">
        <w:trPr>
          <w:trHeight w:val="765"/>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8</w:t>
            </w:r>
          </w:p>
        </w:tc>
        <w:tc>
          <w:tcPr>
            <w:tcW w:w="1154" w:type="dxa"/>
            <w:vMerge w:val="restart"/>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培训宣传（8分）</w:t>
            </w: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是否能积极配合有关政府部门开展安全宣传</w:t>
            </w:r>
            <w:proofErr w:type="gramStart"/>
            <w:r>
              <w:rPr>
                <w:rFonts w:ascii="宋体" w:eastAsia="宋体" w:hAnsi="宋体" w:cs="宋体" w:hint="eastAsia"/>
                <w:color w:val="000000"/>
                <w:kern w:val="0"/>
                <w:sz w:val="24"/>
                <w:szCs w:val="24"/>
              </w:rPr>
              <w:t>月安责险宣传</w:t>
            </w:r>
            <w:proofErr w:type="gramEnd"/>
            <w:r>
              <w:rPr>
                <w:rFonts w:ascii="宋体" w:eastAsia="宋体" w:hAnsi="宋体" w:cs="宋体" w:hint="eastAsia"/>
                <w:color w:val="000000"/>
                <w:kern w:val="0"/>
                <w:sz w:val="24"/>
                <w:szCs w:val="24"/>
              </w:rPr>
              <w:t>活动。</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920"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674"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674"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701"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r>
      <w:tr w:rsidR="007916C0" w:rsidTr="00AD00AA">
        <w:trPr>
          <w:trHeight w:val="1425"/>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9</w:t>
            </w:r>
          </w:p>
        </w:tc>
        <w:tc>
          <w:tcPr>
            <w:tcW w:w="1154" w:type="dxa"/>
            <w:vMerge/>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安责险</w:t>
            </w:r>
            <w:proofErr w:type="gramEnd"/>
            <w:r>
              <w:rPr>
                <w:rFonts w:ascii="宋体" w:eastAsia="宋体" w:hAnsi="宋体" w:cs="宋体" w:hint="eastAsia"/>
                <w:color w:val="000000"/>
                <w:kern w:val="0"/>
                <w:sz w:val="24"/>
                <w:szCs w:val="24"/>
              </w:rPr>
              <w:t>日常宣传中服务手册、宣传海报、折页、易拉宝、展板等有关宣传材料内容是否规范、数量是否充足。</w:t>
            </w: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729"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920"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674"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674"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c>
          <w:tcPr>
            <w:tcW w:w="701" w:type="dxa"/>
            <w:tcMar>
              <w:top w:w="10" w:type="dxa"/>
              <w:left w:w="10" w:type="dxa"/>
              <w:right w:w="10" w:type="dxa"/>
            </w:tcMar>
            <w:vAlign w:val="center"/>
          </w:tcPr>
          <w:p w:rsidR="007916C0" w:rsidRDefault="007916C0" w:rsidP="00AD00AA">
            <w:pPr>
              <w:jc w:val="center"/>
              <w:rPr>
                <w:rFonts w:ascii="宋体" w:eastAsia="宋体" w:hAnsi="宋体" w:cs="宋体"/>
                <w:color w:val="000000"/>
                <w:sz w:val="24"/>
                <w:szCs w:val="24"/>
              </w:rPr>
            </w:pPr>
          </w:p>
        </w:tc>
      </w:tr>
      <w:tr w:rsidR="007916C0" w:rsidTr="00AD00AA">
        <w:trPr>
          <w:trHeight w:val="1035"/>
          <w:jc w:val="center"/>
        </w:trPr>
        <w:tc>
          <w:tcPr>
            <w:tcW w:w="714"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分值合计</w:t>
            </w:r>
          </w:p>
        </w:tc>
        <w:tc>
          <w:tcPr>
            <w:tcW w:w="1154" w:type="dxa"/>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3174" w:type="dxa"/>
            <w:tcMar>
              <w:top w:w="10" w:type="dxa"/>
              <w:left w:w="10" w:type="dxa"/>
              <w:right w:w="10" w:type="dxa"/>
            </w:tcMar>
            <w:vAlign w:val="center"/>
          </w:tcPr>
          <w:p w:rsidR="007916C0" w:rsidRDefault="007916C0" w:rsidP="00AD00AA">
            <w:pPr>
              <w:jc w:val="center"/>
              <w:rPr>
                <w:rFonts w:ascii="宋体" w:eastAsia="宋体" w:hAnsi="宋体" w:cs="宋体"/>
                <w:b/>
                <w:color w:val="000000"/>
                <w:sz w:val="24"/>
                <w:szCs w:val="24"/>
              </w:rPr>
            </w:pPr>
          </w:p>
        </w:tc>
        <w:tc>
          <w:tcPr>
            <w:tcW w:w="660" w:type="dxa"/>
            <w:tcMar>
              <w:top w:w="10" w:type="dxa"/>
              <w:left w:w="10" w:type="dxa"/>
              <w:right w:w="10" w:type="dxa"/>
            </w:tcMar>
            <w:vAlign w:val="center"/>
          </w:tcPr>
          <w:p w:rsidR="007916C0" w:rsidRDefault="007916C0" w:rsidP="00AD00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60</w:t>
            </w:r>
          </w:p>
        </w:tc>
        <w:tc>
          <w:tcPr>
            <w:tcW w:w="729" w:type="dxa"/>
            <w:tcMar>
              <w:top w:w="10" w:type="dxa"/>
              <w:left w:w="10" w:type="dxa"/>
              <w:right w:w="10" w:type="dxa"/>
            </w:tcMar>
            <w:vAlign w:val="center"/>
          </w:tcPr>
          <w:p w:rsidR="007916C0" w:rsidRDefault="007916C0" w:rsidP="00AD00AA">
            <w:pPr>
              <w:rPr>
                <w:rFonts w:ascii="宋体" w:eastAsia="宋体" w:hAnsi="宋体" w:cs="宋体"/>
                <w:color w:val="000000"/>
                <w:sz w:val="22"/>
              </w:rPr>
            </w:pPr>
          </w:p>
        </w:tc>
        <w:tc>
          <w:tcPr>
            <w:tcW w:w="920" w:type="dxa"/>
            <w:tcMar>
              <w:top w:w="10" w:type="dxa"/>
              <w:left w:w="10" w:type="dxa"/>
              <w:right w:w="10" w:type="dxa"/>
            </w:tcMar>
            <w:vAlign w:val="center"/>
          </w:tcPr>
          <w:p w:rsidR="007916C0" w:rsidRDefault="007916C0" w:rsidP="00AD00AA">
            <w:pPr>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rPr>
                <w:rFonts w:ascii="宋体" w:eastAsia="宋体" w:hAnsi="宋体" w:cs="宋体"/>
                <w:color w:val="000000"/>
                <w:sz w:val="22"/>
              </w:rPr>
            </w:pPr>
          </w:p>
        </w:tc>
        <w:tc>
          <w:tcPr>
            <w:tcW w:w="674" w:type="dxa"/>
            <w:tcMar>
              <w:top w:w="10" w:type="dxa"/>
              <w:left w:w="10" w:type="dxa"/>
              <w:right w:w="10" w:type="dxa"/>
            </w:tcMar>
            <w:vAlign w:val="center"/>
          </w:tcPr>
          <w:p w:rsidR="007916C0" w:rsidRDefault="007916C0" w:rsidP="00AD00AA">
            <w:pPr>
              <w:rPr>
                <w:rFonts w:ascii="宋体" w:eastAsia="宋体" w:hAnsi="宋体" w:cs="宋体"/>
                <w:color w:val="000000"/>
                <w:sz w:val="22"/>
              </w:rPr>
            </w:pPr>
          </w:p>
        </w:tc>
        <w:tc>
          <w:tcPr>
            <w:tcW w:w="701" w:type="dxa"/>
            <w:tcMar>
              <w:top w:w="10" w:type="dxa"/>
              <w:left w:w="10" w:type="dxa"/>
              <w:right w:w="10" w:type="dxa"/>
            </w:tcMar>
            <w:vAlign w:val="center"/>
          </w:tcPr>
          <w:p w:rsidR="007916C0" w:rsidRDefault="007916C0" w:rsidP="00AD00AA">
            <w:pPr>
              <w:rPr>
                <w:rFonts w:ascii="宋体" w:eastAsia="宋体" w:hAnsi="宋体" w:cs="宋体"/>
                <w:color w:val="000000"/>
                <w:sz w:val="22"/>
              </w:rPr>
            </w:pPr>
          </w:p>
        </w:tc>
      </w:tr>
      <w:tr w:rsidR="007916C0" w:rsidTr="00AD00AA">
        <w:trPr>
          <w:trHeight w:val="2545"/>
          <w:jc w:val="center"/>
        </w:trPr>
        <w:tc>
          <w:tcPr>
            <w:tcW w:w="9400" w:type="dxa"/>
            <w:gridSpan w:val="9"/>
            <w:tcMar>
              <w:top w:w="10" w:type="dxa"/>
              <w:left w:w="10" w:type="dxa"/>
              <w:right w:w="10" w:type="dxa"/>
            </w:tcMar>
          </w:tcPr>
          <w:p w:rsidR="007916C0" w:rsidRDefault="007916C0" w:rsidP="00AD00AA">
            <w:pPr>
              <w:tabs>
                <w:tab w:val="left" w:pos="2902"/>
              </w:tabs>
              <w:rPr>
                <w:rFonts w:ascii="宋体" w:eastAsia="宋体" w:hAnsi="宋体" w:cs="宋体"/>
                <w:color w:val="000000"/>
                <w:sz w:val="22"/>
              </w:rPr>
            </w:pPr>
            <w:r>
              <w:rPr>
                <w:rFonts w:ascii="宋体" w:eastAsia="宋体" w:hAnsi="宋体" w:cs="宋体" w:hint="eastAsia"/>
                <w:color w:val="000000"/>
                <w:kern w:val="0"/>
                <w:sz w:val="24"/>
                <w:szCs w:val="24"/>
              </w:rPr>
              <w:lastRenderedPageBreak/>
              <w:t>对本区保险服务情况的整体评价和意见建议：</w:t>
            </w:r>
          </w:p>
        </w:tc>
      </w:tr>
    </w:tbl>
    <w:p w:rsidR="007916C0" w:rsidRDefault="007916C0" w:rsidP="007916C0"/>
    <w:p w:rsidR="007916C0" w:rsidRDefault="007916C0" w:rsidP="007916C0">
      <w:pPr>
        <w:widowControl/>
        <w:jc w:val="left"/>
        <w:textAlignment w:val="center"/>
        <w:rPr>
          <w:rFonts w:ascii="宋体" w:eastAsia="宋体" w:hAnsi="宋体" w:cs="宋体"/>
          <w:color w:val="000000"/>
          <w:kern w:val="0"/>
          <w:sz w:val="24"/>
          <w:szCs w:val="24"/>
        </w:rPr>
      </w:pPr>
    </w:p>
    <w:p w:rsidR="007916C0" w:rsidRDefault="007916C0" w:rsidP="007916C0">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说明：</w:t>
      </w:r>
    </w:p>
    <w:p w:rsidR="007916C0" w:rsidRDefault="007916C0" w:rsidP="007916C0">
      <w:pPr>
        <w:widowControl/>
        <w:numPr>
          <w:ilvl w:val="0"/>
          <w:numId w:val="1"/>
        </w:numPr>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本考评表评分仅涉及各区保险服务机构部分规范执行情况，占保险服务机构总评分的60%；其他综合考评，部分规范执行情况由保险顾问机构根据实际情况进行评分。</w:t>
      </w:r>
    </w:p>
    <w:p w:rsidR="007916C0" w:rsidRDefault="007916C0" w:rsidP="007916C0">
      <w:pPr>
        <w:widowControl/>
        <w:numPr>
          <w:ilvl w:val="0"/>
          <w:numId w:val="1"/>
        </w:numPr>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对本区保险服务整体评价</w:t>
      </w:r>
      <w:proofErr w:type="gramStart"/>
      <w:r>
        <w:rPr>
          <w:rFonts w:ascii="宋体" w:eastAsia="宋体" w:hAnsi="宋体" w:cs="宋体" w:hint="eastAsia"/>
          <w:color w:val="000000"/>
          <w:kern w:val="0"/>
          <w:sz w:val="24"/>
          <w:szCs w:val="24"/>
        </w:rPr>
        <w:t>分按照</w:t>
      </w:r>
      <w:proofErr w:type="gramEnd"/>
      <w:r>
        <w:rPr>
          <w:rFonts w:ascii="宋体" w:eastAsia="宋体" w:hAnsi="宋体" w:cs="宋体" w:hint="eastAsia"/>
          <w:color w:val="000000"/>
          <w:kern w:val="0"/>
          <w:sz w:val="24"/>
          <w:szCs w:val="24"/>
        </w:rPr>
        <w:t>百分制评分、实际评分结果按照60%的权重纳入保险服务机构市级分公司的考评结果。</w:t>
      </w:r>
    </w:p>
    <w:p w:rsidR="007916C0" w:rsidRDefault="007916C0" w:rsidP="007916C0">
      <w:pPr>
        <w:widowControl/>
        <w:numPr>
          <w:ilvl w:val="0"/>
          <w:numId w:val="1"/>
        </w:numPr>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未在本辖区内开展设立服务机构的区级保险支公司，不予评分。</w:t>
      </w:r>
    </w:p>
    <w:p w:rsidR="007916C0" w:rsidRDefault="007916C0" w:rsidP="007916C0">
      <w:pPr>
        <w:widowControl/>
        <w:numPr>
          <w:ilvl w:val="0"/>
          <w:numId w:val="1"/>
        </w:numPr>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表格简称说明：人保为中国人民财产保险股份有限公司、太平洋为中国太平洋财产保险股份有限公司、太平为太平财产保险有限公司、国寿为中国人</w:t>
      </w:r>
      <w:proofErr w:type="gramStart"/>
      <w:r>
        <w:rPr>
          <w:rFonts w:ascii="宋体" w:eastAsia="宋体" w:hAnsi="宋体" w:cs="宋体" w:hint="eastAsia"/>
          <w:color w:val="000000"/>
          <w:kern w:val="0"/>
          <w:sz w:val="24"/>
          <w:szCs w:val="24"/>
        </w:rPr>
        <w:t>寿财产</w:t>
      </w:r>
      <w:proofErr w:type="gramEnd"/>
      <w:r>
        <w:rPr>
          <w:rFonts w:ascii="宋体" w:eastAsia="宋体" w:hAnsi="宋体" w:cs="宋体" w:hint="eastAsia"/>
          <w:color w:val="000000"/>
          <w:kern w:val="0"/>
          <w:sz w:val="24"/>
          <w:szCs w:val="24"/>
        </w:rPr>
        <w:t>保险股份有限公司、平安为中国平安财产保险股份有限公司。</w:t>
      </w:r>
    </w:p>
    <w:p w:rsidR="00D10B52" w:rsidRPr="007916C0" w:rsidRDefault="00D10B52" w:rsidP="00D437CE">
      <w:pPr>
        <w:spacing w:line="560" w:lineRule="exact"/>
        <w:ind w:firstLineChars="200" w:firstLine="420"/>
      </w:pPr>
    </w:p>
    <w:sectPr w:rsidR="00D10B52" w:rsidRPr="007916C0" w:rsidSect="00A663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2F" w:rsidRDefault="00330A2F" w:rsidP="00FC4DFD">
      <w:r>
        <w:separator/>
      </w:r>
    </w:p>
  </w:endnote>
  <w:endnote w:type="continuationSeparator" w:id="0">
    <w:p w:rsidR="00330A2F" w:rsidRDefault="00330A2F" w:rsidP="00FC4DFD">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FD" w:rsidRDefault="003E176D">
    <w:pPr>
      <w:pStyle w:val="a5"/>
      <w:jc w:val="center"/>
    </w:pPr>
    <w:r>
      <w:fldChar w:fldCharType="begin"/>
    </w:r>
    <w:r w:rsidR="00FC4DFD">
      <w:instrText>PAGE   \* MERGEFORMAT</w:instrText>
    </w:r>
    <w:r>
      <w:fldChar w:fldCharType="separate"/>
    </w:r>
    <w:r w:rsidR="00A87B22" w:rsidRPr="00A87B22">
      <w:rPr>
        <w:noProof/>
        <w:lang w:val="zh-CN"/>
      </w:rPr>
      <w:t>1</w:t>
    </w:r>
    <w:r>
      <w:fldChar w:fldCharType="end"/>
    </w:r>
  </w:p>
  <w:p w:rsidR="00FC4DFD" w:rsidRDefault="00FC4D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2F" w:rsidRDefault="00330A2F" w:rsidP="00FC4DFD">
      <w:r>
        <w:separator/>
      </w:r>
    </w:p>
  </w:footnote>
  <w:footnote w:type="continuationSeparator" w:id="0">
    <w:p w:rsidR="00330A2F" w:rsidRDefault="00330A2F" w:rsidP="00FC4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AE4B6"/>
    <w:multiLevelType w:val="singleLevel"/>
    <w:tmpl w:val="90FAE4B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F77"/>
    <w:rsid w:val="00330A2F"/>
    <w:rsid w:val="003E176D"/>
    <w:rsid w:val="00515D7D"/>
    <w:rsid w:val="00641640"/>
    <w:rsid w:val="006D7850"/>
    <w:rsid w:val="00767F77"/>
    <w:rsid w:val="007916C0"/>
    <w:rsid w:val="009B24C8"/>
    <w:rsid w:val="009E645F"/>
    <w:rsid w:val="00A16FC1"/>
    <w:rsid w:val="00A3100A"/>
    <w:rsid w:val="00A663C8"/>
    <w:rsid w:val="00A66961"/>
    <w:rsid w:val="00A87B22"/>
    <w:rsid w:val="00A92913"/>
    <w:rsid w:val="00B40536"/>
    <w:rsid w:val="00C16D5E"/>
    <w:rsid w:val="00CF3DE7"/>
    <w:rsid w:val="00D10B52"/>
    <w:rsid w:val="00D437CE"/>
    <w:rsid w:val="00D81C30"/>
    <w:rsid w:val="00F57365"/>
    <w:rsid w:val="00F921FC"/>
    <w:rsid w:val="00FC4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10B52"/>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C4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C4DFD"/>
    <w:rPr>
      <w:sz w:val="18"/>
      <w:szCs w:val="18"/>
    </w:rPr>
  </w:style>
  <w:style w:type="paragraph" w:styleId="a5">
    <w:name w:val="footer"/>
    <w:basedOn w:val="a"/>
    <w:link w:val="Char0"/>
    <w:uiPriority w:val="99"/>
    <w:unhideWhenUsed/>
    <w:rsid w:val="00FC4DFD"/>
    <w:pPr>
      <w:tabs>
        <w:tab w:val="center" w:pos="4153"/>
        <w:tab w:val="right" w:pos="8306"/>
      </w:tabs>
      <w:snapToGrid w:val="0"/>
      <w:jc w:val="left"/>
    </w:pPr>
    <w:rPr>
      <w:sz w:val="18"/>
      <w:szCs w:val="18"/>
    </w:rPr>
  </w:style>
  <w:style w:type="character" w:customStyle="1" w:styleId="Char0">
    <w:name w:val="页脚 Char"/>
    <w:basedOn w:val="a0"/>
    <w:link w:val="a5"/>
    <w:uiPriority w:val="99"/>
    <w:rsid w:val="00FC4DF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1109</Characters>
  <Application>Microsoft Office Word</Application>
  <DocSecurity>0</DocSecurity>
  <Lines>9</Lines>
  <Paragraphs>2</Paragraphs>
  <ScaleCrop>false</ScaleCrop>
  <Company>北京市安全生产监督管理局</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 张</dc:creator>
  <cp:lastModifiedBy>罗经灿</cp:lastModifiedBy>
  <cp:revision>2</cp:revision>
  <dcterms:created xsi:type="dcterms:W3CDTF">2021-02-20T09:50:00Z</dcterms:created>
  <dcterms:modified xsi:type="dcterms:W3CDTF">2021-02-20T09:50:00Z</dcterms:modified>
</cp:coreProperties>
</file>