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71-010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G 09</w:t>
            </w:r>
          </w:p>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1250</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代替 DB 11/T</w:t>
      </w:r>
      <w:r>
        <w:rPr>
          <w:rFonts w:hint="eastAsia" w:hAnsi="黑体"/>
        </w:rPr>
        <w:t xml:space="preserve"> 1250-2015</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g8W++kBAAC5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WnnFkw&#10;NPDbLz9/f/7259dXOm9/fGevXiaVOhdKCl7YlU88RW+v3RWKT4FZXLRgNzJ3e7N3BDFJGcWDlGQE&#10;R7XW3TusKQa2EbNkfeNNgiQxWJ8nsz9NRvaRCXo8n9DqjGloYvAVUA6Jzof4VqJh6VJxrWwSDUrY&#10;XYWYGoFyCEnPFi+V1nnw2rKu4m/Opmc5IaBWdXKmsOA364X2bAdpdfKXWZHnfpjHra0PRbRNeTJv&#10;3bHywPqg3xrr/coP0tBEc2/H7Usrc9/OAt79cf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J4PFvvpAQAAuQMAAA4AAAAAAAAAAQAgAAAAJwEAAGRycy9lMm9Eb2MueG1sUEsFBgAAAAAGAAYA&#10;WQEAAIIFA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危险化学品</w:t>
      </w:r>
      <w:r>
        <w:rPr>
          <w:rFonts w:hint="eastAsia"/>
          <w:lang w:eastAsia="zh-CN"/>
        </w:rPr>
        <w:t>企业</w:t>
      </w:r>
      <w:r>
        <w:t>分装作业安全管理规范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Safety management specification of hazardous chemicals sub-package operation</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S&#10;jbbN6AEAALgDAAAOAAAAAAAAAAEAIAAAACYBAABkcnMvZTJvRG9jLnhtbFBLBQYAAAAABgAGAFkB&#10;AACABQA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_Toc140470229"/>
      <w:bookmarkStart w:id="23" w:name="_Toc140395583"/>
      <w:bookmarkStart w:id="24" w:name="_Toc140470198"/>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HYPERLINK \l "_Toc140471400"</w:instrText>
      </w:r>
      <w:r>
        <w:fldChar w:fldCharType="separate"/>
      </w:r>
      <w:r>
        <w:rPr>
          <w:rStyle w:val="33"/>
          <w:rFonts w:hint="eastAsia"/>
        </w:rPr>
        <w:t>前言</w:t>
      </w:r>
      <w:r>
        <w:tab/>
      </w:r>
      <w:r>
        <w:fldChar w:fldCharType="begin"/>
      </w:r>
      <w:r>
        <w:instrText xml:space="preserve"> PAGEREF _Toc140471400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HYPERLINK \l "_Toc140471401"</w:instrText>
      </w:r>
      <w:r>
        <w:fldChar w:fldCharType="separate"/>
      </w:r>
      <w:r>
        <w:rPr>
          <w:rStyle w:val="33"/>
        </w:rPr>
        <w:t xml:space="preserve">1 </w:t>
      </w:r>
      <w:r>
        <w:rPr>
          <w:rStyle w:val="33"/>
          <w:rFonts w:hint="eastAsia"/>
        </w:rPr>
        <w:t xml:space="preserve"> 范围</w:t>
      </w:r>
      <w:r>
        <w:tab/>
      </w:r>
      <w:r>
        <w:fldChar w:fldCharType="begin"/>
      </w:r>
      <w:r>
        <w:instrText xml:space="preserve"> PAGEREF _Toc140471401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HYPERLINK \l "_Toc140471402"</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_Toc140471402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HYPERLINK \l "_Toc140471403"</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_Toc140471403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"_Toc140471404" </w:instrText>
      </w:r>
      <w:r>
        <w:fldChar w:fldCharType="separate"/>
      </w:r>
      <w:r>
        <w:rPr>
          <w:rStyle w:val="33"/>
        </w:rPr>
        <w:t xml:space="preserve">4 </w:t>
      </w:r>
      <w:r>
        <w:rPr>
          <w:rStyle w:val="33"/>
          <w:rFonts w:hint="eastAsia"/>
        </w:rPr>
        <w:t xml:space="preserve"> 一般要求</w:t>
      </w:r>
      <w:r>
        <w:tab/>
      </w:r>
      <w:r>
        <w:fldChar w:fldCharType="begin"/>
      </w:r>
      <w:r>
        <w:instrText xml:space="preserve"> PAGEREF _Toc140471404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"_Toc140471405" </w:instrText>
      </w:r>
      <w:r>
        <w:fldChar w:fldCharType="separate"/>
      </w:r>
      <w:r>
        <w:rPr>
          <w:rStyle w:val="33"/>
        </w:rPr>
        <w:t xml:space="preserve">4.1 </w:t>
      </w:r>
      <w:r>
        <w:rPr>
          <w:rStyle w:val="33"/>
          <w:rFonts w:hint="eastAsia"/>
        </w:rPr>
        <w:t xml:space="preserve"> 安全管理制度</w:t>
      </w:r>
      <w:r>
        <w:tab/>
      </w:r>
      <w:r>
        <w:fldChar w:fldCharType="begin"/>
      </w:r>
      <w:r>
        <w:instrText xml:space="preserve"> PAGEREF _Toc140471405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"_Toc140471406" </w:instrText>
      </w:r>
      <w:r>
        <w:fldChar w:fldCharType="separate"/>
      </w:r>
      <w:r>
        <w:rPr>
          <w:rStyle w:val="33"/>
        </w:rPr>
        <w:t xml:space="preserve">4.2 </w:t>
      </w:r>
      <w:r>
        <w:rPr>
          <w:rStyle w:val="33"/>
          <w:rFonts w:hint="eastAsia"/>
        </w:rPr>
        <w:t xml:space="preserve"> 安全操作规程</w:t>
      </w:r>
      <w:r>
        <w:tab/>
      </w:r>
      <w:r>
        <w:fldChar w:fldCharType="begin"/>
      </w:r>
      <w:r>
        <w:instrText xml:space="preserve"> PAGEREF _Toc140471406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"_Toc140471407" </w:instrText>
      </w:r>
      <w:r>
        <w:fldChar w:fldCharType="separate"/>
      </w:r>
      <w:r>
        <w:rPr>
          <w:rStyle w:val="33"/>
        </w:rPr>
        <w:t xml:space="preserve">4.3 </w:t>
      </w:r>
      <w:r>
        <w:rPr>
          <w:rStyle w:val="33"/>
          <w:rFonts w:hint="eastAsia"/>
        </w:rPr>
        <w:t xml:space="preserve"> 作业人员</w:t>
      </w:r>
      <w:r>
        <w:tab/>
      </w:r>
      <w:r>
        <w:fldChar w:fldCharType="begin"/>
      </w:r>
      <w:r>
        <w:instrText xml:space="preserve"> PAGEREF _Toc140471407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"_Toc140471408" </w:instrText>
      </w:r>
      <w:r>
        <w:fldChar w:fldCharType="separate"/>
      </w:r>
      <w:r>
        <w:rPr>
          <w:rStyle w:val="33"/>
        </w:rPr>
        <w:t xml:space="preserve">4.4 </w:t>
      </w:r>
      <w:r>
        <w:rPr>
          <w:rStyle w:val="33"/>
          <w:rFonts w:hint="eastAsia"/>
        </w:rPr>
        <w:t xml:space="preserve"> 安全标志</w:t>
      </w:r>
      <w:r>
        <w:tab/>
      </w:r>
      <w:r>
        <w:fldChar w:fldCharType="begin"/>
      </w:r>
      <w:r>
        <w:instrText xml:space="preserve"> PAGEREF _Toc140471408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"_Toc140471409" </w:instrText>
      </w:r>
      <w:r>
        <w:fldChar w:fldCharType="separate"/>
      </w:r>
      <w:r>
        <w:rPr>
          <w:rStyle w:val="33"/>
        </w:rPr>
        <w:t xml:space="preserve">4.5 </w:t>
      </w:r>
      <w:r>
        <w:rPr>
          <w:rStyle w:val="33"/>
          <w:rFonts w:hint="eastAsia"/>
        </w:rPr>
        <w:t xml:space="preserve"> 应急救援</w:t>
      </w:r>
      <w:r>
        <w:tab/>
      </w:r>
      <w:r>
        <w:fldChar w:fldCharType="begin"/>
      </w:r>
      <w:r>
        <w:instrText xml:space="preserve"> PAGEREF _Toc140471409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"_Toc140471410" </w:instrText>
      </w:r>
      <w:r>
        <w:fldChar w:fldCharType="separate"/>
      </w:r>
      <w:r>
        <w:rPr>
          <w:rStyle w:val="33"/>
        </w:rPr>
        <w:t xml:space="preserve">5 </w:t>
      </w:r>
      <w:r>
        <w:rPr>
          <w:rStyle w:val="33"/>
          <w:rFonts w:hint="eastAsia"/>
        </w:rPr>
        <w:t xml:space="preserve"> 分装场所</w:t>
      </w:r>
      <w:r>
        <w:tab/>
      </w:r>
      <w:r>
        <w:fldChar w:fldCharType="begin"/>
      </w:r>
      <w:r>
        <w:instrText xml:space="preserve"> PAGEREF _Toc140471410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"_Toc140471411" </w:instrText>
      </w:r>
      <w:r>
        <w:fldChar w:fldCharType="separate"/>
      </w:r>
      <w:r>
        <w:rPr>
          <w:rStyle w:val="33"/>
        </w:rPr>
        <w:t xml:space="preserve">5.1 </w:t>
      </w:r>
      <w:r>
        <w:rPr>
          <w:rStyle w:val="33"/>
          <w:rFonts w:hint="eastAsia"/>
        </w:rPr>
        <w:t xml:space="preserve"> 场所设置</w:t>
      </w:r>
      <w:r>
        <w:tab/>
      </w:r>
      <w:r>
        <w:fldChar w:fldCharType="begin"/>
      </w:r>
      <w:r>
        <w:instrText xml:space="preserve"> PAGEREF _Toc140471411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"_Toc140471412" </w:instrText>
      </w:r>
      <w:r>
        <w:fldChar w:fldCharType="separate"/>
      </w:r>
      <w:r>
        <w:rPr>
          <w:rStyle w:val="33"/>
        </w:rPr>
        <w:t xml:space="preserve">5.2 </w:t>
      </w:r>
      <w:r>
        <w:rPr>
          <w:rStyle w:val="33"/>
          <w:rFonts w:hint="eastAsia"/>
        </w:rPr>
        <w:t xml:space="preserve"> 建筑物</w:t>
      </w:r>
      <w:r>
        <w:tab/>
      </w:r>
      <w:r>
        <w:fldChar w:fldCharType="begin"/>
      </w:r>
      <w:r>
        <w:instrText xml:space="preserve"> PAGEREF _Toc140471412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"_Toc140471413" </w:instrText>
      </w:r>
      <w:r>
        <w:fldChar w:fldCharType="separate"/>
      </w:r>
      <w:r>
        <w:rPr>
          <w:rStyle w:val="33"/>
        </w:rPr>
        <w:t xml:space="preserve">6 </w:t>
      </w:r>
      <w:r>
        <w:rPr>
          <w:rStyle w:val="33"/>
          <w:rFonts w:hint="eastAsia"/>
        </w:rPr>
        <w:t xml:space="preserve"> 设备设施</w:t>
      </w:r>
      <w:r>
        <w:tab/>
      </w:r>
      <w:r>
        <w:fldChar w:fldCharType="begin"/>
      </w:r>
      <w:r>
        <w:instrText xml:space="preserve"> PAGEREF _Toc140471413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"_Toc140471414" </w:instrText>
      </w:r>
      <w:r>
        <w:fldChar w:fldCharType="separate"/>
      </w:r>
      <w:r>
        <w:rPr>
          <w:rStyle w:val="33"/>
        </w:rPr>
        <w:t xml:space="preserve">6.1 </w:t>
      </w:r>
      <w:r>
        <w:rPr>
          <w:rStyle w:val="33"/>
          <w:rFonts w:hint="eastAsia"/>
        </w:rPr>
        <w:t xml:space="preserve"> 生产设备设施</w:t>
      </w:r>
      <w:r>
        <w:tab/>
      </w:r>
      <w:r>
        <w:fldChar w:fldCharType="begin"/>
      </w:r>
      <w:r>
        <w:instrText xml:space="preserve"> PAGEREF _Toc140471414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"_Toc140471415" </w:instrText>
      </w:r>
      <w:r>
        <w:fldChar w:fldCharType="separate"/>
      </w:r>
      <w:r>
        <w:rPr>
          <w:rStyle w:val="33"/>
        </w:rPr>
        <w:t xml:space="preserve">6.2 </w:t>
      </w:r>
      <w:r>
        <w:rPr>
          <w:rStyle w:val="33"/>
          <w:rFonts w:hint="eastAsia"/>
        </w:rPr>
        <w:t xml:space="preserve"> 安全设备设施</w:t>
      </w:r>
      <w:r>
        <w:tab/>
      </w:r>
      <w:r>
        <w:fldChar w:fldCharType="begin"/>
      </w:r>
      <w:r>
        <w:instrText xml:space="preserve"> PAGEREF _Toc140471415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"_Toc140471416" </w:instrText>
      </w:r>
      <w:r>
        <w:fldChar w:fldCharType="separate"/>
      </w:r>
      <w:r>
        <w:rPr>
          <w:rStyle w:val="33"/>
        </w:rPr>
        <w:t xml:space="preserve">6.3 </w:t>
      </w:r>
      <w:r>
        <w:rPr>
          <w:rStyle w:val="33"/>
          <w:rFonts w:hint="eastAsia"/>
        </w:rPr>
        <w:t xml:space="preserve"> 消防器材</w:t>
      </w:r>
      <w:r>
        <w:tab/>
      </w:r>
      <w:r>
        <w:fldChar w:fldCharType="begin"/>
      </w:r>
      <w:r>
        <w:instrText xml:space="preserve"> PAGEREF _Toc140471416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"_Toc140471417" </w:instrText>
      </w:r>
      <w:r>
        <w:fldChar w:fldCharType="separate"/>
      </w:r>
      <w:r>
        <w:rPr>
          <w:rStyle w:val="33"/>
        </w:rPr>
        <w:t xml:space="preserve">7 </w:t>
      </w:r>
      <w:r>
        <w:rPr>
          <w:rStyle w:val="33"/>
          <w:rFonts w:hint="eastAsia"/>
        </w:rPr>
        <w:t xml:space="preserve"> 分装工艺</w:t>
      </w:r>
      <w:r>
        <w:tab/>
      </w:r>
      <w:r>
        <w:fldChar w:fldCharType="begin"/>
      </w:r>
      <w:r>
        <w:instrText xml:space="preserve"> PAGEREF _Toc140471417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"_Toc140471418" </w:instrText>
      </w:r>
      <w:r>
        <w:fldChar w:fldCharType="separate"/>
      </w:r>
      <w:r>
        <w:rPr>
          <w:rStyle w:val="33"/>
        </w:rPr>
        <w:t xml:space="preserve">8 </w:t>
      </w:r>
      <w:r>
        <w:rPr>
          <w:rStyle w:val="33"/>
          <w:rFonts w:hint="eastAsia"/>
        </w:rPr>
        <w:t xml:space="preserve"> 个体防护用品使用</w:t>
      </w:r>
      <w:r>
        <w:tab/>
      </w:r>
      <w:r>
        <w:fldChar w:fldCharType="begin"/>
      </w:r>
      <w:r>
        <w:instrText xml:space="preserve"> PAGEREF _Toc140471418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"_Toc140471419" </w:instrText>
      </w:r>
      <w:r>
        <w:fldChar w:fldCharType="separate"/>
      </w:r>
      <w:r>
        <w:rPr>
          <w:rStyle w:val="33"/>
        </w:rPr>
        <w:t xml:space="preserve">9 </w:t>
      </w:r>
      <w:r>
        <w:rPr>
          <w:rStyle w:val="33"/>
          <w:rFonts w:hint="eastAsia"/>
        </w:rPr>
        <w:t xml:space="preserve"> 作业人员行为规范</w:t>
      </w:r>
      <w:r>
        <w:tab/>
      </w:r>
      <w:r>
        <w:fldChar w:fldCharType="begin"/>
      </w:r>
      <w:r>
        <w:instrText xml:space="preserve"> PAGEREF _Toc140471419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"_Toc140471420" </w:instrText>
      </w:r>
      <w:r>
        <w:fldChar w:fldCharType="separate"/>
      </w:r>
      <w:r>
        <w:rPr>
          <w:rStyle w:val="33"/>
        </w:rPr>
        <w:t xml:space="preserve">9.1 </w:t>
      </w:r>
      <w:r>
        <w:rPr>
          <w:rStyle w:val="33"/>
          <w:rFonts w:hint="eastAsia"/>
        </w:rPr>
        <w:t xml:space="preserve"> 作业准备</w:t>
      </w:r>
      <w:r>
        <w:tab/>
      </w:r>
      <w:r>
        <w:fldChar w:fldCharType="begin"/>
      </w:r>
      <w:r>
        <w:instrText xml:space="preserve"> PAGEREF _Toc140471420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"_Toc140471421" </w:instrText>
      </w:r>
      <w:r>
        <w:fldChar w:fldCharType="separate"/>
      </w:r>
      <w:r>
        <w:rPr>
          <w:rStyle w:val="33"/>
        </w:rPr>
        <w:t xml:space="preserve">9.2 </w:t>
      </w:r>
      <w:r>
        <w:rPr>
          <w:rStyle w:val="33"/>
          <w:rFonts w:hint="eastAsia"/>
        </w:rPr>
        <w:t xml:space="preserve"> 作业</w:t>
      </w:r>
      <w:r>
        <w:rPr>
          <w:rStyle w:val="33"/>
          <w:rFonts w:hint="eastAsia"/>
          <w:color w:val="auto"/>
          <w:lang w:val="en-US" w:eastAsia="zh-CN"/>
        </w:rPr>
        <w:t>实施</w:t>
      </w:r>
      <w:r>
        <w:tab/>
      </w:r>
      <w:r>
        <w:fldChar w:fldCharType="begin"/>
      </w:r>
      <w:r>
        <w:instrText xml:space="preserve"> PAGEREF _Toc140471421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"_Toc140471422" </w:instrText>
      </w:r>
      <w:r>
        <w:fldChar w:fldCharType="separate"/>
      </w:r>
      <w:r>
        <w:rPr>
          <w:rStyle w:val="33"/>
        </w:rPr>
        <w:t xml:space="preserve">9.3 </w:t>
      </w:r>
      <w:r>
        <w:rPr>
          <w:rStyle w:val="33"/>
          <w:rFonts w:hint="eastAsia"/>
        </w:rPr>
        <w:t xml:space="preserve"> 作业</w:t>
      </w:r>
      <w:r>
        <w:rPr>
          <w:rStyle w:val="33"/>
          <w:rFonts w:hint="eastAsia"/>
          <w:color w:val="auto"/>
          <w:lang w:val="en-US" w:eastAsia="zh-CN"/>
        </w:rPr>
        <w:t>结束</w:t>
      </w:r>
      <w:r>
        <w:tab/>
      </w:r>
      <w:r>
        <w:fldChar w:fldCharType="begin"/>
      </w:r>
      <w:r>
        <w:instrText xml:space="preserve"> PAGEREF _Toc140471422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"_Toc140471423" </w:instrText>
      </w:r>
      <w:r>
        <w:fldChar w:fldCharType="separate"/>
      </w:r>
      <w:r>
        <w:rPr>
          <w:rStyle w:val="33"/>
          <w:rFonts w:hint="eastAsia"/>
        </w:rPr>
        <w:t>参考文献</w:t>
      </w:r>
      <w:r>
        <w:tab/>
      </w:r>
      <w:r>
        <w:fldChar w:fldCharType="begin"/>
      </w:r>
      <w:r>
        <w:instrText xml:space="preserve"> PAGEREF _Toc140471423 \h </w:instrText>
      </w:r>
      <w:r>
        <w:fldChar w:fldCharType="separate"/>
      </w:r>
      <w:r>
        <w:t>8</w:t>
      </w:r>
      <w:r>
        <w:fldChar w:fldCharType="end"/>
      </w:r>
      <w:r>
        <w:fldChar w:fldCharType="end"/>
      </w:r>
    </w:p>
    <w:p>
      <w:pPr>
        <w:pStyle w:val="92"/>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5" w:name="_Toc140471400"/>
      <w:bookmarkStart w:id="26" w:name="BookMark2"/>
      <w:r>
        <w:rPr>
          <w:spacing w:val="320"/>
        </w:rPr>
        <w:t>前</w:t>
      </w:r>
      <w:r>
        <w:t>言</w:t>
      </w:r>
      <w:bookmarkEnd w:id="22"/>
      <w:bookmarkEnd w:id="23"/>
      <w:bookmarkEnd w:id="24"/>
      <w:bookmarkEnd w:id="25"/>
    </w:p>
    <w:p>
      <w:pPr>
        <w:pStyle w:val="57"/>
        <w:ind w:firstLine="420"/>
      </w:pPr>
      <w:r>
        <w:rPr>
          <w:rFonts w:hint="eastAsia"/>
        </w:rPr>
        <w:t>本文件按照GB/T 1.1—2020《标准化工作导则  第1部分：标准化文件的结构和起草规则》的规定起草。</w:t>
      </w:r>
    </w:p>
    <w:p>
      <w:pPr>
        <w:pStyle w:val="233"/>
        <w:adjustRightInd w:val="0"/>
        <w:spacing w:line="300" w:lineRule="auto"/>
        <w:rPr>
          <w:sz w:val="21"/>
          <w:szCs w:val="21"/>
        </w:rPr>
      </w:pPr>
      <w:r>
        <w:rPr>
          <w:rFonts w:hint="eastAsia"/>
          <w:sz w:val="21"/>
          <w:szCs w:val="21"/>
        </w:rPr>
        <w:t>本文件代替 DB11/T 1250-2015《危险化学品经营企业分装作业安全管理规范》，与 DB11/T 1250—2015相比，除结构调整和编辑性改动外，主要技术变化如下：</w:t>
      </w:r>
    </w:p>
    <w:p>
      <w:pPr>
        <w:pStyle w:val="175"/>
      </w:pPr>
      <w:r>
        <w:rPr>
          <w:rFonts w:hint="eastAsia"/>
        </w:rPr>
        <w:t>修改了适用范围 （见第1章；2015年版的第1章）；</w:t>
      </w:r>
    </w:p>
    <w:p>
      <w:pPr>
        <w:pStyle w:val="175"/>
      </w:pPr>
      <w:r>
        <w:rPr>
          <w:rFonts w:hint="eastAsia"/>
        </w:rPr>
        <w:t>增加或删除了部分规范性引用文件，（见第2章，2015年版的第2章）；</w:t>
      </w:r>
    </w:p>
    <w:p>
      <w:pPr>
        <w:pStyle w:val="175"/>
      </w:pPr>
      <w:r>
        <w:rPr>
          <w:rFonts w:hint="eastAsia"/>
        </w:rPr>
        <w:t>术语和定义中增加了“分装作业”的术语和定义，（见第3章）；</w:t>
      </w:r>
    </w:p>
    <w:p>
      <w:pPr>
        <w:pStyle w:val="175"/>
      </w:pPr>
      <w:r>
        <w:rPr>
          <w:rFonts w:hint="eastAsia"/>
        </w:rPr>
        <w:t>增加了“一般要求”一章，主要包括了安全管理的相关要求，（见第4章）；</w:t>
      </w:r>
    </w:p>
    <w:p>
      <w:pPr>
        <w:pStyle w:val="175"/>
      </w:pPr>
      <w:r>
        <w:rPr>
          <w:rFonts w:hint="eastAsia"/>
        </w:rPr>
        <w:t>“分装场所”一章，增加</w:t>
      </w:r>
      <w:r>
        <w:rPr>
          <w:rFonts w:hint="eastAsia"/>
          <w:color w:val="auto"/>
        </w:rPr>
        <w:t>了场所设置、建筑物等的要求</w:t>
      </w:r>
      <w:r>
        <w:rPr>
          <w:rFonts w:hint="eastAsia"/>
        </w:rPr>
        <w:t>，（见第5章）；</w:t>
      </w:r>
    </w:p>
    <w:p>
      <w:pPr>
        <w:pStyle w:val="175"/>
      </w:pPr>
      <w:r>
        <w:rPr>
          <w:rFonts w:hint="eastAsia"/>
        </w:rPr>
        <w:t>增加了“设备设施”一章，主要包括生产设备设施、安全设备设施、消防器材等的要求，（见第6章）；</w:t>
      </w:r>
    </w:p>
    <w:p>
      <w:pPr>
        <w:pStyle w:val="175"/>
        <w:rPr>
          <w:rFonts w:hint="eastAsia"/>
        </w:rPr>
      </w:pPr>
      <w:r>
        <w:rPr>
          <w:rFonts w:hint="eastAsia"/>
        </w:rPr>
        <w:t>增加了“分装工艺”要求，（见第7章）；</w:t>
      </w:r>
    </w:p>
    <w:p>
      <w:pPr>
        <w:pStyle w:val="175"/>
      </w:pPr>
      <w:r>
        <w:rPr>
          <w:rFonts w:hint="eastAsia"/>
        </w:rPr>
        <w:t>增加了“个体防护用品使用”要求，（见第8章）；</w:t>
      </w:r>
    </w:p>
    <w:p>
      <w:pPr>
        <w:pStyle w:val="175"/>
      </w:pPr>
      <w:r>
        <w:rPr>
          <w:rFonts w:hint="eastAsia"/>
        </w:rPr>
        <w:t>增加了“作业人员行为规范”要求，（见第9章）。</w:t>
      </w:r>
    </w:p>
    <w:p>
      <w:pPr>
        <w:pStyle w:val="57"/>
        <w:ind w:firstLine="420"/>
      </w:pPr>
      <w:r>
        <w:rPr>
          <w:rFonts w:hint="eastAsia"/>
        </w:rPr>
        <w:t>本文件由北京市应急管理局提出并归口。</w:t>
      </w:r>
    </w:p>
    <w:p>
      <w:pPr>
        <w:pStyle w:val="57"/>
        <w:ind w:firstLine="420"/>
      </w:pPr>
      <w:r>
        <w:rPr>
          <w:rFonts w:hint="eastAsia"/>
        </w:rPr>
        <w:t>本文件由北京市应急管理局组织实施。</w:t>
      </w:r>
    </w:p>
    <w:p>
      <w:pPr>
        <w:pStyle w:val="57"/>
        <w:ind w:firstLine="420"/>
      </w:pPr>
      <w:r>
        <w:rPr>
          <w:rFonts w:hint="eastAsia"/>
        </w:rPr>
        <w:t>本文件起草单位：</w:t>
      </w:r>
    </w:p>
    <w:p>
      <w:pPr>
        <w:pStyle w:val="57"/>
        <w:ind w:firstLine="420"/>
      </w:pPr>
      <w:r>
        <w:rPr>
          <w:rFonts w:hint="eastAsia"/>
        </w:rPr>
        <w:t>本文件主要起草人：</w:t>
      </w:r>
    </w:p>
    <w:p>
      <w:pPr>
        <w:pStyle w:val="233"/>
        <w:adjustRightInd w:val="0"/>
        <w:spacing w:line="300" w:lineRule="auto"/>
        <w:rPr>
          <w:sz w:val="21"/>
          <w:szCs w:val="21"/>
        </w:rPr>
      </w:pPr>
      <w:r>
        <w:rPr>
          <w:rFonts w:hint="eastAsia"/>
          <w:sz w:val="21"/>
          <w:szCs w:val="21"/>
        </w:rPr>
        <w:t>本文件及其所代替文件的历次版本发布情况为：</w:t>
      </w:r>
    </w:p>
    <w:p>
      <w:pPr>
        <w:pStyle w:val="233"/>
        <w:adjustRightInd w:val="0"/>
        <w:spacing w:line="300" w:lineRule="auto"/>
        <w:rPr>
          <w:sz w:val="21"/>
          <w:szCs w:val="21"/>
        </w:rPr>
      </w:pPr>
      <w:r>
        <w:rPr>
          <w:rFonts w:hint="eastAsia"/>
          <w:sz w:val="21"/>
          <w:szCs w:val="21"/>
        </w:rPr>
        <w:t>——2015年首次发布为 DB11/T 1250-2015；</w:t>
      </w:r>
    </w:p>
    <w:p>
      <w:pPr>
        <w:pStyle w:val="57"/>
        <w:ind w:firstLine="420"/>
      </w:pPr>
      <w:r>
        <w:rPr>
          <w:rFonts w:hint="eastAsia"/>
          <w:szCs w:val="21"/>
        </w:rPr>
        <w:t>——本次为第一次修订</w:t>
      </w:r>
    </w:p>
    <w:p>
      <w:pPr>
        <w:pStyle w:val="57"/>
        <w:ind w:firstLine="420"/>
        <w:sectPr>
          <w:footerReference r:id="rId12" w:type="even"/>
          <w:pgSz w:w="11906" w:h="16838"/>
          <w:pgMar w:top="1928"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BC4C7335087C499394FCD13E1C5B0730"/>
        </w:placeholder>
      </w:sdtPr>
      <w:sdtContent>
        <w:p>
          <w:pPr>
            <w:pStyle w:val="178"/>
            <w:spacing w:beforeLines="1" w:afterLines="220"/>
          </w:pPr>
          <w:bookmarkStart w:id="28" w:name="NEW_STAND_NAME"/>
          <w:r>
            <w:rPr>
              <w:rFonts w:hint="eastAsia"/>
            </w:rPr>
            <w:t>危险化学品</w:t>
          </w:r>
          <w:r>
            <w:rPr>
              <w:rFonts w:hint="eastAsia"/>
              <w:lang w:eastAsia="zh-CN"/>
            </w:rPr>
            <w:t>企业</w:t>
          </w:r>
          <w:r>
            <w:rPr>
              <w:rFonts w:hint="eastAsia"/>
            </w:rPr>
            <w:t>分装作业安全管理规范</w:t>
          </w:r>
        </w:p>
      </w:sdtContent>
    </w:sdt>
    <w:bookmarkEnd w:id="28"/>
    <w:p>
      <w:pPr>
        <w:pStyle w:val="105"/>
        <w:spacing w:before="312" w:after="312"/>
      </w:pPr>
      <w:bookmarkStart w:id="29" w:name="_Toc97191423"/>
      <w:bookmarkStart w:id="30" w:name="_Toc17233333"/>
      <w:bookmarkStart w:id="31" w:name="_Toc140471401"/>
      <w:bookmarkStart w:id="32" w:name="_Toc140470230"/>
      <w:bookmarkStart w:id="33" w:name="_Toc24884211"/>
      <w:bookmarkStart w:id="34" w:name="_Toc26986771"/>
      <w:bookmarkStart w:id="35" w:name="_Toc26648465"/>
      <w:bookmarkStart w:id="36" w:name="_Toc140395584"/>
      <w:bookmarkStart w:id="37" w:name="_Toc24884218"/>
      <w:bookmarkStart w:id="38" w:name="_Toc140470199"/>
      <w:bookmarkStart w:id="39" w:name="_Toc26986530"/>
      <w:bookmarkStart w:id="40" w:name="_Toc26718930"/>
      <w:bookmarkStart w:id="41" w:name="_Toc1723332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pPr>
        <w:pStyle w:val="57"/>
        <w:ind w:firstLine="420"/>
      </w:pPr>
      <w:bookmarkStart w:id="42" w:name="_Toc24884212"/>
      <w:bookmarkStart w:id="43" w:name="_Toc17233334"/>
      <w:bookmarkStart w:id="44" w:name="_Toc26648466"/>
      <w:bookmarkStart w:id="45" w:name="_Toc24884219"/>
      <w:bookmarkStart w:id="46" w:name="_Toc17233326"/>
      <w:r>
        <w:rPr>
          <w:rFonts w:hint="eastAsia"/>
        </w:rPr>
        <w:t>本文件规定了危险化学品分装作业的一般要求、分装场所、设备设施、分装工艺、个体防护用品使用、作业人员行为规范等要求。</w:t>
      </w:r>
    </w:p>
    <w:p>
      <w:pPr>
        <w:pStyle w:val="57"/>
        <w:ind w:firstLine="420"/>
      </w:pPr>
      <w:r>
        <w:rPr>
          <w:rFonts w:hint="eastAsia"/>
        </w:rPr>
        <w:t>本文件适用于危险化学品</w:t>
      </w:r>
      <w:r>
        <w:rPr>
          <w:rFonts w:hint="eastAsia"/>
          <w:lang w:eastAsia="zh-CN"/>
        </w:rPr>
        <w:t>生产、经营企业和化工、医药制造企业的</w:t>
      </w:r>
      <w:r>
        <w:rPr>
          <w:rFonts w:hint="eastAsia"/>
        </w:rPr>
        <w:t>危险化学品分装作业。</w:t>
      </w:r>
    </w:p>
    <w:p>
      <w:pPr>
        <w:pStyle w:val="57"/>
        <w:ind w:firstLine="420"/>
      </w:pPr>
      <w:r>
        <w:rPr>
          <w:rFonts w:hint="eastAsia"/>
        </w:rPr>
        <w:t>本文件不适用于</w:t>
      </w:r>
      <w:r>
        <w:rPr>
          <w:rFonts w:hint="eastAsia"/>
          <w:color w:val="auto"/>
          <w:lang w:eastAsia="zh-CN"/>
        </w:rPr>
        <w:t>易燃</w:t>
      </w:r>
      <w:r>
        <w:rPr>
          <w:rFonts w:hint="eastAsia"/>
          <w:color w:val="auto"/>
        </w:rPr>
        <w:t>气体</w:t>
      </w:r>
      <w:r>
        <w:rPr>
          <w:rFonts w:hint="eastAsia"/>
          <w:color w:val="auto"/>
          <w:lang w:eastAsia="zh-CN"/>
        </w:rPr>
        <w:t>、氧化性气体</w:t>
      </w:r>
      <w:r>
        <w:rPr>
          <w:rFonts w:hint="eastAsia"/>
          <w:color w:val="auto"/>
          <w:lang w:val="en-US" w:eastAsia="zh-CN"/>
        </w:rPr>
        <w:t>和其它</w:t>
      </w:r>
      <w:r>
        <w:rPr>
          <w:rFonts w:hint="eastAsia"/>
          <w:lang w:eastAsia="zh-CN"/>
        </w:rPr>
        <w:t>气体</w:t>
      </w:r>
      <w:r>
        <w:rPr>
          <w:rFonts w:hint="eastAsia"/>
        </w:rPr>
        <w:t>充装和爆炸</w:t>
      </w:r>
      <w:r>
        <w:rPr>
          <w:rFonts w:hint="eastAsia"/>
          <w:lang w:eastAsia="zh-CN"/>
        </w:rPr>
        <w:t>物</w:t>
      </w:r>
      <w:r>
        <w:rPr>
          <w:rFonts w:hint="eastAsia"/>
        </w:rPr>
        <w:t>、剧毒化学品的分装作业。</w:t>
      </w:r>
    </w:p>
    <w:p>
      <w:pPr>
        <w:pStyle w:val="105"/>
        <w:spacing w:before="312" w:after="312"/>
      </w:pPr>
      <w:bookmarkStart w:id="47" w:name="_Toc26718931"/>
      <w:bookmarkStart w:id="48" w:name="_Toc26986772"/>
      <w:bookmarkStart w:id="49" w:name="_Toc140470231"/>
      <w:bookmarkStart w:id="50" w:name="_Toc140395585"/>
      <w:bookmarkStart w:id="51" w:name="_Toc140470200"/>
      <w:bookmarkStart w:id="52" w:name="_Toc26986531"/>
      <w:bookmarkStart w:id="53" w:name="_Toc140471402"/>
      <w:bookmarkStart w:id="54" w:name="_Toc97191424"/>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FA29B5E65DFE4A87B033178ADCA40D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 2894 安全标志及使用导则</w:t>
      </w:r>
    </w:p>
    <w:p>
      <w:pPr>
        <w:pStyle w:val="57"/>
        <w:ind w:firstLine="420"/>
      </w:pPr>
      <w:r>
        <w:rPr>
          <w:rFonts w:hint="eastAsia"/>
        </w:rPr>
        <w:t>GB 12158 防止静电事故通用导则</w:t>
      </w:r>
    </w:p>
    <w:p>
      <w:pPr>
        <w:pStyle w:val="57"/>
        <w:ind w:firstLine="420"/>
      </w:pPr>
      <w:r>
        <w:rPr>
          <w:rFonts w:hint="eastAsia"/>
        </w:rPr>
        <w:t>GB 12463 危险货物运输包装通用技术条件</w:t>
      </w:r>
    </w:p>
    <w:p>
      <w:pPr>
        <w:pStyle w:val="57"/>
        <w:ind w:firstLine="420"/>
      </w:pPr>
      <w:r>
        <w:rPr>
          <w:rFonts w:hint="eastAsia"/>
        </w:rPr>
        <w:t>GB 13348 液体石油产品静电安全规程</w:t>
      </w:r>
    </w:p>
    <w:p>
      <w:pPr>
        <w:pStyle w:val="57"/>
        <w:ind w:firstLine="420"/>
      </w:pPr>
      <w:r>
        <w:rPr>
          <w:rFonts w:hint="eastAsia"/>
        </w:rPr>
        <w:t>GB 15258 化学品安全标签编写规定</w:t>
      </w:r>
    </w:p>
    <w:p>
      <w:pPr>
        <w:pStyle w:val="57"/>
        <w:ind w:firstLine="420"/>
      </w:pPr>
      <w:r>
        <w:rPr>
          <w:rFonts w:hint="eastAsia"/>
        </w:rPr>
        <w:t>GB 15577 粉尘防爆安全规程</w:t>
      </w:r>
    </w:p>
    <w:p>
      <w:pPr>
        <w:pStyle w:val="57"/>
        <w:ind w:firstLine="420"/>
      </w:pPr>
      <w:r>
        <w:rPr>
          <w:rFonts w:hint="eastAsia"/>
        </w:rPr>
        <w:t>GB 15603 危险化学品仓库储存通则</w:t>
      </w:r>
    </w:p>
    <w:p>
      <w:pPr>
        <w:pStyle w:val="57"/>
        <w:ind w:firstLine="420"/>
      </w:pPr>
      <w:r>
        <w:rPr>
          <w:rFonts w:hint="eastAsia"/>
        </w:rPr>
        <w:t>GB/T 16483 化学品安全技术说明书 内容和项目顺序</w:t>
      </w:r>
    </w:p>
    <w:p>
      <w:pPr>
        <w:pStyle w:val="57"/>
        <w:ind w:firstLine="420"/>
      </w:pPr>
      <w:r>
        <w:rPr>
          <w:rFonts w:hint="eastAsia"/>
        </w:rPr>
        <w:t>GB/T 29639 生产经营单位生产安全事故应急预案编制导则</w:t>
      </w:r>
    </w:p>
    <w:p>
      <w:pPr>
        <w:pStyle w:val="57"/>
        <w:ind w:firstLine="420"/>
      </w:pPr>
      <w:r>
        <w:rPr>
          <w:rFonts w:hint="eastAsia"/>
        </w:rPr>
        <w:t>GB 30077 危险化学品单位应急救援物资配备要求</w:t>
      </w:r>
    </w:p>
    <w:p>
      <w:pPr>
        <w:pStyle w:val="57"/>
        <w:ind w:firstLine="420"/>
      </w:pPr>
      <w:r>
        <w:rPr>
          <w:rFonts w:hint="eastAsia"/>
        </w:rPr>
        <w:t>GB 30871 危险化学品生产单位特殊作业安全规范</w:t>
      </w:r>
    </w:p>
    <w:p>
      <w:pPr>
        <w:pStyle w:val="57"/>
        <w:ind w:firstLine="420"/>
      </w:pPr>
      <w:r>
        <w:rPr>
          <w:rFonts w:hint="eastAsia"/>
        </w:rPr>
        <w:t>GB/T 38144.1 眼面部防护 应急喷淋和洗眼设备 第1部分：技术要求</w:t>
      </w:r>
    </w:p>
    <w:p>
      <w:pPr>
        <w:pStyle w:val="57"/>
        <w:ind w:firstLine="420"/>
      </w:pPr>
      <w:r>
        <w:rPr>
          <w:rFonts w:hint="eastAsia"/>
        </w:rPr>
        <w:t>GB/T 38144.2 眼面部防护 应急喷淋和洗眼设备 第2部分：使用指南</w:t>
      </w:r>
    </w:p>
    <w:p>
      <w:pPr>
        <w:pStyle w:val="57"/>
        <w:ind w:firstLine="420"/>
      </w:pPr>
      <w:r>
        <w:rPr>
          <w:rFonts w:hint="eastAsia"/>
        </w:rPr>
        <w:t>GB 39800.1 个体防护装备配备规范 第1部分：总则</w:t>
      </w:r>
    </w:p>
    <w:p>
      <w:pPr>
        <w:pStyle w:val="57"/>
        <w:ind w:firstLine="420"/>
      </w:pPr>
      <w:r>
        <w:rPr>
          <w:rFonts w:hint="eastAsia"/>
        </w:rPr>
        <w:t>GB 50057 建筑物防雷设计规范</w:t>
      </w:r>
    </w:p>
    <w:p>
      <w:pPr>
        <w:pStyle w:val="57"/>
        <w:ind w:firstLine="420"/>
      </w:pPr>
      <w:r>
        <w:rPr>
          <w:rFonts w:hint="eastAsia"/>
        </w:rPr>
        <w:t>GB 50058 爆炸危险环境电力装置设计规范</w:t>
      </w:r>
    </w:p>
    <w:p>
      <w:pPr>
        <w:pStyle w:val="57"/>
        <w:ind w:firstLine="420"/>
      </w:pPr>
      <w:r>
        <w:rPr>
          <w:rFonts w:hint="eastAsia"/>
        </w:rPr>
        <w:t>GB 50343 建筑物电子信息系统防雷技术规范</w:t>
      </w:r>
    </w:p>
    <w:p>
      <w:pPr>
        <w:pStyle w:val="57"/>
        <w:ind w:firstLine="420"/>
      </w:pPr>
      <w:r>
        <w:rPr>
          <w:rFonts w:hint="eastAsia"/>
        </w:rPr>
        <w:t>GB/T 50493 石油化工可燃气体和有毒气体检测报警设计标准</w:t>
      </w:r>
    </w:p>
    <w:p>
      <w:pPr>
        <w:pStyle w:val="57"/>
        <w:ind w:firstLine="420"/>
      </w:pPr>
      <w:r>
        <w:rPr>
          <w:rFonts w:hint="eastAsia"/>
        </w:rPr>
        <w:t>GB 50974 消防给水及消火栓系统技术规范</w:t>
      </w:r>
    </w:p>
    <w:p>
      <w:pPr>
        <w:pStyle w:val="57"/>
        <w:ind w:firstLine="420"/>
      </w:pPr>
      <w:r>
        <w:rPr>
          <w:rFonts w:hint="eastAsia"/>
        </w:rPr>
        <w:t>GB 55036 消防设施通用规范</w:t>
      </w:r>
    </w:p>
    <w:p>
      <w:pPr>
        <w:pStyle w:val="57"/>
        <w:ind w:firstLine="420"/>
      </w:pPr>
      <w:r>
        <w:rPr>
          <w:rFonts w:hint="eastAsia"/>
        </w:rPr>
        <w:t>GB 55037 建筑防火通用规范</w:t>
      </w:r>
    </w:p>
    <w:p>
      <w:pPr>
        <w:pStyle w:val="57"/>
        <w:ind w:firstLine="420"/>
      </w:pPr>
      <w:r>
        <w:rPr>
          <w:rFonts w:hint="eastAsia"/>
        </w:rPr>
        <w:t>AQ/T 3009 危险场所电气防爆规范</w:t>
      </w:r>
    </w:p>
    <w:p>
      <w:pPr>
        <w:pStyle w:val="57"/>
        <w:ind w:firstLine="420"/>
      </w:pPr>
      <w:r>
        <w:rPr>
          <w:rFonts w:hint="eastAsia"/>
        </w:rPr>
        <w:t>AQ/T 3047 化学品作业场所安全警示标志规范</w:t>
      </w:r>
    </w:p>
    <w:p>
      <w:pPr>
        <w:pStyle w:val="57"/>
        <w:ind w:firstLine="420"/>
      </w:pPr>
      <w:r>
        <w:rPr>
          <w:rFonts w:hint="eastAsia"/>
        </w:rPr>
        <w:t>AQ/T 4273 粉尘爆炸危险场所用除尘系统安全技术规范</w:t>
      </w:r>
    </w:p>
    <w:p>
      <w:pPr>
        <w:pStyle w:val="57"/>
        <w:ind w:firstLine="420"/>
      </w:pPr>
      <w:r>
        <w:rPr>
          <w:rFonts w:hint="eastAsia"/>
        </w:rPr>
        <w:t>SH/T 3097 石油化工静电接地设计规范</w:t>
      </w:r>
    </w:p>
    <w:p>
      <w:pPr>
        <w:pStyle w:val="57"/>
        <w:ind w:firstLine="420"/>
      </w:pPr>
      <w:r>
        <w:rPr>
          <w:rFonts w:hint="eastAsia"/>
        </w:rPr>
        <w:t>DB11/T 384（所有部分） 图像信息管理系统技术规范</w:t>
      </w:r>
    </w:p>
    <w:p>
      <w:pPr>
        <w:pStyle w:val="57"/>
        <w:ind w:firstLine="420"/>
      </w:pPr>
      <w:r>
        <w:rPr>
          <w:rFonts w:hint="eastAsia"/>
        </w:rPr>
        <w:t>DB11/T 1322.2 安全生产等级评定技术规范 第2部分：安全生产通用要求</w:t>
      </w:r>
    </w:p>
    <w:p>
      <w:pPr>
        <w:pStyle w:val="105"/>
        <w:spacing w:before="312" w:after="312"/>
      </w:pPr>
      <w:bookmarkStart w:id="55" w:name="_Toc97191425"/>
      <w:bookmarkStart w:id="56" w:name="_Toc140395586"/>
      <w:bookmarkStart w:id="57" w:name="_Toc140471403"/>
      <w:bookmarkStart w:id="58" w:name="_Toc140470201"/>
      <w:bookmarkStart w:id="59" w:name="_Toc140470232"/>
      <w:r>
        <w:rPr>
          <w:rFonts w:hint="eastAsia"/>
          <w:szCs w:val="21"/>
        </w:rPr>
        <w:t>术语和定义</w:t>
      </w:r>
      <w:bookmarkEnd w:id="55"/>
      <w:bookmarkEnd w:id="56"/>
      <w:bookmarkEnd w:id="57"/>
      <w:bookmarkEnd w:id="58"/>
      <w:bookmarkEnd w:id="59"/>
    </w:p>
    <w:sdt>
      <w:sdtPr>
        <w:rPr>
          <w:rFonts w:hAnsi="宋体"/>
        </w:rPr>
        <w:id w:val="-1909835108"/>
        <w:placeholder>
          <w:docPart w:val="F7213920266C4159861EB220DAE642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57"/>
            <w:ind w:firstLine="420"/>
          </w:pPr>
          <w:bookmarkStart w:id="60" w:name="_Toc26986532"/>
          <w:bookmarkEnd w:id="60"/>
          <w:r>
            <w:rPr>
              <w:rFonts w:hAnsi="宋体"/>
            </w:rP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分装场所  sub-package places</w:t>
      </w:r>
    </w:p>
    <w:p>
      <w:pPr>
        <w:pStyle w:val="57"/>
        <w:ind w:firstLine="420"/>
      </w:pPr>
      <w:r>
        <w:rPr>
          <w:rFonts w:hint="eastAsia"/>
        </w:rPr>
        <w:t>进行危险化学品分装作业的厂房和灌装</w:t>
      </w:r>
      <w:r>
        <w:rPr>
          <w:rFonts w:hint="eastAsia"/>
          <w:color w:val="auto"/>
          <w:lang w:val="en-US" w:eastAsia="zh-CN"/>
        </w:rPr>
        <w:t>区域</w:t>
      </w:r>
      <w:r>
        <w:rPr>
          <w:rFonts w:hint="eastAsia"/>
          <w:color w:val="0000FF"/>
          <w:lang w:val="en-US" w:eastAsia="zh-CN"/>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分装作业  sub-package operations</w:t>
      </w:r>
    </w:p>
    <w:p>
      <w:pPr>
        <w:pStyle w:val="57"/>
        <w:ind w:firstLine="420"/>
      </w:pPr>
      <w:r>
        <w:rPr>
          <w:rFonts w:hint="eastAsia"/>
        </w:rPr>
        <w:t>固态、液态危险化学品的分装、灌装和危险化学品中加入非危险化学品溶剂进行稀释的</w:t>
      </w:r>
      <w:r>
        <w:rPr>
          <w:rFonts w:hint="eastAsia"/>
          <w:color w:val="auto"/>
        </w:rPr>
        <w:t>作</w:t>
      </w:r>
      <w:r>
        <w:rPr>
          <w:rFonts w:hint="eastAsia"/>
          <w:color w:val="auto"/>
          <w:lang w:val="en-US" w:eastAsia="zh-CN"/>
        </w:rPr>
        <w:t>业</w:t>
      </w:r>
      <w:r>
        <w:rPr>
          <w:rFonts w:hint="eastAsia"/>
          <w:color w:val="0000FF"/>
          <w:lang w:val="en-US" w:eastAsia="zh-CN"/>
        </w:rPr>
        <w:t>。</w:t>
      </w:r>
    </w:p>
    <w:p>
      <w:pPr>
        <w:pStyle w:val="105"/>
        <w:spacing w:before="312" w:after="312"/>
      </w:pPr>
      <w:bookmarkStart w:id="61" w:name="_Toc140470202"/>
      <w:bookmarkStart w:id="62" w:name="_Toc140470233"/>
      <w:bookmarkStart w:id="63" w:name="_Toc140471404"/>
      <w:r>
        <w:t>一般要求</w:t>
      </w:r>
      <w:bookmarkEnd w:id="61"/>
      <w:bookmarkEnd w:id="62"/>
      <w:bookmarkEnd w:id="63"/>
    </w:p>
    <w:p>
      <w:pPr>
        <w:pStyle w:val="106"/>
        <w:spacing w:before="156" w:after="156"/>
      </w:pPr>
      <w:bookmarkStart w:id="64" w:name="_Toc140470203"/>
      <w:bookmarkStart w:id="65" w:name="_Toc140471405"/>
      <w:bookmarkStart w:id="66" w:name="_Toc140470234"/>
      <w:r>
        <w:t>安全管理制度</w:t>
      </w:r>
      <w:bookmarkEnd w:id="64"/>
      <w:bookmarkEnd w:id="65"/>
      <w:bookmarkEnd w:id="66"/>
    </w:p>
    <w:p>
      <w:pPr>
        <w:pStyle w:val="166"/>
      </w:pPr>
      <w:r>
        <w:rPr>
          <w:rFonts w:hint="eastAsia"/>
        </w:rPr>
        <w:t>企业建立的风险管理制度中，应包含分装作业风险管理内容，落实分装作业全环节全过程安全风险分级管控和事故隐患排查治理要求。</w:t>
      </w:r>
    </w:p>
    <w:p>
      <w:pPr>
        <w:pStyle w:val="166"/>
      </w:pPr>
      <w:r>
        <w:rPr>
          <w:rFonts w:hint="eastAsia"/>
        </w:rPr>
        <w:t>企业建立的培训制度中，应针对分装作业涉及各岗位人员能力要求，规定培训组织实施的部门及职责分工，培训目的、计划、内容、学时及档案管理等要求。</w:t>
      </w:r>
    </w:p>
    <w:p>
      <w:pPr>
        <w:pStyle w:val="166"/>
      </w:pPr>
      <w:r>
        <w:rPr>
          <w:rFonts w:hint="eastAsia"/>
        </w:rPr>
        <w:t>企业建立的防火、防爆、防中毒和防泄漏等管理制度中，应包含分装作业对防火、防爆、防中毒和防泄漏相关要求，规定组织实施的部门及职责分工。</w:t>
      </w:r>
    </w:p>
    <w:p>
      <w:pPr>
        <w:pStyle w:val="166"/>
      </w:pPr>
      <w:r>
        <w:rPr>
          <w:rFonts w:hint="eastAsia"/>
        </w:rPr>
        <w:t>企业建立设备设施及检维修管理制度中，应包含分装作业设备设施及检维修内容，规定日常巡检、定期检查、检测、维护保养和维修等要求。</w:t>
      </w:r>
    </w:p>
    <w:p>
      <w:pPr>
        <w:pStyle w:val="166"/>
      </w:pPr>
      <w:r>
        <w:rPr>
          <w:rFonts w:hint="eastAsia"/>
        </w:rPr>
        <w:t>企业建立岗位劳动防护用品配备和管理制度中，应包含分装作业岗位劳动防护用品配备和管理内容，规定组织实施的部门及职责分工。</w:t>
      </w:r>
    </w:p>
    <w:p>
      <w:pPr>
        <w:pStyle w:val="166"/>
      </w:pPr>
      <w:r>
        <w:rPr>
          <w:rFonts w:hint="eastAsia"/>
        </w:rPr>
        <w:t>企业应建立危险化学品（含分装原料）采购制度，规定应采购具有符合GB 15258规定的化学品安全标签和符合GB/T 16483规定的化学品安全技术说明书的原料。</w:t>
      </w:r>
    </w:p>
    <w:p>
      <w:pPr>
        <w:pStyle w:val="166"/>
      </w:pPr>
      <w:r>
        <w:rPr>
          <w:rFonts w:hint="eastAsia"/>
        </w:rPr>
        <w:t>企业应建立分装产品的安全标签和化学品安全技术说明书制度，规定分装产品的安全标签和化学品安全技术说明书应符合国家标准要求。</w:t>
      </w:r>
    </w:p>
    <w:p>
      <w:pPr>
        <w:pStyle w:val="166"/>
      </w:pPr>
      <w:r>
        <w:rPr>
          <w:rFonts w:hint="eastAsia"/>
        </w:rPr>
        <w:t xml:space="preserve">企业建立的特殊作业管理制度中，应包含分装场所特殊作业管理要求，规定特殊作业应符合GB 30871的要求。 </w:t>
      </w:r>
    </w:p>
    <w:p>
      <w:pPr>
        <w:pStyle w:val="166"/>
      </w:pPr>
      <w:r>
        <w:rPr>
          <w:rFonts w:hint="eastAsia"/>
        </w:rPr>
        <w:t>企业应制定分装作业现场管理制度，规定作业现场放置原料及成品不应超过 24h 的分装量，待分装的原料不应敞口放置。分装后的原料包装物应及时清理，不应堆放在分装场所等。</w:t>
      </w:r>
    </w:p>
    <w:p>
      <w:pPr>
        <w:pStyle w:val="106"/>
        <w:spacing w:before="156" w:after="156"/>
      </w:pPr>
      <w:bookmarkStart w:id="67" w:name="_Toc140470235"/>
      <w:bookmarkStart w:id="68" w:name="_Toc140470204"/>
      <w:bookmarkStart w:id="69" w:name="_Toc140471406"/>
      <w:r>
        <w:t>安全操作规程</w:t>
      </w:r>
      <w:bookmarkEnd w:id="67"/>
      <w:bookmarkEnd w:id="68"/>
      <w:bookmarkEnd w:id="69"/>
    </w:p>
    <w:p>
      <w:pPr>
        <w:pStyle w:val="166"/>
      </w:pPr>
      <w:r>
        <w:rPr>
          <w:rFonts w:hint="eastAsia"/>
        </w:rPr>
        <w:t>分装作业岗位应编制安全操作规程，并应当包括以下内容：</w:t>
      </w:r>
    </w:p>
    <w:p>
      <w:pPr>
        <w:pStyle w:val="175"/>
        <w:numPr>
          <w:ilvl w:val="0"/>
          <w:numId w:val="0"/>
        </w:numPr>
        <w:tabs>
          <w:tab w:val="clear" w:pos="851"/>
        </w:tabs>
        <w:bidi w:val="0"/>
        <w:ind w:left="425" w:leftChars="0"/>
        <w:rPr>
          <w:color w:val="auto"/>
        </w:rPr>
      </w:pPr>
      <w:r>
        <w:rPr>
          <w:rFonts w:hint="eastAsia" w:ascii="宋体" w:hAnsi="Times New Roman" w:eastAsia="宋体" w:cs="Times New Roman"/>
          <w:color w:val="auto"/>
          <w:sz w:val="21"/>
          <w:lang w:val="en-US" w:eastAsia="zh-CN" w:bidi="ar-SA"/>
        </w:rPr>
        <w:t>a)</w:t>
      </w:r>
      <w:r>
        <w:rPr>
          <w:rFonts w:hint="eastAsia"/>
          <w:color w:val="auto"/>
        </w:rPr>
        <w:t>适用范围；</w:t>
      </w:r>
    </w:p>
    <w:p>
      <w:pPr>
        <w:pStyle w:val="175"/>
        <w:numPr>
          <w:ilvl w:val="0"/>
          <w:numId w:val="0"/>
        </w:numPr>
        <w:tabs>
          <w:tab w:val="clear" w:pos="851"/>
        </w:tabs>
        <w:bidi w:val="0"/>
        <w:ind w:left="425" w:leftChars="0"/>
        <w:rPr>
          <w:color w:val="auto"/>
        </w:rPr>
      </w:pPr>
      <w:r>
        <w:rPr>
          <w:rFonts w:hint="eastAsia" w:ascii="宋体" w:hAnsi="Times New Roman" w:eastAsia="宋体" w:cs="Times New Roman"/>
          <w:color w:val="auto"/>
          <w:sz w:val="21"/>
          <w:lang w:val="en-US" w:eastAsia="zh-CN" w:bidi="ar-SA"/>
        </w:rPr>
        <w:t>b)</w:t>
      </w:r>
      <w:r>
        <w:rPr>
          <w:rFonts w:hint="eastAsia"/>
          <w:color w:val="auto"/>
        </w:rPr>
        <w:t>岗位存在的主要危险源及控制要求（包括报警值、联锁值等重要技术参数）；</w:t>
      </w:r>
    </w:p>
    <w:p>
      <w:pPr>
        <w:pStyle w:val="175"/>
        <w:numPr>
          <w:ilvl w:val="0"/>
          <w:numId w:val="0"/>
        </w:numPr>
        <w:tabs>
          <w:tab w:val="clear" w:pos="851"/>
        </w:tabs>
        <w:bidi w:val="0"/>
        <w:ind w:left="425" w:leftChars="0"/>
        <w:rPr>
          <w:color w:val="auto"/>
        </w:rPr>
      </w:pPr>
      <w:r>
        <w:rPr>
          <w:rFonts w:hint="eastAsia" w:ascii="宋体" w:hAnsi="Times New Roman" w:eastAsia="宋体" w:cs="Times New Roman"/>
          <w:color w:val="auto"/>
          <w:sz w:val="21"/>
          <w:lang w:val="en-US" w:eastAsia="zh-CN" w:bidi="ar-SA"/>
        </w:rPr>
        <w:t>c)</w:t>
      </w:r>
      <w:r>
        <w:rPr>
          <w:rFonts w:hint="eastAsia"/>
          <w:color w:val="auto"/>
        </w:rPr>
        <w:t>设备使用方法或作业程序；</w:t>
      </w:r>
    </w:p>
    <w:p>
      <w:pPr>
        <w:pStyle w:val="175"/>
        <w:numPr>
          <w:ilvl w:val="0"/>
          <w:numId w:val="0"/>
        </w:numPr>
        <w:tabs>
          <w:tab w:val="clear" w:pos="851"/>
        </w:tabs>
        <w:bidi w:val="0"/>
        <w:ind w:left="425" w:leftChars="0"/>
        <w:rPr>
          <w:color w:val="auto"/>
        </w:rPr>
      </w:pPr>
      <w:r>
        <w:rPr>
          <w:rFonts w:hint="eastAsia" w:ascii="宋体" w:hAnsi="Times New Roman" w:eastAsia="宋体" w:cs="Times New Roman"/>
          <w:color w:val="auto"/>
          <w:sz w:val="21"/>
          <w:lang w:val="en-US" w:eastAsia="zh-CN" w:bidi="ar-SA"/>
        </w:rPr>
        <w:t>d)</w:t>
      </w:r>
      <w:r>
        <w:rPr>
          <w:rFonts w:hint="eastAsia"/>
          <w:color w:val="auto"/>
        </w:rPr>
        <w:t>个体防护要求；</w:t>
      </w:r>
    </w:p>
    <w:p>
      <w:pPr>
        <w:pStyle w:val="175"/>
        <w:numPr>
          <w:ilvl w:val="0"/>
          <w:numId w:val="0"/>
        </w:numPr>
        <w:tabs>
          <w:tab w:val="clear" w:pos="851"/>
        </w:tabs>
        <w:bidi w:val="0"/>
        <w:ind w:left="425" w:leftChars="0"/>
        <w:rPr>
          <w:color w:val="auto"/>
        </w:rPr>
      </w:pPr>
      <w:r>
        <w:rPr>
          <w:rFonts w:hint="eastAsia" w:ascii="宋体" w:hAnsi="Times New Roman" w:eastAsia="宋体" w:cs="Times New Roman"/>
          <w:color w:val="auto"/>
          <w:sz w:val="21"/>
          <w:lang w:val="en-US" w:eastAsia="zh-CN" w:bidi="ar-SA"/>
        </w:rPr>
        <w:t>e)</w:t>
      </w:r>
      <w:r>
        <w:rPr>
          <w:rFonts w:hint="eastAsia"/>
          <w:color w:val="auto"/>
        </w:rPr>
        <w:t>严禁事项；</w:t>
      </w:r>
    </w:p>
    <w:p>
      <w:pPr>
        <w:pStyle w:val="175"/>
        <w:numPr>
          <w:ilvl w:val="0"/>
          <w:numId w:val="0"/>
        </w:numPr>
        <w:tabs>
          <w:tab w:val="clear" w:pos="851"/>
        </w:tabs>
        <w:bidi w:val="0"/>
        <w:ind w:left="425" w:leftChars="0"/>
      </w:pPr>
      <w:r>
        <w:rPr>
          <w:rFonts w:hint="eastAsia" w:ascii="宋体" w:hAnsi="Times New Roman" w:eastAsia="宋体" w:cs="Times New Roman"/>
          <w:color w:val="auto"/>
          <w:sz w:val="21"/>
          <w:lang w:val="en-US" w:eastAsia="zh-CN" w:bidi="ar-SA"/>
        </w:rPr>
        <w:t>f)</w:t>
      </w:r>
      <w:r>
        <w:rPr>
          <w:rFonts w:hint="eastAsia"/>
        </w:rPr>
        <w:t>紧急情况现场处置措施。</w:t>
      </w:r>
    </w:p>
    <w:p>
      <w:pPr>
        <w:pStyle w:val="166"/>
      </w:pPr>
      <w:r>
        <w:rPr>
          <w:rFonts w:hint="eastAsia"/>
        </w:rPr>
        <w:t>企业应每年确认安全操作规程的适用性。至少每三年应对安全操作规程进行审核、修订。当依据的法律、法规、规章、标准的有关规定发生重大变化，工艺技术、设备发生重大变更时，应修订安全操作规程。</w:t>
      </w:r>
    </w:p>
    <w:p>
      <w:pPr>
        <w:pStyle w:val="166"/>
      </w:pPr>
      <w:r>
        <w:rPr>
          <w:rFonts w:hint="eastAsia"/>
        </w:rPr>
        <w:t>安全操作规程的现行有效版本应发放到相关岗位或人员。</w:t>
      </w:r>
    </w:p>
    <w:p>
      <w:pPr>
        <w:pStyle w:val="106"/>
        <w:spacing w:before="156" w:after="156"/>
      </w:pPr>
      <w:bookmarkStart w:id="70" w:name="_Toc140471407"/>
      <w:bookmarkStart w:id="71" w:name="_Toc140470205"/>
      <w:bookmarkStart w:id="72" w:name="_Toc140470236"/>
      <w:r>
        <w:t>作业人员</w:t>
      </w:r>
      <w:bookmarkEnd w:id="70"/>
      <w:bookmarkEnd w:id="71"/>
      <w:bookmarkEnd w:id="72"/>
    </w:p>
    <w:p>
      <w:pPr>
        <w:pStyle w:val="166"/>
      </w:pPr>
      <w:r>
        <w:rPr>
          <w:rFonts w:hint="eastAsia"/>
        </w:rPr>
        <w:t>涉及爆炸危险性化学品的分装作业人员应具备化工类大专或以上学历。</w:t>
      </w:r>
    </w:p>
    <w:p>
      <w:pPr>
        <w:pStyle w:val="166"/>
      </w:pPr>
      <w:r>
        <w:rPr>
          <w:rFonts w:hint="eastAsia"/>
        </w:rPr>
        <w:t>作业人员应经过安全教育和岗位技能培训，了解岗位化学品的危险特性，掌握相应的防范措施及应急处置技能。经考核合格后方可上岗作业。</w:t>
      </w:r>
    </w:p>
    <w:p>
      <w:pPr>
        <w:pStyle w:val="166"/>
      </w:pPr>
      <w:r>
        <w:rPr>
          <w:rFonts w:hint="eastAsia"/>
        </w:rPr>
        <w:t>特种设备作业人员应持证上岗。</w:t>
      </w:r>
    </w:p>
    <w:p>
      <w:pPr>
        <w:pStyle w:val="166"/>
      </w:pPr>
      <w:r>
        <w:rPr>
          <w:rFonts w:hint="eastAsia"/>
        </w:rPr>
        <w:t>不应安排有职业禁忌的人员从事禁忌作业。</w:t>
      </w:r>
    </w:p>
    <w:p>
      <w:pPr>
        <w:pStyle w:val="166"/>
      </w:pPr>
      <w:r>
        <w:rPr>
          <w:rFonts w:hint="eastAsia"/>
        </w:rPr>
        <w:t>作业人员应拒绝违章指挥。</w:t>
      </w:r>
    </w:p>
    <w:p>
      <w:pPr>
        <w:pStyle w:val="106"/>
        <w:spacing w:before="156" w:after="156"/>
      </w:pPr>
      <w:bookmarkStart w:id="73" w:name="_Toc140471408"/>
      <w:bookmarkStart w:id="74" w:name="_Toc140470206"/>
      <w:bookmarkStart w:id="75" w:name="_Toc140470237"/>
      <w:r>
        <w:t>安全标志</w:t>
      </w:r>
      <w:bookmarkEnd w:id="73"/>
      <w:bookmarkEnd w:id="74"/>
      <w:bookmarkEnd w:id="75"/>
    </w:p>
    <w:p>
      <w:pPr>
        <w:pStyle w:val="166"/>
      </w:pPr>
      <w:r>
        <w:rPr>
          <w:rFonts w:hint="eastAsia"/>
        </w:rPr>
        <w:t>分装场所应根据分装作业的危险性，在醒目位置设置符合GB 2894规定的禁止、警告、指令、提示等安全警示标志。</w:t>
      </w:r>
    </w:p>
    <w:p>
      <w:pPr>
        <w:pStyle w:val="166"/>
      </w:pPr>
      <w:r>
        <w:rPr>
          <w:rFonts w:hint="eastAsia"/>
        </w:rPr>
        <w:t>分装场所应设置化学品危险性的警示标志，并符合AQ/T 3047的规定。</w:t>
      </w:r>
    </w:p>
    <w:p>
      <w:pPr>
        <w:pStyle w:val="166"/>
      </w:pPr>
      <w:r>
        <w:rPr>
          <w:rFonts w:hint="eastAsia"/>
        </w:rPr>
        <w:t>分装场所应设置安全风险告知牌，注明作业场所的平面布局、各区域的风险、应急措施等事项。</w:t>
      </w:r>
    </w:p>
    <w:p>
      <w:pPr>
        <w:pStyle w:val="166"/>
      </w:pPr>
      <w:r>
        <w:rPr>
          <w:rFonts w:hint="eastAsia"/>
        </w:rPr>
        <w:t>易燃性、刺激性、毒性物质的分装场所应设置风向标。</w:t>
      </w:r>
    </w:p>
    <w:p>
      <w:pPr>
        <w:pStyle w:val="166"/>
      </w:pPr>
      <w:r>
        <w:rPr>
          <w:rFonts w:hint="eastAsia"/>
        </w:rPr>
        <w:t>企业应定期对安全警示标志、风险告知牌进行检查和维护，确保清晰、完整。</w:t>
      </w:r>
    </w:p>
    <w:p>
      <w:pPr>
        <w:pStyle w:val="106"/>
        <w:spacing w:before="156" w:after="156"/>
      </w:pPr>
      <w:bookmarkStart w:id="76" w:name="_Toc140470207"/>
      <w:bookmarkStart w:id="77" w:name="_Toc140470238"/>
      <w:bookmarkStart w:id="78" w:name="_Toc140471409"/>
      <w:r>
        <w:t>应急救援</w:t>
      </w:r>
      <w:bookmarkEnd w:id="76"/>
      <w:bookmarkEnd w:id="77"/>
      <w:bookmarkEnd w:id="78"/>
    </w:p>
    <w:p>
      <w:pPr>
        <w:pStyle w:val="66"/>
        <w:spacing w:before="156" w:after="156"/>
      </w:pPr>
      <w:r>
        <w:t>应急救援人员</w:t>
      </w:r>
    </w:p>
    <w:p>
      <w:pPr>
        <w:pStyle w:val="57"/>
        <w:ind w:firstLine="420"/>
      </w:pPr>
      <w:r>
        <w:rPr>
          <w:rFonts w:hint="eastAsia"/>
        </w:rPr>
        <w:t>分装作业岗位应指定兼职的应急救援人员，明确人员职责和应急响应程序。</w:t>
      </w:r>
    </w:p>
    <w:p>
      <w:pPr>
        <w:pStyle w:val="66"/>
        <w:spacing w:before="156" w:after="156"/>
      </w:pPr>
      <w:r>
        <w:rPr>
          <w:rFonts w:hint="eastAsia"/>
        </w:rPr>
        <w:t>应急预案或应急处置卡</w:t>
      </w:r>
    </w:p>
    <w:p>
      <w:pPr>
        <w:pStyle w:val="165"/>
      </w:pPr>
      <w:r>
        <w:rPr>
          <w:rFonts w:hint="eastAsia"/>
        </w:rPr>
        <w:t>分装作业岗位应制定专项应急预案或现场处置方案。专项预案编制应符合GB/T 29639规定。</w:t>
      </w:r>
    </w:p>
    <w:p>
      <w:pPr>
        <w:pStyle w:val="165"/>
      </w:pPr>
      <w:r>
        <w:rPr>
          <w:rFonts w:hint="eastAsia"/>
        </w:rPr>
        <w:t>重点岗位应制定岗位应急处置卡。</w:t>
      </w:r>
    </w:p>
    <w:p>
      <w:pPr>
        <w:pStyle w:val="165"/>
      </w:pPr>
      <w:r>
        <w:rPr>
          <w:rFonts w:hint="eastAsia"/>
        </w:rPr>
        <w:t>专项应急预案应每年至少演练一次；现场处置方案每半年应进行演练一次。</w:t>
      </w:r>
    </w:p>
    <w:p>
      <w:pPr>
        <w:pStyle w:val="66"/>
        <w:spacing w:before="156" w:after="156"/>
      </w:pPr>
      <w:r>
        <w:rPr>
          <w:rFonts w:hint="eastAsia"/>
        </w:rPr>
        <w:t>应急设施、装备、物资</w:t>
      </w:r>
    </w:p>
    <w:p>
      <w:pPr>
        <w:pStyle w:val="165"/>
      </w:pPr>
      <w:r>
        <w:rPr>
          <w:rFonts w:hint="eastAsia"/>
        </w:rPr>
        <w:t>分装场所应设置必要的应急设施、应急装备，储备应急物资。应急救援物资的配备、管理、使用应符合GB 30077的规定。</w:t>
      </w:r>
    </w:p>
    <w:p>
      <w:pPr>
        <w:pStyle w:val="165"/>
      </w:pPr>
      <w:r>
        <w:rPr>
          <w:rFonts w:hint="eastAsia"/>
        </w:rPr>
        <w:t>具有吸入性危害的化学品分装场所应配备两套以上正压式空气呼吸器及备用气瓶，还应配备至少两套全封闭化学防护服。</w:t>
      </w:r>
    </w:p>
    <w:p>
      <w:pPr>
        <w:pStyle w:val="165"/>
      </w:pPr>
      <w:r>
        <w:rPr>
          <w:rFonts w:hint="eastAsia"/>
        </w:rPr>
        <w:t>具有有毒、腐蚀和刺激等危险性的分装场所应设置洗眼器、淋洗器.喷淋器、洗眼器的设置应符合GB/T 38144.1、GB/T 38144.2的规定，其服务半径不应大于15m。</w:t>
      </w:r>
    </w:p>
    <w:p>
      <w:pPr>
        <w:pStyle w:val="165"/>
      </w:pPr>
      <w:r>
        <w:rPr>
          <w:rFonts w:hint="eastAsia"/>
        </w:rPr>
        <w:t>应急救援物资应明确专人管理；严格按照产品说明书要求，对应急救援物资进行日常检查、定期维护保养；应急救援物资应存放置在便于取用的固定场所，摆放整齐，不得随意摆放、挪作他用。</w:t>
      </w:r>
    </w:p>
    <w:p>
      <w:pPr>
        <w:pStyle w:val="105"/>
        <w:spacing w:before="312" w:after="312"/>
      </w:pPr>
      <w:bookmarkStart w:id="79" w:name="_Toc140471410"/>
      <w:bookmarkStart w:id="80" w:name="_Toc140470239"/>
      <w:bookmarkStart w:id="81" w:name="_Toc140470208"/>
      <w:r>
        <w:rPr>
          <w:rFonts w:hint="eastAsia"/>
        </w:rPr>
        <w:t>分装场所</w:t>
      </w:r>
      <w:bookmarkEnd w:id="79"/>
      <w:bookmarkEnd w:id="80"/>
      <w:bookmarkEnd w:id="81"/>
    </w:p>
    <w:p>
      <w:pPr>
        <w:pStyle w:val="106"/>
        <w:spacing w:before="156" w:after="156"/>
      </w:pPr>
      <w:bookmarkStart w:id="82" w:name="_Toc140471411"/>
      <w:bookmarkStart w:id="83" w:name="_Toc140470209"/>
      <w:bookmarkStart w:id="84" w:name="_Toc140470240"/>
      <w:r>
        <w:rPr>
          <w:rFonts w:hint="eastAsia"/>
        </w:rPr>
        <w:t>场所设置</w:t>
      </w:r>
      <w:bookmarkEnd w:id="82"/>
      <w:bookmarkEnd w:id="83"/>
      <w:bookmarkEnd w:id="84"/>
    </w:p>
    <w:p>
      <w:pPr>
        <w:pStyle w:val="166"/>
      </w:pPr>
      <w:r>
        <w:rPr>
          <w:rFonts w:hint="eastAsia"/>
        </w:rPr>
        <w:t>分装作业应设置专用的分装场所。</w:t>
      </w:r>
    </w:p>
    <w:p>
      <w:pPr>
        <w:pStyle w:val="166"/>
      </w:pPr>
      <w:r>
        <w:rPr>
          <w:rFonts w:hint="eastAsia"/>
        </w:rPr>
        <w:t>分装场所应与办公场所、生活区等人员密集场所分开布置。</w:t>
      </w:r>
    </w:p>
    <w:p>
      <w:pPr>
        <w:pStyle w:val="166"/>
      </w:pPr>
      <w:r>
        <w:rPr>
          <w:rFonts w:hint="eastAsia"/>
        </w:rPr>
        <w:t>分装场所不应设在建筑物的地下室或半地下室内。分装车间或房间不应有地下室。</w:t>
      </w:r>
    </w:p>
    <w:p>
      <w:pPr>
        <w:pStyle w:val="166"/>
      </w:pPr>
      <w:r>
        <w:rPr>
          <w:rFonts w:hint="eastAsia"/>
        </w:rPr>
        <w:t>有爆炸危险的甲、乙类分装场所应独立设置，且宜采用敞开式或半敞开式。其承重结构宜采用钢筋混凝土或钢框架结构、排架结构。封闭式厂房应设置泄压设施。泄压设施宜采用轻质屋面板、轻质墙体和易于泄压的门、窗等，应采用安全玻璃等在爆炸时不产生尖锐碎片的材料。泄压口的朝向应避开人员密集场所和主要道路，并宜靠近具有爆炸危险的部位。</w:t>
      </w:r>
    </w:p>
    <w:p>
      <w:pPr>
        <w:pStyle w:val="166"/>
      </w:pPr>
      <w:r>
        <w:rPr>
          <w:rFonts w:hint="eastAsia"/>
        </w:rPr>
        <w:t>分装场所上空不能有架空电力线路穿越。甲类分装厂房和甲、乙类液体灌装区与架空电力线的最近水平距离不应小于电杆（塔）高度的1.5倍，丙类液体灌装区与架空电力线的最近水平距离不应小于电杆（塔）高度的1.2倍。</w:t>
      </w:r>
    </w:p>
    <w:p>
      <w:pPr>
        <w:pStyle w:val="166"/>
      </w:pPr>
      <w:r>
        <w:rPr>
          <w:rFonts w:hint="eastAsia"/>
        </w:rPr>
        <w:t>分装场所周围消防车道的净宽和净高应满足消防车安全、快速通行的要求，转弯半径应满足消防车转弯的要求。</w:t>
      </w:r>
    </w:p>
    <w:p>
      <w:pPr>
        <w:pStyle w:val="166"/>
      </w:pPr>
      <w:r>
        <w:rPr>
          <w:rFonts w:hint="eastAsia"/>
        </w:rPr>
        <w:t>企业应在分装作业场所显著位置张贴或悬挂岗位安全操作规程和现场处置方案。</w:t>
      </w:r>
    </w:p>
    <w:p>
      <w:pPr>
        <w:pStyle w:val="106"/>
        <w:spacing w:before="156" w:after="156"/>
      </w:pPr>
      <w:bookmarkStart w:id="85" w:name="_Toc140470241"/>
      <w:bookmarkStart w:id="86" w:name="_Toc140470210"/>
      <w:bookmarkStart w:id="87" w:name="_Toc140471412"/>
      <w:r>
        <w:rPr>
          <w:rFonts w:hint="eastAsia"/>
        </w:rPr>
        <w:t>建筑物</w:t>
      </w:r>
      <w:bookmarkEnd w:id="85"/>
      <w:bookmarkEnd w:id="86"/>
      <w:bookmarkEnd w:id="87"/>
    </w:p>
    <w:p>
      <w:pPr>
        <w:pStyle w:val="166"/>
      </w:pPr>
      <w:r>
        <w:rPr>
          <w:rFonts w:hint="eastAsia"/>
        </w:rPr>
        <w:t>建筑物内设置的分装场所，其耐火等级、防火间距应符合GB 55037的规定。</w:t>
      </w:r>
    </w:p>
    <w:p>
      <w:pPr>
        <w:pStyle w:val="166"/>
      </w:pPr>
      <w:r>
        <w:rPr>
          <w:rFonts w:hint="eastAsia"/>
        </w:rPr>
        <w:t>同一分装场所有不同火灾危险性的作业时，该场所的火灾危险性应按其中火灾危险性最大的类别确定。</w:t>
      </w:r>
    </w:p>
    <w:p>
      <w:pPr>
        <w:pStyle w:val="166"/>
      </w:pPr>
      <w:r>
        <w:rPr>
          <w:rFonts w:hint="eastAsia"/>
        </w:rPr>
        <w:t>易燃易爆的甲、乙类分装场所应采用不发生火花的地面，并应防潮、平整、坚实、易于清理。采用绝缘材料作整体面层时，应采取防静电措施。</w:t>
      </w:r>
    </w:p>
    <w:p>
      <w:pPr>
        <w:pStyle w:val="166"/>
      </w:pPr>
      <w:r>
        <w:rPr>
          <w:rFonts w:hint="eastAsia"/>
        </w:rPr>
        <w:t>腐蚀性化学品分装场所的地面、踢角等应做防腐蚀处理。</w:t>
      </w:r>
    </w:p>
    <w:p>
      <w:pPr>
        <w:pStyle w:val="166"/>
      </w:pPr>
      <w:r>
        <w:rPr>
          <w:rFonts w:hint="eastAsia"/>
        </w:rPr>
        <w:t>分装场所不宜设置外排地沟。确需设置时，其盖板应严密。地沟与相邻厂房连通处应采用防火材料密封。</w:t>
      </w:r>
    </w:p>
    <w:p>
      <w:pPr>
        <w:pStyle w:val="166"/>
      </w:pPr>
      <w:r>
        <w:rPr>
          <w:rFonts w:hint="eastAsia"/>
        </w:rPr>
        <w:t>散发爆炸危险性粉尘或可燃纤维的分装场所应采取防止粉尘和纤维扩散、飞扬和集聚的措施。</w:t>
      </w:r>
    </w:p>
    <w:p>
      <w:pPr>
        <w:pStyle w:val="166"/>
      </w:pPr>
      <w:r>
        <w:rPr>
          <w:rFonts w:hint="eastAsia"/>
        </w:rPr>
        <w:t>有分装可燃液体的多层建筑物或构筑物的楼板应采取防止可燃液体泄漏至下层的措施。</w:t>
      </w:r>
    </w:p>
    <w:p>
      <w:pPr>
        <w:pStyle w:val="166"/>
      </w:pPr>
      <w:r>
        <w:rPr>
          <w:rFonts w:hint="eastAsia"/>
        </w:rPr>
        <w:t>存在禁忌的化学品分装作业区应有实体墙隔开。禁忌物料参考GB 15603的规定。</w:t>
      </w:r>
    </w:p>
    <w:p>
      <w:pPr>
        <w:pStyle w:val="166"/>
      </w:pPr>
      <w:r>
        <w:rPr>
          <w:rFonts w:hint="eastAsia"/>
        </w:rPr>
        <w:t>分装场所的紧急疏散出口应标志明显、保持畅通。疏散门应向外开启。安全出口的数目应符合GB 55037的规定。</w:t>
      </w:r>
    </w:p>
    <w:p>
      <w:pPr>
        <w:pStyle w:val="166"/>
      </w:pPr>
      <w:r>
        <w:rPr>
          <w:rFonts w:hint="eastAsia"/>
        </w:rPr>
        <w:t>不应在化学品储存场所进行分装作业。</w:t>
      </w:r>
    </w:p>
    <w:p>
      <w:pPr>
        <w:pStyle w:val="105"/>
        <w:spacing w:before="312" w:after="312"/>
      </w:pPr>
      <w:bookmarkStart w:id="88" w:name="_Toc140470211"/>
      <w:bookmarkStart w:id="89" w:name="_Toc140471413"/>
      <w:bookmarkStart w:id="90" w:name="_Toc140470242"/>
      <w:r>
        <w:rPr>
          <w:rFonts w:hint="eastAsia"/>
        </w:rPr>
        <w:t>设备设施</w:t>
      </w:r>
      <w:bookmarkEnd w:id="88"/>
      <w:bookmarkEnd w:id="89"/>
      <w:bookmarkEnd w:id="90"/>
    </w:p>
    <w:p>
      <w:pPr>
        <w:pStyle w:val="106"/>
        <w:spacing w:before="156" w:after="156"/>
      </w:pPr>
      <w:bookmarkStart w:id="91" w:name="_Toc140470243"/>
      <w:bookmarkStart w:id="92" w:name="_Toc140470212"/>
      <w:bookmarkStart w:id="93" w:name="_Toc140471414"/>
      <w:r>
        <w:rPr>
          <w:rFonts w:hint="eastAsia"/>
        </w:rPr>
        <w:t>生产设备设施</w:t>
      </w:r>
      <w:bookmarkEnd w:id="91"/>
      <w:bookmarkEnd w:id="92"/>
      <w:bookmarkEnd w:id="93"/>
    </w:p>
    <w:p>
      <w:pPr>
        <w:pStyle w:val="166"/>
      </w:pPr>
      <w:r>
        <w:rPr>
          <w:rFonts w:hint="eastAsia"/>
        </w:rPr>
        <w:t xml:space="preserve">易燃易爆化学品的分装场所使用的电气设备（电动机、低压变压器、低压开关、断路器、控制按钮、配电盘、控制箱、操作箱等）及输配电线路、照明及事故照明设施、信号报警装置应采用防爆型设备。 </w:t>
      </w:r>
    </w:p>
    <w:p>
      <w:pPr>
        <w:pStyle w:val="166"/>
      </w:pPr>
      <w:r>
        <w:rPr>
          <w:rFonts w:hint="eastAsia"/>
        </w:rPr>
        <w:t>防爆电气设备的选型、安装、检查和维护应符合AQ 3009的规定</w:t>
      </w:r>
    </w:p>
    <w:p>
      <w:pPr>
        <w:pStyle w:val="166"/>
      </w:pPr>
      <w:r>
        <w:rPr>
          <w:rFonts w:hint="eastAsia"/>
        </w:rPr>
        <w:t>易燃易爆化学品的分装场所使用的设备、管线、器具均应有防止产生摩擦、撞击和静电积累的措施。各项防静电设施应符合GB 12158的规定。</w:t>
      </w:r>
    </w:p>
    <w:p>
      <w:pPr>
        <w:pStyle w:val="166"/>
      </w:pPr>
      <w:r>
        <w:rPr>
          <w:rFonts w:hint="eastAsia"/>
        </w:rPr>
        <w:t>粉状化学品分装场所存在静电引燃危险时,除应符合GB 12158相关要求外,还应遵守下列规定:</w:t>
      </w:r>
    </w:p>
    <w:p>
      <w:pPr>
        <w:pStyle w:val="175"/>
        <w:numPr>
          <w:ilvl w:val="0"/>
          <w:numId w:val="0"/>
        </w:numPr>
        <w:tabs>
          <w:tab w:val="clear" w:pos="851"/>
        </w:tabs>
        <w:ind w:left="425" w:leftChars="0"/>
      </w:pPr>
      <w:r>
        <w:rPr>
          <w:rFonts w:hint="eastAsia" w:ascii="宋体" w:hAnsi="Times New Roman" w:eastAsia="宋体" w:cs="Times New Roman"/>
          <w:color w:val="auto"/>
          <w:sz w:val="21"/>
          <w:lang w:val="en-US" w:eastAsia="zh-CN" w:bidi="ar-SA"/>
        </w:rPr>
        <w:t>a)</w:t>
      </w:r>
      <w:r>
        <w:rPr>
          <w:rFonts w:hint="eastAsia"/>
        </w:rPr>
        <w:t>所有金属设备、装置外壳、金属管道、支架、构件、部件等,应采用防静电直接接地措施；</w:t>
      </w:r>
    </w:p>
    <w:p>
      <w:pPr>
        <w:pStyle w:val="175"/>
        <w:numPr>
          <w:ilvl w:val="0"/>
          <w:numId w:val="0"/>
        </w:numPr>
        <w:tabs>
          <w:tab w:val="clear" w:pos="851"/>
        </w:tabs>
        <w:ind w:left="425" w:leftChars="0"/>
        <w:rPr>
          <w:color w:val="auto"/>
        </w:rPr>
      </w:pPr>
      <w:r>
        <w:rPr>
          <w:rFonts w:hint="eastAsia" w:ascii="宋体" w:hAnsi="Times New Roman" w:eastAsia="宋体" w:cs="Times New Roman"/>
          <w:color w:val="auto"/>
          <w:sz w:val="21"/>
          <w:lang w:val="en-US" w:eastAsia="zh-CN" w:bidi="ar-SA"/>
        </w:rPr>
        <w:t>b)</w:t>
      </w:r>
      <w:r>
        <w:rPr>
          <w:rFonts w:hint="eastAsia"/>
          <w:color w:val="auto"/>
        </w:rPr>
        <w:t>不便或工艺不准许直接接地的,可通过导静电材料或制品间接接地；</w:t>
      </w:r>
    </w:p>
    <w:p>
      <w:pPr>
        <w:pStyle w:val="175"/>
        <w:numPr>
          <w:ilvl w:val="0"/>
          <w:numId w:val="0"/>
        </w:numPr>
        <w:tabs>
          <w:tab w:val="clear" w:pos="851"/>
        </w:tabs>
        <w:ind w:left="425" w:leftChars="0"/>
        <w:rPr>
          <w:color w:val="auto"/>
        </w:rPr>
      </w:pPr>
      <w:r>
        <w:rPr>
          <w:rFonts w:hint="eastAsia" w:ascii="宋体" w:hAnsi="Times New Roman" w:eastAsia="宋体" w:cs="Times New Roman"/>
          <w:color w:val="auto"/>
          <w:sz w:val="21"/>
          <w:lang w:val="en-US" w:eastAsia="zh-CN" w:bidi="ar-SA"/>
        </w:rPr>
        <w:t>c)</w:t>
      </w:r>
      <w:r>
        <w:rPr>
          <w:rFonts w:hint="eastAsia"/>
          <w:color w:val="auto"/>
        </w:rPr>
        <w:t>直接用于盛装起电粉料的器具、输送粉料的管道(带)等，应采用金属或防静电材料制成；</w:t>
      </w:r>
    </w:p>
    <w:p>
      <w:pPr>
        <w:pStyle w:val="175"/>
        <w:numPr>
          <w:ilvl w:val="0"/>
          <w:numId w:val="0"/>
        </w:numPr>
        <w:tabs>
          <w:tab w:val="clear" w:pos="851"/>
        </w:tabs>
        <w:ind w:left="425" w:leftChars="0"/>
        <w:rPr>
          <w:color w:val="auto"/>
        </w:rPr>
      </w:pPr>
      <w:r>
        <w:rPr>
          <w:rFonts w:hint="eastAsia" w:ascii="宋体" w:hAnsi="Times New Roman" w:eastAsia="宋体" w:cs="Times New Roman"/>
          <w:color w:val="auto"/>
          <w:sz w:val="21"/>
          <w:lang w:val="en-US" w:eastAsia="zh-CN" w:bidi="ar-SA"/>
        </w:rPr>
        <w:t>d)</w:t>
      </w:r>
      <w:r>
        <w:rPr>
          <w:rFonts w:hint="eastAsia"/>
          <w:color w:val="auto"/>
        </w:rPr>
        <w:t>金属管道连接处(如法兰),应进行防静电跨接；</w:t>
      </w:r>
    </w:p>
    <w:p>
      <w:pPr>
        <w:pStyle w:val="175"/>
        <w:numPr>
          <w:ilvl w:val="0"/>
          <w:numId w:val="0"/>
        </w:numPr>
        <w:tabs>
          <w:tab w:val="clear" w:pos="851"/>
        </w:tabs>
        <w:ind w:left="425" w:leftChars="0"/>
      </w:pPr>
      <w:r>
        <w:rPr>
          <w:rFonts w:hint="eastAsia" w:ascii="宋体" w:hAnsi="Times New Roman" w:eastAsia="宋体" w:cs="Times New Roman"/>
          <w:color w:val="auto"/>
          <w:sz w:val="21"/>
          <w:lang w:val="en-US" w:eastAsia="zh-CN" w:bidi="ar-SA"/>
        </w:rPr>
        <w:t>e)</w:t>
      </w:r>
      <w:r>
        <w:rPr>
          <w:rFonts w:hint="eastAsia"/>
        </w:rPr>
        <w:t>操作人员应采取防静电措施。</w:t>
      </w:r>
    </w:p>
    <w:p>
      <w:pPr>
        <w:pStyle w:val="166"/>
      </w:pPr>
      <w:r>
        <w:rPr>
          <w:rFonts w:hint="eastAsia"/>
        </w:rPr>
        <w:t>进入分装场所所在建筑物的交流供电线路，在线路的总配电箱处，应设置Ⅰ类试验的浪涌保护器或Ⅱ类试验的浪涌保护器作为第一级保护；在配电线路分配电箱、电子设备机房配电箱等后续防护区交界处，可设置Ⅱ类或Ⅲ类试验的浪涌保护器作为后级保护；特殊重要的电子信息设备电源端口可安装Ⅱ类或Ⅲ类试验的浪涌保护器作为精细保护。</w:t>
      </w:r>
    </w:p>
    <w:p>
      <w:pPr>
        <w:pStyle w:val="166"/>
      </w:pPr>
      <w:r>
        <w:rPr>
          <w:rFonts w:hint="eastAsia"/>
        </w:rPr>
        <w:t>分装作业使用的机械设备，外露的传动部位应设置安全防护罩。</w:t>
      </w:r>
    </w:p>
    <w:p>
      <w:pPr>
        <w:pStyle w:val="166"/>
      </w:pPr>
      <w:r>
        <w:rPr>
          <w:rFonts w:hint="eastAsia"/>
        </w:rPr>
        <w:t>分装场所内不应架设临时线路和使用移动式电源插座。</w:t>
      </w:r>
    </w:p>
    <w:p>
      <w:pPr>
        <w:pStyle w:val="106"/>
        <w:spacing w:before="156" w:after="156"/>
      </w:pPr>
      <w:bookmarkStart w:id="94" w:name="_Toc140471415"/>
      <w:bookmarkStart w:id="95" w:name="_Toc140470244"/>
      <w:bookmarkStart w:id="96" w:name="_Toc140470213"/>
      <w:r>
        <w:rPr>
          <w:rFonts w:hint="eastAsia"/>
        </w:rPr>
        <w:t>安全设备设施</w:t>
      </w:r>
      <w:bookmarkEnd w:id="94"/>
      <w:bookmarkEnd w:id="95"/>
      <w:bookmarkEnd w:id="96"/>
    </w:p>
    <w:p>
      <w:pPr>
        <w:pStyle w:val="166"/>
      </w:pPr>
      <w:r>
        <w:rPr>
          <w:rFonts w:hint="eastAsia"/>
        </w:rPr>
        <w:t>下列场所应设置通风换气设施：</w:t>
      </w:r>
    </w:p>
    <w:p>
      <w:pPr>
        <w:pStyle w:val="175"/>
        <w:numPr>
          <w:ilvl w:val="0"/>
          <w:numId w:val="0"/>
        </w:numPr>
        <w:tabs>
          <w:tab w:val="clear" w:pos="851"/>
        </w:tabs>
        <w:ind w:left="425" w:leftChars="0"/>
        <w:rPr>
          <w:color w:val="auto"/>
        </w:rPr>
      </w:pPr>
      <w:r>
        <w:rPr>
          <w:rFonts w:hint="eastAsia" w:cs="Times New Roman"/>
          <w:color w:val="auto"/>
          <w:sz w:val="21"/>
          <w:lang w:val="en-US" w:eastAsia="zh-CN" w:bidi="ar-SA"/>
        </w:rPr>
        <w:t>a</w:t>
      </w:r>
      <w:r>
        <w:rPr>
          <w:rFonts w:hint="eastAsia" w:ascii="宋体" w:hAnsi="Times New Roman" w:eastAsia="宋体" w:cs="Times New Roman"/>
          <w:color w:val="auto"/>
          <w:sz w:val="21"/>
          <w:lang w:val="en-US" w:eastAsia="zh-CN" w:bidi="ar-SA"/>
        </w:rPr>
        <w:t>)</w:t>
      </w:r>
      <w:r>
        <w:rPr>
          <w:rFonts w:hint="eastAsia"/>
          <w:color w:val="auto"/>
        </w:rPr>
        <w:t>甲、乙类分装场所；</w:t>
      </w:r>
    </w:p>
    <w:p>
      <w:pPr>
        <w:pStyle w:val="175"/>
        <w:numPr>
          <w:ilvl w:val="0"/>
          <w:numId w:val="0"/>
        </w:numPr>
        <w:tabs>
          <w:tab w:val="clear" w:pos="851"/>
        </w:tabs>
        <w:ind w:left="425" w:leftChars="0"/>
      </w:pPr>
      <w:r>
        <w:rPr>
          <w:rFonts w:hint="eastAsia" w:cs="Times New Roman"/>
          <w:color w:val="auto"/>
          <w:sz w:val="21"/>
          <w:lang w:val="en-US" w:eastAsia="zh-CN" w:bidi="ar-SA"/>
        </w:rPr>
        <w:t>b</w:t>
      </w:r>
      <w:r>
        <w:rPr>
          <w:rFonts w:hint="eastAsia" w:ascii="宋体" w:hAnsi="Times New Roman" w:eastAsia="宋体" w:cs="Times New Roman"/>
          <w:color w:val="auto"/>
          <w:sz w:val="21"/>
          <w:lang w:val="en-US" w:eastAsia="zh-CN" w:bidi="ar-SA"/>
        </w:rPr>
        <w:t>)</w:t>
      </w:r>
      <w:r>
        <w:rPr>
          <w:rFonts w:hint="eastAsia"/>
        </w:rPr>
        <w:t>空气中含有燃烧或爆炸危险性粉尘、纤维的丙类分装场所。</w:t>
      </w:r>
    </w:p>
    <w:p>
      <w:pPr>
        <w:pStyle w:val="166"/>
      </w:pPr>
      <w:r>
        <w:rPr>
          <w:rFonts w:hint="eastAsia"/>
        </w:rPr>
        <w:t>除有特殊功能或性能要求的场所外，下列场所的空气不应循环使用：</w:t>
      </w:r>
    </w:p>
    <w:p>
      <w:pPr>
        <w:pStyle w:val="175"/>
        <w:numPr>
          <w:ilvl w:val="0"/>
          <w:numId w:val="0"/>
        </w:numPr>
        <w:tabs>
          <w:tab w:val="clear" w:pos="851"/>
        </w:tabs>
        <w:ind w:left="425" w:leftChars="0"/>
        <w:rPr>
          <w:color w:val="auto"/>
        </w:rPr>
      </w:pPr>
      <w:r>
        <w:rPr>
          <w:rFonts w:hint="eastAsia" w:cs="Times New Roman"/>
          <w:color w:val="auto"/>
          <w:sz w:val="21"/>
          <w:lang w:val="en-US" w:eastAsia="zh-CN" w:bidi="ar-SA"/>
        </w:rPr>
        <w:t>a</w:t>
      </w:r>
      <w:r>
        <w:rPr>
          <w:rFonts w:hint="eastAsia" w:ascii="宋体" w:hAnsi="Times New Roman" w:eastAsia="宋体" w:cs="Times New Roman"/>
          <w:color w:val="auto"/>
          <w:sz w:val="21"/>
          <w:lang w:val="en-US" w:eastAsia="zh-CN" w:bidi="ar-SA"/>
        </w:rPr>
        <w:t>)</w:t>
      </w:r>
      <w:r>
        <w:rPr>
          <w:rFonts w:hint="eastAsia"/>
          <w:color w:val="auto"/>
        </w:rPr>
        <w:t>甲、乙类分装场所；</w:t>
      </w:r>
    </w:p>
    <w:p>
      <w:pPr>
        <w:pStyle w:val="175"/>
        <w:numPr>
          <w:ilvl w:val="0"/>
          <w:numId w:val="0"/>
        </w:numPr>
        <w:tabs>
          <w:tab w:val="clear" w:pos="851"/>
        </w:tabs>
        <w:ind w:left="425" w:leftChars="0"/>
        <w:rPr>
          <w:color w:val="auto"/>
        </w:rPr>
      </w:pPr>
      <w:r>
        <w:rPr>
          <w:rFonts w:hint="eastAsia" w:cs="Times New Roman"/>
          <w:color w:val="auto"/>
          <w:sz w:val="21"/>
          <w:lang w:val="en-US" w:eastAsia="zh-CN" w:bidi="ar-SA"/>
        </w:rPr>
        <w:t>b</w:t>
      </w:r>
      <w:r>
        <w:rPr>
          <w:rFonts w:hint="eastAsia" w:ascii="宋体" w:hAnsi="Times New Roman" w:eastAsia="宋体" w:cs="Times New Roman"/>
          <w:color w:val="auto"/>
          <w:sz w:val="21"/>
          <w:lang w:val="en-US" w:eastAsia="zh-CN" w:bidi="ar-SA"/>
        </w:rPr>
        <w:t>)</w:t>
      </w:r>
      <w:r>
        <w:rPr>
          <w:rFonts w:hint="eastAsia"/>
          <w:color w:val="auto"/>
        </w:rPr>
        <w:t>产生燃烧或爆炸危险性粉尘、纤维且所排除空气的含尘浓度不小于其爆炸下限25%的丙类分装场所；</w:t>
      </w:r>
    </w:p>
    <w:p>
      <w:pPr>
        <w:pStyle w:val="175"/>
        <w:numPr>
          <w:ilvl w:val="0"/>
          <w:numId w:val="0"/>
        </w:numPr>
        <w:tabs>
          <w:tab w:val="clear" w:pos="851"/>
        </w:tabs>
        <w:ind w:left="425" w:leftChars="0"/>
      </w:pPr>
      <w:r>
        <w:rPr>
          <w:rFonts w:hint="eastAsia" w:cs="Times New Roman"/>
          <w:color w:val="auto"/>
          <w:sz w:val="21"/>
          <w:lang w:val="en-US" w:eastAsia="zh-CN" w:bidi="ar-SA"/>
        </w:rPr>
        <w:t>c</w:t>
      </w:r>
      <w:r>
        <w:rPr>
          <w:rFonts w:hint="eastAsia" w:ascii="宋体" w:hAnsi="Times New Roman" w:eastAsia="宋体" w:cs="Times New Roman"/>
          <w:color w:val="auto"/>
          <w:sz w:val="21"/>
          <w:lang w:val="en-US" w:eastAsia="zh-CN" w:bidi="ar-SA"/>
        </w:rPr>
        <w:t>)</w:t>
      </w:r>
      <w:r>
        <w:rPr>
          <w:rFonts w:hint="eastAsia"/>
        </w:rPr>
        <w:t>产生易燃易爆气体或蒸气且所排除空气中的含气体浓度不小于其爆炸下限值10%的其他场所。</w:t>
      </w:r>
    </w:p>
    <w:p>
      <w:pPr>
        <w:pStyle w:val="166"/>
      </w:pPr>
      <w:r>
        <w:rPr>
          <w:rFonts w:hint="eastAsia"/>
        </w:rPr>
        <w:t>甲、乙类生产场所的送风设备，不应与排风设备设置在同一通风机房内。用于排除甲、乙类物质的排风设备不应与其他房间的非防爆送、排设备设置在同一通风机房内。</w:t>
      </w:r>
    </w:p>
    <w:p>
      <w:pPr>
        <w:pStyle w:val="166"/>
      </w:pPr>
      <w:r>
        <w:rPr>
          <w:rFonts w:hint="eastAsia"/>
        </w:rPr>
        <w:t>排除有燃烧或爆炸危险性物质的风管，不应穿过防火墙或爆炸危险性房间、人员聚集的房间、可燃物较多的房间的隔墙。</w:t>
      </w:r>
    </w:p>
    <w:p>
      <w:pPr>
        <w:pStyle w:val="166"/>
      </w:pPr>
      <w:r>
        <w:rPr>
          <w:rFonts w:hint="eastAsia"/>
        </w:rPr>
        <w:t>产生可燃气体（或蒸气）和有毒气体的分装场所，应参照GB/T 50493的要求设置可燃气体和有毒气体检测报警系统。现场区域警报器的启动信号应采用第二级报警设定值信号。区域警报器的数量宜使在该区域内任何地点的现场人员都能感知到报警。可燃气体和有毒气体检测报警信号应送至有人值守的现场控制室、中心控制室等进行显示报警；可燃气体二级报警信号、可燃气体和有毒气体检测报警系统报警控制单元的故障信号应送至消防控制室。封闭及半封闭场所的探测报警系统应与风机联动。有毒气体探测器宜带一体化的声、光警报器，可燃气体探测器可带一体化的声、光警报器，一体化声、光警报器的启动信号应采用第一级报警设定值信号。</w:t>
      </w:r>
    </w:p>
    <w:p>
      <w:pPr>
        <w:pStyle w:val="166"/>
      </w:pPr>
      <w:r>
        <w:rPr>
          <w:rFonts w:hint="eastAsia"/>
        </w:rPr>
        <w:t>分装场所应设置视频监控系统，并能覆盖所有部位。视频监控系统建设应符合DB11/T 384（所有部分）的规定。监测监控系统应配备UPS电源。视频录像时间不少于90天。</w:t>
      </w:r>
    </w:p>
    <w:p>
      <w:pPr>
        <w:pStyle w:val="166"/>
      </w:pPr>
      <w:r>
        <w:rPr>
          <w:rFonts w:hint="eastAsia"/>
        </w:rPr>
        <w:t>分装厂房应设置防雷设施，并应符合GB 50057的规定。</w:t>
      </w:r>
    </w:p>
    <w:p>
      <w:pPr>
        <w:pStyle w:val="166"/>
      </w:pPr>
      <w:r>
        <w:rPr>
          <w:rFonts w:hint="eastAsia"/>
        </w:rPr>
        <w:t>易燃易爆化学品的分装场所应设置具有报警功能的人体静电消除器。</w:t>
      </w:r>
    </w:p>
    <w:p>
      <w:pPr>
        <w:pStyle w:val="166"/>
      </w:pPr>
      <w:r>
        <w:rPr>
          <w:rFonts w:hint="eastAsia"/>
        </w:rPr>
        <w:t>液体化学品分装场所应有防止液体流散的阻隔和收集设施。</w:t>
      </w:r>
    </w:p>
    <w:p>
      <w:pPr>
        <w:pStyle w:val="166"/>
      </w:pPr>
      <w:r>
        <w:rPr>
          <w:rFonts w:hint="eastAsia"/>
        </w:rPr>
        <w:t>分装场所内易于发生坠落危险的操作岗位，应设置便于操作、巡检或维修作业的扶梯、平台、围栏等附属设施。</w:t>
      </w:r>
    </w:p>
    <w:p>
      <w:pPr>
        <w:pStyle w:val="106"/>
        <w:spacing w:before="156" w:after="156"/>
      </w:pPr>
      <w:bookmarkStart w:id="97" w:name="_Toc140470245"/>
      <w:bookmarkStart w:id="98" w:name="_Toc140470214"/>
      <w:bookmarkStart w:id="99" w:name="_Toc140471416"/>
      <w:r>
        <w:rPr>
          <w:rFonts w:hint="eastAsia"/>
        </w:rPr>
        <w:t>消防器材</w:t>
      </w:r>
      <w:bookmarkEnd w:id="97"/>
      <w:bookmarkEnd w:id="98"/>
      <w:bookmarkEnd w:id="99"/>
    </w:p>
    <w:p>
      <w:pPr>
        <w:pStyle w:val="166"/>
      </w:pPr>
      <w:r>
        <w:rPr>
          <w:rFonts w:hint="eastAsia"/>
        </w:rPr>
        <w:t>分装场所灭火器配备的类型和数量应符合 GB 55036的规定。并根据需要配备灭火毯、消防砂、消防铲等。</w:t>
      </w:r>
    </w:p>
    <w:p>
      <w:pPr>
        <w:pStyle w:val="166"/>
      </w:pPr>
      <w:r>
        <w:rPr>
          <w:rFonts w:hint="eastAsia"/>
        </w:rPr>
        <w:t>消防器材应定位放置于明显和便于取用的地点，且不影响人员疏散。当确需设置在有视线障碍的设置点时，应设置指示灭火器位置的醒目标志。</w:t>
      </w:r>
    </w:p>
    <w:p>
      <w:pPr>
        <w:pStyle w:val="105"/>
        <w:spacing w:before="312" w:after="312"/>
      </w:pPr>
      <w:bookmarkStart w:id="100" w:name="_Toc140471417"/>
      <w:bookmarkStart w:id="101" w:name="_Toc140470246"/>
      <w:bookmarkStart w:id="102" w:name="_Toc140470215"/>
      <w:r>
        <w:rPr>
          <w:rFonts w:hint="eastAsia"/>
        </w:rPr>
        <w:t>分装工艺</w:t>
      </w:r>
      <w:bookmarkEnd w:id="100"/>
      <w:bookmarkEnd w:id="101"/>
      <w:bookmarkEnd w:id="102"/>
    </w:p>
    <w:p>
      <w:pPr>
        <w:pStyle w:val="163"/>
      </w:pPr>
      <w:r>
        <w:rPr>
          <w:rFonts w:hint="eastAsia"/>
        </w:rPr>
        <w:t>具有急性吸入性毒性的化学品分装作业宜采用全密闭的自动化分装工艺。</w:t>
      </w:r>
    </w:p>
    <w:p>
      <w:pPr>
        <w:pStyle w:val="163"/>
      </w:pPr>
      <w:r>
        <w:rPr>
          <w:rFonts w:hint="eastAsia"/>
        </w:rPr>
        <w:t>其他危险化学品的分装作业宜采用机械化、自动化的分装工艺。</w:t>
      </w:r>
    </w:p>
    <w:p>
      <w:pPr>
        <w:pStyle w:val="163"/>
      </w:pPr>
      <w:r>
        <w:rPr>
          <w:rFonts w:hint="eastAsia"/>
        </w:rPr>
        <w:t>分装作业使用的包装物应采购有相应资质企业的产品，并应符合GB 12463的规定。</w:t>
      </w:r>
    </w:p>
    <w:p>
      <w:pPr>
        <w:pStyle w:val="163"/>
      </w:pPr>
      <w:r>
        <w:rPr>
          <w:rFonts w:hint="eastAsia"/>
        </w:rPr>
        <w:t>分装场所静电接地的设计应符合SH/T 3097的规定。</w:t>
      </w:r>
    </w:p>
    <w:p>
      <w:pPr>
        <w:pStyle w:val="105"/>
        <w:spacing w:before="312" w:after="312"/>
      </w:pPr>
      <w:bookmarkStart w:id="103" w:name="_Toc140471418"/>
      <w:bookmarkStart w:id="104" w:name="_Toc140470247"/>
      <w:bookmarkStart w:id="105" w:name="_Toc140470216"/>
      <w:r>
        <w:rPr>
          <w:rFonts w:hint="eastAsia"/>
        </w:rPr>
        <w:t>个体防护用品使用</w:t>
      </w:r>
      <w:bookmarkEnd w:id="103"/>
      <w:bookmarkEnd w:id="104"/>
      <w:bookmarkEnd w:id="105"/>
    </w:p>
    <w:p>
      <w:pPr>
        <w:pStyle w:val="163"/>
      </w:pPr>
      <w:r>
        <w:rPr>
          <w:rFonts w:hint="eastAsia"/>
        </w:rPr>
        <w:t>分装作业岗位个体防护用品的配备应符合 GB 39800.1的规定。个体防护用品的选择应与作业场所的环境状况、作业状况、存在的危害因素和危害程度相适应。</w:t>
      </w:r>
    </w:p>
    <w:p>
      <w:pPr>
        <w:pStyle w:val="163"/>
      </w:pPr>
      <w:r>
        <w:rPr>
          <w:rFonts w:hint="eastAsia"/>
        </w:rPr>
        <w:t>从业人员应正确使用个体防护用品。</w:t>
      </w:r>
    </w:p>
    <w:p>
      <w:pPr>
        <w:pStyle w:val="163"/>
      </w:pPr>
      <w:r>
        <w:rPr>
          <w:rFonts w:hint="eastAsia"/>
        </w:rPr>
        <w:t>个体防护用品应定点存放在方便取用的地方，并有专人负责保管，定期维护保养。</w:t>
      </w:r>
    </w:p>
    <w:p>
      <w:pPr>
        <w:pStyle w:val="105"/>
        <w:spacing w:before="312" w:after="312"/>
      </w:pPr>
      <w:bookmarkStart w:id="106" w:name="_Toc140470217"/>
      <w:bookmarkStart w:id="107" w:name="_Toc140471419"/>
      <w:bookmarkStart w:id="108" w:name="_Toc140470248"/>
      <w:r>
        <w:rPr>
          <w:rFonts w:hint="eastAsia"/>
        </w:rPr>
        <w:t>作业人员行为规范</w:t>
      </w:r>
      <w:bookmarkEnd w:id="106"/>
      <w:bookmarkEnd w:id="107"/>
      <w:bookmarkEnd w:id="108"/>
    </w:p>
    <w:p>
      <w:pPr>
        <w:pStyle w:val="106"/>
        <w:spacing w:before="156" w:after="156"/>
      </w:pPr>
      <w:bookmarkStart w:id="109" w:name="_Toc140470218"/>
      <w:bookmarkStart w:id="110" w:name="_Toc140470249"/>
      <w:bookmarkStart w:id="111" w:name="_Toc140471420"/>
      <w:r>
        <w:rPr>
          <w:rFonts w:hint="eastAsia"/>
        </w:rPr>
        <w:t>作业准备</w:t>
      </w:r>
      <w:bookmarkEnd w:id="109"/>
      <w:bookmarkEnd w:id="110"/>
      <w:bookmarkEnd w:id="111"/>
    </w:p>
    <w:p>
      <w:pPr>
        <w:pStyle w:val="166"/>
      </w:pPr>
      <w:r>
        <w:rPr>
          <w:rFonts w:hint="eastAsia"/>
        </w:rPr>
        <w:t>作业人员应按岗位要求穿戴个体防护用品。易燃易爆化学品作业人员应穿防静电工作服。不应穿带铁钉鞋进入分装作业现场。</w:t>
      </w:r>
    </w:p>
    <w:p>
      <w:pPr>
        <w:pStyle w:val="166"/>
      </w:pPr>
      <w:r>
        <w:rPr>
          <w:rFonts w:hint="eastAsia"/>
        </w:rPr>
        <w:t>作业人员进入易燃易爆化学品分装作业场所前，应先通过人体静电释放装置消除静电。</w:t>
      </w:r>
    </w:p>
    <w:p>
      <w:pPr>
        <w:pStyle w:val="166"/>
      </w:pPr>
      <w:r>
        <w:rPr>
          <w:rFonts w:hint="eastAsia"/>
        </w:rPr>
        <w:t>作业前应确认现场的安全设施和监控、监测设备处于正常适用状态。</w:t>
      </w:r>
    </w:p>
    <w:p>
      <w:pPr>
        <w:pStyle w:val="166"/>
      </w:pPr>
      <w:r>
        <w:rPr>
          <w:rFonts w:hint="eastAsia"/>
        </w:rPr>
        <w:t>临时性分装作业应制定临时作业方案及安全防范措施。</w:t>
      </w:r>
    </w:p>
    <w:p>
      <w:pPr>
        <w:pStyle w:val="166"/>
      </w:pPr>
      <w:r>
        <w:rPr>
          <w:rFonts w:hint="eastAsia"/>
        </w:rPr>
        <w:t>机动车辆进入易燃易爆分装场所应配装阻火器。</w:t>
      </w:r>
    </w:p>
    <w:p>
      <w:pPr>
        <w:pStyle w:val="106"/>
        <w:spacing w:before="156" w:after="156"/>
      </w:pPr>
      <w:bookmarkStart w:id="112" w:name="_Toc140470250"/>
      <w:bookmarkStart w:id="113" w:name="_Toc140471421"/>
      <w:bookmarkStart w:id="114" w:name="_Toc140470219"/>
      <w:r>
        <w:rPr>
          <w:rFonts w:hint="eastAsia"/>
        </w:rPr>
        <w:t>作业</w:t>
      </w:r>
      <w:bookmarkEnd w:id="112"/>
      <w:bookmarkEnd w:id="113"/>
      <w:bookmarkEnd w:id="114"/>
      <w:r>
        <w:rPr>
          <w:rFonts w:hint="eastAsia"/>
          <w:color w:val="auto"/>
          <w:lang w:val="en-US" w:eastAsia="zh-CN"/>
        </w:rPr>
        <w:t>实施</w:t>
      </w:r>
    </w:p>
    <w:p>
      <w:pPr>
        <w:pStyle w:val="166"/>
      </w:pPr>
      <w:r>
        <w:rPr>
          <w:rFonts w:hint="eastAsia"/>
        </w:rPr>
        <w:t>每个岗位应至少两人在岗。</w:t>
      </w:r>
    </w:p>
    <w:p>
      <w:pPr>
        <w:pStyle w:val="166"/>
      </w:pPr>
      <w:r>
        <w:rPr>
          <w:rFonts w:hint="eastAsia"/>
        </w:rPr>
        <w:t>易燃易爆化学品作业场所内不应使用打火机、非防爆手机、非防爆相机等。</w:t>
      </w:r>
    </w:p>
    <w:p>
      <w:pPr>
        <w:pStyle w:val="166"/>
      </w:pPr>
      <w:r>
        <w:rPr>
          <w:rFonts w:hint="eastAsia"/>
        </w:rPr>
        <w:t>分装易燃易爆化学品时应使用防爆型操作工具及设备，不应使用铁质工具和撞击易产生火花的工具。</w:t>
      </w:r>
    </w:p>
    <w:p>
      <w:pPr>
        <w:pStyle w:val="166"/>
      </w:pPr>
      <w:r>
        <w:rPr>
          <w:rFonts w:hint="eastAsia"/>
        </w:rPr>
        <w:t>作业过程中，作业人员不应擅离岗位或从事与本岗位无关的活动。</w:t>
      </w:r>
    </w:p>
    <w:p>
      <w:pPr>
        <w:pStyle w:val="166"/>
      </w:pPr>
      <w:r>
        <w:rPr>
          <w:rFonts w:hint="eastAsia"/>
        </w:rPr>
        <w:t>作业人员应遵守安全操作规程。操作时应轻拿轻放，防止震动、撞击、摩擦、重压。</w:t>
      </w:r>
    </w:p>
    <w:p>
      <w:pPr>
        <w:pStyle w:val="166"/>
      </w:pPr>
      <w:r>
        <w:rPr>
          <w:rFonts w:hint="eastAsia"/>
        </w:rPr>
        <w:t>不应在水泥地面上拖动、滚动桶装液体。</w:t>
      </w:r>
    </w:p>
    <w:p>
      <w:pPr>
        <w:pStyle w:val="166"/>
      </w:pPr>
      <w:r>
        <w:rPr>
          <w:rFonts w:hint="eastAsia"/>
        </w:rPr>
        <w:t>分装易燃液体时应控制流速，初始流速不宜超过1m/s。采用由上自下灌装时，宜使液体沿侧壁缓慢下流。</w:t>
      </w:r>
    </w:p>
    <w:p>
      <w:pPr>
        <w:pStyle w:val="166"/>
      </w:pPr>
      <w:r>
        <w:rPr>
          <w:rFonts w:hint="eastAsia"/>
        </w:rPr>
        <w:t>分装作业不应与其它危险作业或特殊作业交叉进行。</w:t>
      </w:r>
    </w:p>
    <w:p>
      <w:pPr>
        <w:pStyle w:val="166"/>
      </w:pPr>
      <w:r>
        <w:rPr>
          <w:rFonts w:hint="eastAsia"/>
        </w:rPr>
        <w:t>分装场所应保持疏散通道畅通，现场不应堆放与分装作业无关的物品。</w:t>
      </w:r>
    </w:p>
    <w:p>
      <w:pPr>
        <w:pStyle w:val="166"/>
      </w:pPr>
      <w:r>
        <w:rPr>
          <w:rFonts w:hint="eastAsia"/>
        </w:rPr>
        <w:t>不应使用汽油等易燃液体擦拭设备、地坪和衣服等。</w:t>
      </w:r>
    </w:p>
    <w:p>
      <w:pPr>
        <w:pStyle w:val="166"/>
      </w:pPr>
      <w:r>
        <w:rPr>
          <w:rFonts w:hint="eastAsia"/>
        </w:rPr>
        <w:t>作业过程中发现事故隐患或者其他不安全因素时，应立即采取措施，并向安全管理人员或部门负责人报告。</w:t>
      </w:r>
    </w:p>
    <w:p>
      <w:pPr>
        <w:pStyle w:val="106"/>
        <w:spacing w:before="156" w:after="156"/>
      </w:pPr>
      <w:bookmarkStart w:id="115" w:name="_Toc140471422"/>
      <w:bookmarkStart w:id="116" w:name="_Toc140470220"/>
      <w:bookmarkStart w:id="117" w:name="_Toc140470251"/>
      <w:r>
        <w:rPr>
          <w:rFonts w:hint="eastAsia"/>
        </w:rPr>
        <w:t>作业</w:t>
      </w:r>
      <w:bookmarkEnd w:id="115"/>
      <w:bookmarkEnd w:id="116"/>
      <w:bookmarkEnd w:id="117"/>
      <w:r>
        <w:rPr>
          <w:rFonts w:hint="eastAsia"/>
          <w:color w:val="auto"/>
          <w:lang w:val="en-US" w:eastAsia="zh-CN"/>
        </w:rPr>
        <w:t>结束</w:t>
      </w:r>
    </w:p>
    <w:p>
      <w:pPr>
        <w:pStyle w:val="57"/>
        <w:ind w:firstLine="420"/>
      </w:pPr>
      <w:r>
        <w:rPr>
          <w:rFonts w:hint="eastAsia"/>
        </w:rPr>
        <w:t>分装作业</w:t>
      </w:r>
      <w:bookmarkStart w:id="123" w:name="_GoBack"/>
      <w:bookmarkEnd w:id="123"/>
      <w:r>
        <w:rPr>
          <w:rFonts w:hint="eastAsia"/>
        </w:rPr>
        <w:t>完成后应及时清理现场的包装物。废弃化学品、废弃包装物应按危险类别分类收集、贮存，并委托有相关危险废物处置利用资质的企业处置。</w:t>
      </w:r>
    </w:p>
    <w:p>
      <w:pPr>
        <w:pStyle w:val="57"/>
        <w:ind w:firstLine="420"/>
      </w:pPr>
    </w:p>
    <w:bookmarkEnd w:id="27"/>
    <w:p>
      <w:pPr>
        <w:pStyle w:val="57"/>
        <w:ind w:firstLine="420"/>
        <w:sectPr>
          <w:pgSz w:w="11906" w:h="16838"/>
          <w:pgMar w:top="1928" w:right="1134" w:bottom="1134" w:left="1134" w:header="1418" w:footer="1134" w:gutter="284"/>
          <w:pgNumType w:start="1"/>
          <w:cols w:space="425" w:num="1"/>
          <w:formProt w:val="0"/>
          <w:docGrid w:type="lines" w:linePitch="312" w:charSpace="0"/>
        </w:sectPr>
      </w:pPr>
      <w:bookmarkStart w:id="118" w:name="BookMark6"/>
    </w:p>
    <w:p>
      <w:pPr>
        <w:pStyle w:val="64"/>
        <w:spacing w:after="156"/>
      </w:pPr>
      <w:bookmarkStart w:id="119" w:name="_Toc140470252"/>
      <w:bookmarkStart w:id="120" w:name="_Toc140470221"/>
      <w:bookmarkStart w:id="121" w:name="_Toc140471423"/>
      <w:r>
        <w:rPr>
          <w:rFonts w:hint="eastAsia"/>
          <w:spacing w:val="105"/>
        </w:rPr>
        <w:t>参考文</w:t>
      </w:r>
      <w:r>
        <w:rPr>
          <w:rFonts w:hint="eastAsia"/>
        </w:rPr>
        <w:t>献</w:t>
      </w:r>
      <w:bookmarkEnd w:id="119"/>
      <w:bookmarkEnd w:id="120"/>
      <w:bookmarkEnd w:id="121"/>
    </w:p>
    <w:p>
      <w:pPr>
        <w:pStyle w:val="57"/>
        <w:ind w:firstLine="420"/>
        <w:rPr>
          <w:rFonts w:hint="eastAsia" w:eastAsia="宋体"/>
          <w:lang w:eastAsia="zh-CN"/>
        </w:rPr>
      </w:pPr>
      <w:r>
        <w:rPr>
          <w:rFonts w:hint="eastAsia"/>
        </w:rPr>
        <w:t>[1] 危险化学品品目录（2015年版），国家安全监管总局等10部门，2015年第5号公告</w:t>
      </w:r>
    </w:p>
    <w:p>
      <w:pPr>
        <w:pStyle w:val="57"/>
        <w:ind w:firstLine="420"/>
        <w:rPr>
          <w:rFonts w:hint="eastAsia" w:eastAsia="宋体"/>
          <w:lang w:val="en-US" w:eastAsia="zh-CN"/>
        </w:rPr>
      </w:pPr>
      <w:r>
        <w:rPr>
          <w:rFonts w:hint="eastAsia"/>
        </w:rPr>
        <w:t>[2] 易制毒化学品名录，中华人民共和国国务院令2005年第445号</w:t>
      </w:r>
    </w:p>
    <w:p>
      <w:pPr>
        <w:pStyle w:val="57"/>
        <w:ind w:firstLine="420"/>
        <w:rPr>
          <w:rFonts w:hint="eastAsia" w:eastAsia="宋体"/>
          <w:lang w:val="en-US" w:eastAsia="zh-CN"/>
        </w:rPr>
      </w:pPr>
      <w:r>
        <w:rPr>
          <w:rFonts w:hint="eastAsia"/>
        </w:rPr>
        <w:t>[3] 易制爆危险化学品名录（2017年版），中华人民共和国公安部，2017年</w:t>
      </w:r>
    </w:p>
    <w:p>
      <w:pPr>
        <w:pStyle w:val="57"/>
        <w:ind w:firstLine="420"/>
        <w:rPr>
          <w:rFonts w:hint="eastAsia" w:eastAsia="宋体"/>
          <w:lang w:val="en-US" w:eastAsia="zh-CN"/>
        </w:rPr>
      </w:pPr>
      <w:r>
        <w:rPr>
          <w:rFonts w:hint="eastAsia"/>
        </w:rPr>
        <w:t>[4] 高毒物品目录（2003年版）,卫法监发[2003]142号</w:t>
      </w:r>
    </w:p>
    <w:bookmarkEnd w:id="118"/>
    <w:p>
      <w:pPr>
        <w:pStyle w:val="57"/>
        <w:ind w:firstLine="0" w:firstLineChars="0"/>
        <w:jc w:val="center"/>
      </w:pPr>
      <w:bookmarkStart w:id="122" w:name="BookMark8"/>
      <w:r>
        <w:rPr>
          <w:rFonts w:hint="eastAsia"/>
        </w:rP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cstate="print"/>
                    <a:stretch>
                      <a:fillRect/>
                    </a:stretch>
                  </pic:blipFill>
                  <pic:spPr>
                    <a:xfrm>
                      <a:off x="0" y="0"/>
                      <a:ext cx="1485900" cy="317500"/>
                    </a:xfrm>
                    <a:prstGeom prst="rect">
                      <a:avLst/>
                    </a:prstGeom>
                  </pic:spPr>
                </pic:pic>
              </a:graphicData>
            </a:graphic>
          </wp:inline>
        </w:drawing>
      </w:r>
      <w:bookmarkEnd w:id="12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11/T 1250—202X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 11/T 1250—202X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C98E5"/>
    <w:multiLevelType w:val="multilevel"/>
    <w:tmpl w:val="BDDC98E5"/>
    <w:lvl w:ilvl="0" w:tentative="0">
      <w:start w:val="1"/>
      <w:numFmt w:val="lowerLetter"/>
      <w:pStyle w:val="175"/>
      <w:lvlText w:val="%1)"/>
      <w:lvlJc w:val="left"/>
      <w:pPr>
        <w:tabs>
          <w:tab w:val="left" w:pos="851"/>
        </w:tabs>
        <w:ind w:left="851" w:hanging="426"/>
      </w:pPr>
      <w:rPr>
        <w:rFonts w:hint="default"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142"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7"/>
  </w:num>
  <w:num w:numId="3">
    <w:abstractNumId w:val="6"/>
  </w:num>
  <w:num w:numId="4">
    <w:abstractNumId w:val="23"/>
  </w:num>
  <w:num w:numId="5">
    <w:abstractNumId w:val="18"/>
  </w:num>
  <w:num w:numId="6">
    <w:abstractNumId w:val="13"/>
  </w:num>
  <w:num w:numId="7">
    <w:abstractNumId w:val="9"/>
  </w:num>
  <w:num w:numId="8">
    <w:abstractNumId w:val="4"/>
  </w:num>
  <w:num w:numId="9">
    <w:abstractNumId w:val="10"/>
  </w:num>
  <w:num w:numId="10">
    <w:abstractNumId w:val="16"/>
  </w:num>
  <w:num w:numId="11">
    <w:abstractNumId w:val="25"/>
  </w:num>
  <w:num w:numId="12">
    <w:abstractNumId w:val="12"/>
  </w:num>
  <w:num w:numId="13">
    <w:abstractNumId w:val="0"/>
  </w:num>
  <w:num w:numId="14">
    <w:abstractNumId w:val="8"/>
  </w:num>
  <w:num w:numId="15">
    <w:abstractNumId w:val="19"/>
  </w:num>
  <w:num w:numId="16">
    <w:abstractNumId w:val="21"/>
  </w:num>
  <w:num w:numId="17">
    <w:abstractNumId w:val="17"/>
  </w:num>
  <w:num w:numId="18">
    <w:abstractNumId w:val="29"/>
  </w:num>
  <w:num w:numId="19">
    <w:abstractNumId w:val="15"/>
  </w:num>
  <w:num w:numId="20">
    <w:abstractNumId w:val="2"/>
  </w:num>
  <w:num w:numId="21">
    <w:abstractNumId w:val="11"/>
  </w:num>
  <w:num w:numId="22">
    <w:abstractNumId w:val="30"/>
  </w:num>
  <w:num w:numId="23">
    <w:abstractNumId w:val="20"/>
  </w:num>
  <w:num w:numId="24">
    <w:abstractNumId w:val="7"/>
  </w:num>
  <w:num w:numId="25">
    <w:abstractNumId w:val="26"/>
  </w:num>
  <w:num w:numId="26">
    <w:abstractNumId w:val="28"/>
  </w:num>
  <w:num w:numId="27">
    <w:abstractNumId w:val="3"/>
  </w:num>
  <w:num w:numId="28">
    <w:abstractNumId w:val="5"/>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10;ByZsNYcmGw=====" w:salt="+1RE4Kp/eTG2YN0HcnZSL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M2Y3YzE4ZDE0NDA4N2IxMjFlN2U2MWRjM2JhMWYifQ=="/>
  </w:docVars>
  <w:rsids>
    <w:rsidRoot w:val="00021DD3"/>
    <w:rsid w:val="0000040A"/>
    <w:rsid w:val="00000A94"/>
    <w:rsid w:val="00001972"/>
    <w:rsid w:val="00001D9A"/>
    <w:rsid w:val="00002459"/>
    <w:rsid w:val="00007B3A"/>
    <w:rsid w:val="000107E0"/>
    <w:rsid w:val="00011FDE"/>
    <w:rsid w:val="00012FFD"/>
    <w:rsid w:val="00014162"/>
    <w:rsid w:val="00014340"/>
    <w:rsid w:val="00016A9C"/>
    <w:rsid w:val="00021DD3"/>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7D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07A"/>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CCB"/>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39C"/>
    <w:rsid w:val="00573D9E"/>
    <w:rsid w:val="005801E3"/>
    <w:rsid w:val="00581802"/>
    <w:rsid w:val="005836A8"/>
    <w:rsid w:val="0058409C"/>
    <w:rsid w:val="00584262"/>
    <w:rsid w:val="00586630"/>
    <w:rsid w:val="00587ADD"/>
    <w:rsid w:val="00591E27"/>
    <w:rsid w:val="00596160"/>
    <w:rsid w:val="005966E2"/>
    <w:rsid w:val="00597007"/>
    <w:rsid w:val="005A025F"/>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646"/>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A5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07B"/>
    <w:rsid w:val="007F0ED8"/>
    <w:rsid w:val="007F0F63"/>
    <w:rsid w:val="007F3145"/>
    <w:rsid w:val="007F75CE"/>
    <w:rsid w:val="008013A4"/>
    <w:rsid w:val="008027CE"/>
    <w:rsid w:val="00802F42"/>
    <w:rsid w:val="00803C2F"/>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BD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93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AF0"/>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7AF"/>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872D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B02"/>
    <w:rsid w:val="00CD0CF0"/>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07D75"/>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4061"/>
    <w:rsid w:val="00D950E1"/>
    <w:rsid w:val="00D952A6"/>
    <w:rsid w:val="00D97F99"/>
    <w:rsid w:val="00DA1AA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D34"/>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429"/>
    <w:rsid w:val="00FB45F1"/>
    <w:rsid w:val="00FB4A72"/>
    <w:rsid w:val="00FB54E8"/>
    <w:rsid w:val="00FB7054"/>
    <w:rsid w:val="00FC17B7"/>
    <w:rsid w:val="00FC2CB7"/>
    <w:rsid w:val="00FC4090"/>
    <w:rsid w:val="00FC55B4"/>
    <w:rsid w:val="00FC5D4C"/>
    <w:rsid w:val="00FD00E6"/>
    <w:rsid w:val="00FD09A1"/>
    <w:rsid w:val="00FD2A7C"/>
    <w:rsid w:val="00FD33AE"/>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80C7DBC"/>
    <w:rsid w:val="30CF1D0C"/>
    <w:rsid w:val="34B1324C"/>
    <w:rsid w:val="386D4B74"/>
    <w:rsid w:val="3FF706A8"/>
    <w:rsid w:val="43324E9F"/>
    <w:rsid w:val="4D3820A2"/>
    <w:rsid w:val="4E880069"/>
    <w:rsid w:val="57CB0DD5"/>
    <w:rsid w:val="63BB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character" w:customStyle="1" w:styleId="232">
    <w:name w:val="段 Char"/>
    <w:link w:val="233"/>
    <w:qFormat/>
    <w:locked/>
    <w:uiPriority w:val="99"/>
    <w:rPr>
      <w:rFonts w:ascii="宋体" w:hAnsi="宋体"/>
      <w:sz w:val="22"/>
      <w:szCs w:val="22"/>
    </w:rPr>
  </w:style>
  <w:style w:type="paragraph" w:customStyle="1" w:styleId="233">
    <w:name w:val="段"/>
    <w:link w:val="232"/>
    <w:qFormat/>
    <w:uiPriority w:val="99"/>
    <w:pPr>
      <w:tabs>
        <w:tab w:val="center" w:pos="4201"/>
        <w:tab w:val="right" w:leader="dot" w:pos="9298"/>
      </w:tabs>
      <w:autoSpaceDE w:val="0"/>
      <w:autoSpaceDN w:val="0"/>
      <w:ind w:firstLine="420" w:firstLineChars="200"/>
      <w:jc w:val="both"/>
    </w:pPr>
    <w:rPr>
      <w:rFonts w:ascii="宋体" w:hAnsi="宋体"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C4C7335087C499394FCD13E1C5B0730"/>
        <w:style w:val=""/>
        <w:category>
          <w:name w:val="常规"/>
          <w:gallery w:val="placeholder"/>
        </w:category>
        <w:types>
          <w:type w:val="bbPlcHdr"/>
        </w:types>
        <w:behaviors>
          <w:behavior w:val="content"/>
        </w:behaviors>
        <w:description w:val=""/>
        <w:guid w:val="{CCA827E7-016D-4D20-A204-A1725A3B4625}"/>
      </w:docPartPr>
      <w:docPartBody>
        <w:p>
          <w:pPr>
            <w:pStyle w:val="5"/>
          </w:pPr>
          <w:r>
            <w:rPr>
              <w:rStyle w:val="4"/>
              <w:rFonts w:hint="eastAsia"/>
            </w:rPr>
            <w:t>单击或点击此处输入文字。</w:t>
          </w:r>
        </w:p>
      </w:docPartBody>
    </w:docPart>
    <w:docPart>
      <w:docPartPr>
        <w:name w:val="FA29B5E65DFE4A87B033178ADCA40D91"/>
        <w:style w:val=""/>
        <w:category>
          <w:name w:val="常规"/>
          <w:gallery w:val="placeholder"/>
        </w:category>
        <w:types>
          <w:type w:val="bbPlcHdr"/>
        </w:types>
        <w:behaviors>
          <w:behavior w:val="content"/>
        </w:behaviors>
        <w:description w:val=""/>
        <w:guid w:val="{B344AE83-73EA-4BED-AC72-7626984CCBAA}"/>
      </w:docPartPr>
      <w:docPartBody>
        <w:p>
          <w:pPr>
            <w:pStyle w:val="6"/>
          </w:pPr>
          <w:r>
            <w:rPr>
              <w:rStyle w:val="4"/>
              <w:rFonts w:hint="eastAsia"/>
            </w:rPr>
            <w:t>选择一项。</w:t>
          </w:r>
        </w:p>
      </w:docPartBody>
    </w:docPart>
    <w:docPart>
      <w:docPartPr>
        <w:name w:val="F7213920266C4159861EB220DAE642F7"/>
        <w:style w:val=""/>
        <w:category>
          <w:name w:val="常规"/>
          <w:gallery w:val="placeholder"/>
        </w:category>
        <w:types>
          <w:type w:val="bbPlcHdr"/>
        </w:types>
        <w:behaviors>
          <w:behavior w:val="content"/>
        </w:behaviors>
        <w:description w:val=""/>
        <w:guid w:val="{D84C5104-F3F5-4455-BC2E-235D7F2F93A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F81FB9"/>
    <w:rsid w:val="003B4DB7"/>
    <w:rsid w:val="00F8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C4C7335087C499394FCD13E1C5B07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A29B5E65DFE4A87B033178ADCA40D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213920266C4159861EB220DAE642F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6259</Words>
  <Characters>6844</Characters>
  <Lines>64</Lines>
  <Paragraphs>18</Paragraphs>
  <TotalTime>1</TotalTime>
  <ScaleCrop>false</ScaleCrop>
  <LinksUpToDate>false</LinksUpToDate>
  <CharactersWithSpaces>7048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2023-07-20T12:15:00Z</dcterms:created>
  <dc:creator>914145454@qq.com</dc:creator>
  <dc:description>&lt;config cover="true" show_menu="true" version="1.0.0" doctype="SDKXY"&gt;_x000d_
&lt;/config&gt;</dc:description>
  <cp:lastModifiedBy>任绍梅</cp:lastModifiedBy>
  <cp:lastPrinted>2020-08-30T18:00:00Z</cp:lastPrinted>
  <dcterms:modified xsi:type="dcterms:W3CDTF">2023-07-31T04:44:32Z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0432BCFD3A374881AF7BE20D0B360A28_13</vt:lpwstr>
  </property>
</Properties>
</file>