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DB3C" w14:textId="77777777" w:rsidR="00667D96" w:rsidRDefault="00000000">
      <w:pPr>
        <w:rPr>
          <w:rFonts w:ascii="仿宋_GB2312" w:eastAsia="仿宋_GB2312"/>
          <w:sz w:val="32"/>
          <w:szCs w:val="32"/>
        </w:rPr>
      </w:pPr>
      <w:r>
        <w:rPr>
          <w:rFonts w:ascii="仿宋_GB2312" w:eastAsia="仿宋_GB2312" w:hint="eastAsia"/>
          <w:sz w:val="32"/>
          <w:szCs w:val="32"/>
        </w:rPr>
        <w:t>5.北京市危险化学品经营企业（其他带储存）生产安全事故隐患目录（2023年度）</w:t>
      </w:r>
    </w:p>
    <w:tbl>
      <w:tblPr>
        <w:tblW w:w="152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72"/>
        <w:gridCol w:w="992"/>
        <w:gridCol w:w="1134"/>
        <w:gridCol w:w="5159"/>
        <w:gridCol w:w="5387"/>
        <w:gridCol w:w="850"/>
      </w:tblGrid>
      <w:tr w:rsidR="00667D96" w14:paraId="174E2047" w14:textId="77777777">
        <w:trPr>
          <w:jc w:val="center"/>
        </w:trPr>
        <w:tc>
          <w:tcPr>
            <w:tcW w:w="1772" w:type="dxa"/>
            <w:vMerge w:val="restart"/>
            <w:shd w:val="clear" w:color="auto" w:fill="B6DDE8" w:themeFill="accent5" w:themeFillTint="66"/>
            <w:vAlign w:val="center"/>
          </w:tcPr>
          <w:p w14:paraId="7B2F583F" w14:textId="77777777" w:rsidR="00667D96" w:rsidRDefault="00000000">
            <w:pPr>
              <w:widowControl/>
              <w:adjustRightInd w:val="0"/>
              <w:snapToGrid w:val="0"/>
              <w:jc w:val="center"/>
              <w:rPr>
                <w:rFonts w:ascii="仿宋_GB2312" w:eastAsia="仿宋_GB2312" w:hAnsiTheme="minorEastAsia"/>
                <w:b/>
                <w:bCs/>
                <w:kern w:val="0"/>
                <w:sz w:val="20"/>
                <w:szCs w:val="20"/>
              </w:rPr>
            </w:pPr>
            <w:r>
              <w:rPr>
                <w:rFonts w:ascii="仿宋_GB2312" w:eastAsia="仿宋_GB2312" w:hAnsiTheme="minorEastAsia" w:hint="eastAsia"/>
                <w:b/>
                <w:bCs/>
                <w:kern w:val="0"/>
                <w:sz w:val="20"/>
                <w:szCs w:val="20"/>
              </w:rPr>
              <w:t>编号</w:t>
            </w:r>
          </w:p>
        </w:tc>
        <w:tc>
          <w:tcPr>
            <w:tcW w:w="2126" w:type="dxa"/>
            <w:gridSpan w:val="2"/>
            <w:shd w:val="clear" w:color="auto" w:fill="B6DDE8" w:themeFill="accent5" w:themeFillTint="66"/>
            <w:vAlign w:val="center"/>
          </w:tcPr>
          <w:p w14:paraId="625965B7" w14:textId="77777777" w:rsidR="00667D96" w:rsidRDefault="00000000">
            <w:pPr>
              <w:widowControl/>
              <w:adjustRightInd w:val="0"/>
              <w:snapToGrid w:val="0"/>
              <w:jc w:val="center"/>
              <w:rPr>
                <w:rFonts w:ascii="仿宋_GB2312" w:eastAsia="仿宋_GB2312" w:hAnsiTheme="minorEastAsia"/>
                <w:b/>
                <w:bCs/>
                <w:kern w:val="0"/>
                <w:sz w:val="20"/>
                <w:szCs w:val="20"/>
              </w:rPr>
            </w:pPr>
            <w:r>
              <w:rPr>
                <w:rFonts w:ascii="仿宋_GB2312" w:eastAsia="仿宋_GB2312" w:hAnsiTheme="minorEastAsia" w:hint="eastAsia"/>
                <w:b/>
                <w:bCs/>
                <w:kern w:val="0"/>
                <w:sz w:val="20"/>
                <w:szCs w:val="20"/>
              </w:rPr>
              <w:t>隐患分类</w:t>
            </w:r>
          </w:p>
        </w:tc>
        <w:tc>
          <w:tcPr>
            <w:tcW w:w="5159" w:type="dxa"/>
            <w:vMerge w:val="restart"/>
            <w:shd w:val="clear" w:color="auto" w:fill="B6DDE8" w:themeFill="accent5" w:themeFillTint="66"/>
            <w:vAlign w:val="center"/>
          </w:tcPr>
          <w:p w14:paraId="1AA00F00" w14:textId="77777777" w:rsidR="00667D96" w:rsidRDefault="00000000">
            <w:pPr>
              <w:widowControl/>
              <w:adjustRightInd w:val="0"/>
              <w:snapToGrid w:val="0"/>
              <w:jc w:val="center"/>
              <w:rPr>
                <w:rFonts w:ascii="仿宋_GB2312" w:eastAsia="仿宋_GB2312" w:hAnsiTheme="minorEastAsia"/>
                <w:b/>
                <w:bCs/>
                <w:kern w:val="0"/>
                <w:sz w:val="20"/>
                <w:szCs w:val="20"/>
              </w:rPr>
            </w:pPr>
            <w:r>
              <w:rPr>
                <w:rFonts w:ascii="仿宋_GB2312" w:eastAsia="仿宋_GB2312" w:hAnsiTheme="minorEastAsia" w:hint="eastAsia"/>
                <w:b/>
                <w:bCs/>
                <w:kern w:val="0"/>
                <w:sz w:val="20"/>
                <w:szCs w:val="20"/>
              </w:rPr>
              <w:t>隐患内容</w:t>
            </w:r>
          </w:p>
        </w:tc>
        <w:tc>
          <w:tcPr>
            <w:tcW w:w="5387" w:type="dxa"/>
            <w:vMerge w:val="restart"/>
            <w:shd w:val="clear" w:color="auto" w:fill="B6DDE8" w:themeFill="accent5" w:themeFillTint="66"/>
            <w:vAlign w:val="center"/>
          </w:tcPr>
          <w:p w14:paraId="096C2D99" w14:textId="77777777" w:rsidR="00667D96" w:rsidRDefault="00000000">
            <w:pPr>
              <w:widowControl/>
              <w:adjustRightInd w:val="0"/>
              <w:snapToGrid w:val="0"/>
              <w:jc w:val="center"/>
              <w:rPr>
                <w:rFonts w:ascii="仿宋_GB2312" w:eastAsia="仿宋_GB2312" w:hAnsiTheme="minorEastAsia"/>
                <w:b/>
                <w:bCs/>
                <w:kern w:val="0"/>
                <w:sz w:val="20"/>
                <w:szCs w:val="20"/>
              </w:rPr>
            </w:pPr>
            <w:r>
              <w:rPr>
                <w:rFonts w:ascii="仿宋_GB2312" w:eastAsia="仿宋_GB2312" w:hAnsiTheme="minorEastAsia" w:hint="eastAsia"/>
                <w:b/>
                <w:bCs/>
                <w:kern w:val="0"/>
                <w:sz w:val="20"/>
                <w:szCs w:val="20"/>
              </w:rPr>
              <w:t>依据</w:t>
            </w:r>
          </w:p>
        </w:tc>
        <w:tc>
          <w:tcPr>
            <w:tcW w:w="850" w:type="dxa"/>
            <w:vMerge w:val="restart"/>
            <w:shd w:val="clear" w:color="auto" w:fill="B6DDE8" w:themeFill="accent5" w:themeFillTint="66"/>
            <w:vAlign w:val="center"/>
          </w:tcPr>
          <w:p w14:paraId="161DFBB6" w14:textId="77777777" w:rsidR="00667D96" w:rsidRDefault="00000000">
            <w:pPr>
              <w:widowControl/>
              <w:adjustRightInd w:val="0"/>
              <w:snapToGrid w:val="0"/>
              <w:jc w:val="center"/>
              <w:rPr>
                <w:rFonts w:ascii="仿宋_GB2312" w:eastAsia="仿宋_GB2312" w:hAnsiTheme="minorEastAsia"/>
                <w:b/>
                <w:bCs/>
                <w:kern w:val="0"/>
                <w:sz w:val="20"/>
                <w:szCs w:val="20"/>
              </w:rPr>
            </w:pPr>
            <w:r>
              <w:rPr>
                <w:rFonts w:ascii="仿宋_GB2312" w:eastAsia="仿宋_GB2312" w:hAnsiTheme="minorEastAsia" w:hint="eastAsia"/>
                <w:b/>
                <w:bCs/>
                <w:kern w:val="0"/>
                <w:sz w:val="20"/>
                <w:szCs w:val="20"/>
              </w:rPr>
              <w:t>备注</w:t>
            </w:r>
          </w:p>
        </w:tc>
      </w:tr>
      <w:tr w:rsidR="00667D96" w14:paraId="7BCC3B9F" w14:textId="77777777">
        <w:trPr>
          <w:jc w:val="center"/>
        </w:trPr>
        <w:tc>
          <w:tcPr>
            <w:tcW w:w="1772" w:type="dxa"/>
            <w:vMerge/>
            <w:shd w:val="clear" w:color="auto" w:fill="auto"/>
            <w:vAlign w:val="center"/>
          </w:tcPr>
          <w:p w14:paraId="2B390F3F" w14:textId="77777777" w:rsidR="00667D96" w:rsidRDefault="00667D96">
            <w:pPr>
              <w:widowControl/>
              <w:adjustRightInd w:val="0"/>
              <w:snapToGrid w:val="0"/>
              <w:jc w:val="left"/>
              <w:rPr>
                <w:rFonts w:ascii="仿宋_GB2312" w:eastAsia="仿宋_GB2312" w:hAnsiTheme="minorEastAsia"/>
                <w:kern w:val="0"/>
                <w:sz w:val="20"/>
                <w:szCs w:val="20"/>
              </w:rPr>
            </w:pPr>
          </w:p>
        </w:tc>
        <w:tc>
          <w:tcPr>
            <w:tcW w:w="992" w:type="dxa"/>
            <w:shd w:val="clear" w:color="auto" w:fill="B6DDE8" w:themeFill="accent5" w:themeFillTint="66"/>
            <w:vAlign w:val="center"/>
          </w:tcPr>
          <w:p w14:paraId="470ABA5B" w14:textId="77777777" w:rsidR="00667D96" w:rsidRDefault="00000000">
            <w:pPr>
              <w:widowControl/>
              <w:adjustRightInd w:val="0"/>
              <w:snapToGrid w:val="0"/>
              <w:jc w:val="center"/>
              <w:rPr>
                <w:rFonts w:ascii="仿宋_GB2312" w:eastAsia="仿宋_GB2312" w:hAnsiTheme="minorEastAsia"/>
                <w:b/>
                <w:bCs/>
                <w:kern w:val="0"/>
                <w:sz w:val="20"/>
                <w:szCs w:val="20"/>
              </w:rPr>
            </w:pPr>
            <w:r>
              <w:rPr>
                <w:rFonts w:ascii="仿宋_GB2312" w:eastAsia="仿宋_GB2312" w:hAnsiTheme="minorEastAsia" w:hint="eastAsia"/>
                <w:b/>
                <w:bCs/>
                <w:kern w:val="0"/>
                <w:sz w:val="20"/>
                <w:szCs w:val="20"/>
              </w:rPr>
              <w:t>一类</w:t>
            </w:r>
          </w:p>
        </w:tc>
        <w:tc>
          <w:tcPr>
            <w:tcW w:w="1134" w:type="dxa"/>
            <w:shd w:val="clear" w:color="auto" w:fill="B6DDE8" w:themeFill="accent5" w:themeFillTint="66"/>
            <w:vAlign w:val="center"/>
          </w:tcPr>
          <w:p w14:paraId="019C0011" w14:textId="77777777" w:rsidR="00667D96" w:rsidRDefault="00000000">
            <w:pPr>
              <w:widowControl/>
              <w:adjustRightInd w:val="0"/>
              <w:snapToGrid w:val="0"/>
              <w:jc w:val="center"/>
              <w:rPr>
                <w:rFonts w:ascii="仿宋_GB2312" w:eastAsia="仿宋_GB2312" w:hAnsiTheme="minorEastAsia"/>
                <w:b/>
                <w:bCs/>
                <w:kern w:val="0"/>
                <w:sz w:val="20"/>
                <w:szCs w:val="20"/>
              </w:rPr>
            </w:pPr>
            <w:r>
              <w:rPr>
                <w:rFonts w:ascii="仿宋_GB2312" w:eastAsia="仿宋_GB2312" w:hAnsiTheme="minorEastAsia" w:hint="eastAsia"/>
                <w:b/>
                <w:bCs/>
                <w:kern w:val="0"/>
                <w:sz w:val="20"/>
                <w:szCs w:val="20"/>
              </w:rPr>
              <w:t>二类</w:t>
            </w:r>
          </w:p>
        </w:tc>
        <w:tc>
          <w:tcPr>
            <w:tcW w:w="5159" w:type="dxa"/>
            <w:vMerge/>
            <w:shd w:val="clear" w:color="auto" w:fill="auto"/>
            <w:vAlign w:val="center"/>
          </w:tcPr>
          <w:p w14:paraId="58BB38D5" w14:textId="77777777" w:rsidR="00667D96" w:rsidRDefault="00667D96">
            <w:pPr>
              <w:widowControl/>
              <w:adjustRightInd w:val="0"/>
              <w:snapToGrid w:val="0"/>
              <w:jc w:val="left"/>
              <w:rPr>
                <w:rFonts w:ascii="仿宋_GB2312" w:eastAsia="仿宋_GB2312" w:hAnsiTheme="minorEastAsia"/>
                <w:kern w:val="0"/>
                <w:sz w:val="20"/>
                <w:szCs w:val="20"/>
              </w:rPr>
            </w:pPr>
          </w:p>
        </w:tc>
        <w:tc>
          <w:tcPr>
            <w:tcW w:w="5387" w:type="dxa"/>
            <w:vMerge/>
            <w:shd w:val="clear" w:color="auto" w:fill="auto"/>
            <w:vAlign w:val="center"/>
          </w:tcPr>
          <w:p w14:paraId="2180271D" w14:textId="77777777" w:rsidR="00667D96" w:rsidRDefault="00667D96">
            <w:pPr>
              <w:widowControl/>
              <w:adjustRightInd w:val="0"/>
              <w:snapToGrid w:val="0"/>
              <w:jc w:val="left"/>
              <w:rPr>
                <w:rFonts w:ascii="仿宋_GB2312" w:eastAsia="仿宋_GB2312" w:hAnsiTheme="minorEastAsia"/>
                <w:kern w:val="0"/>
                <w:sz w:val="20"/>
                <w:szCs w:val="20"/>
              </w:rPr>
            </w:pPr>
          </w:p>
        </w:tc>
        <w:tc>
          <w:tcPr>
            <w:tcW w:w="850" w:type="dxa"/>
            <w:vMerge/>
            <w:shd w:val="clear" w:color="auto" w:fill="auto"/>
            <w:vAlign w:val="center"/>
          </w:tcPr>
          <w:p w14:paraId="4C693968" w14:textId="77777777" w:rsidR="00667D96" w:rsidRDefault="00667D96">
            <w:pPr>
              <w:widowControl/>
              <w:adjustRightInd w:val="0"/>
              <w:snapToGrid w:val="0"/>
              <w:jc w:val="left"/>
              <w:rPr>
                <w:rFonts w:ascii="仿宋_GB2312" w:eastAsia="仿宋_GB2312" w:hAnsiTheme="minorEastAsia"/>
                <w:kern w:val="0"/>
                <w:sz w:val="20"/>
                <w:szCs w:val="20"/>
              </w:rPr>
            </w:pPr>
          </w:p>
        </w:tc>
      </w:tr>
      <w:tr w:rsidR="00667D96" w14:paraId="38D4D48A" w14:textId="77777777">
        <w:trPr>
          <w:jc w:val="center"/>
        </w:trPr>
        <w:tc>
          <w:tcPr>
            <w:tcW w:w="1772" w:type="dxa"/>
            <w:shd w:val="clear" w:color="auto" w:fill="auto"/>
            <w:vAlign w:val="center"/>
          </w:tcPr>
          <w:p w14:paraId="651831BB"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6C38AD38"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555A38D3"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资质证照类</w:t>
            </w:r>
          </w:p>
        </w:tc>
        <w:tc>
          <w:tcPr>
            <w:tcW w:w="5159" w:type="dxa"/>
            <w:shd w:val="clear" w:color="auto" w:fill="auto"/>
            <w:vAlign w:val="center"/>
          </w:tcPr>
          <w:p w14:paraId="0142DDAF" w14:textId="77777777" w:rsidR="00667D96" w:rsidRDefault="00000000">
            <w:pPr>
              <w:widowControl/>
              <w:adjustRightInd w:val="0"/>
              <w:snapToGrid w:val="0"/>
              <w:jc w:val="left"/>
              <w:rPr>
                <w:rFonts w:ascii="仿宋_GB2312" w:eastAsia="仿宋_GB2312" w:hAnsiTheme="minorEastAsia"/>
                <w:sz w:val="20"/>
                <w:szCs w:val="20"/>
              </w:rPr>
            </w:pPr>
            <w:r>
              <w:rPr>
                <w:rFonts w:ascii="仿宋_GB2312" w:eastAsia="仿宋_GB2312" w:hAnsiTheme="minorEastAsia" w:hint="eastAsia"/>
                <w:kern w:val="0"/>
                <w:sz w:val="20"/>
                <w:szCs w:val="20"/>
              </w:rPr>
              <w:t>未取得有效的《危险化学品经营许可证》，或超规模、超范围、超品种、超许可经营危险化学品。</w:t>
            </w:r>
          </w:p>
        </w:tc>
        <w:tc>
          <w:tcPr>
            <w:tcW w:w="5387" w:type="dxa"/>
            <w:shd w:val="clear" w:color="auto" w:fill="auto"/>
            <w:vAlign w:val="center"/>
          </w:tcPr>
          <w:p w14:paraId="7D3F2CAE" w14:textId="1A1B0C71"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《危险化学品安全管理条例》第三十三条</w:t>
            </w:r>
            <w:r w:rsidR="00C13DDE">
              <w:rPr>
                <w:rFonts w:ascii="仿宋_GB2312" w:eastAsia="仿宋_GB2312" w:hAnsiTheme="minorEastAsia" w:hint="eastAsia"/>
                <w:sz w:val="20"/>
                <w:szCs w:val="20"/>
                <w:lang w:bidi="ar"/>
              </w:rPr>
              <w:t>；</w:t>
            </w:r>
          </w:p>
          <w:p w14:paraId="7BA2128F"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DB11/T 1322.5-2017《安全生产等级评定技术规范 第 5部分:危险化学品经营企业》第3.2.4条</w:t>
            </w:r>
          </w:p>
        </w:tc>
        <w:tc>
          <w:tcPr>
            <w:tcW w:w="850" w:type="dxa"/>
            <w:shd w:val="clear" w:color="auto" w:fill="auto"/>
            <w:vAlign w:val="center"/>
          </w:tcPr>
          <w:p w14:paraId="13AEED5D"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6D185CD6" w14:textId="77777777">
        <w:trPr>
          <w:jc w:val="center"/>
        </w:trPr>
        <w:tc>
          <w:tcPr>
            <w:tcW w:w="1772" w:type="dxa"/>
            <w:shd w:val="clear" w:color="auto" w:fill="auto"/>
            <w:vAlign w:val="center"/>
          </w:tcPr>
          <w:p w14:paraId="57EA7E1C"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9F4D90E"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2137C29B"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机构及人员配备类</w:t>
            </w:r>
          </w:p>
        </w:tc>
        <w:tc>
          <w:tcPr>
            <w:tcW w:w="5159" w:type="dxa"/>
            <w:shd w:val="clear" w:color="auto" w:fill="auto"/>
            <w:vAlign w:val="center"/>
          </w:tcPr>
          <w:p w14:paraId="733189F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未按要求设置安全生产管理机构或配备专兼职安全生产管理人员。</w:t>
            </w:r>
          </w:p>
        </w:tc>
        <w:tc>
          <w:tcPr>
            <w:tcW w:w="5387" w:type="dxa"/>
            <w:shd w:val="clear" w:color="auto" w:fill="auto"/>
            <w:vAlign w:val="center"/>
          </w:tcPr>
          <w:p w14:paraId="4E8620B8"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《中华人民共和国安全生产法》第二十四条；《北京市安全生产条例》第二十条；《北京市生产经营单位安全生产主体责任规定》第十一条：</w:t>
            </w:r>
          </w:p>
          <w:p w14:paraId="0AA20CFC" w14:textId="77777777" w:rsidR="00667D96" w:rsidRDefault="00000000">
            <w:pPr>
              <w:widowControl/>
              <w:adjustRightInd w:val="0"/>
              <w:snapToGrid w:val="0"/>
              <w:ind w:firstLineChars="200" w:firstLine="40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从业人员超过100人的，应设置安全生产管理机构，按照不少于从业人员总数1%的比例配备专职安全生产管理人员，且最低不得少于3人；从业人员在100人以下的，应配备专职安全生产管理人员。</w:t>
            </w:r>
          </w:p>
        </w:tc>
        <w:tc>
          <w:tcPr>
            <w:tcW w:w="850" w:type="dxa"/>
            <w:shd w:val="clear" w:color="auto" w:fill="auto"/>
            <w:vAlign w:val="center"/>
          </w:tcPr>
          <w:p w14:paraId="05D8E6BC"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561BAE60" w14:textId="77777777">
        <w:trPr>
          <w:jc w:val="center"/>
        </w:trPr>
        <w:tc>
          <w:tcPr>
            <w:tcW w:w="1772" w:type="dxa"/>
            <w:shd w:val="clear" w:color="auto" w:fill="auto"/>
            <w:vAlign w:val="center"/>
          </w:tcPr>
          <w:p w14:paraId="5AAE73D4"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719E700B"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663D42A4"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责任制类</w:t>
            </w:r>
          </w:p>
        </w:tc>
        <w:tc>
          <w:tcPr>
            <w:tcW w:w="5159" w:type="dxa"/>
            <w:shd w:val="clear" w:color="auto" w:fill="auto"/>
            <w:vAlign w:val="center"/>
          </w:tcPr>
          <w:p w14:paraId="5732761A"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kern w:val="0"/>
                <w:sz w:val="20"/>
                <w:szCs w:val="20"/>
              </w:rPr>
              <w:t>未建立与岗位相匹配的全员安全生产责任制，</w:t>
            </w:r>
            <w:r>
              <w:rPr>
                <w:rFonts w:ascii="仿宋_GB2312" w:eastAsia="仿宋_GB2312" w:hAnsiTheme="minorEastAsia" w:hint="eastAsia"/>
                <w:sz w:val="20"/>
                <w:szCs w:val="20"/>
                <w:lang w:bidi="ar"/>
              </w:rPr>
              <w:t>未层层签订安全生产责任书；未制定主要负责人或实际控制人安全职责，未明确规定主要负责人或实际控制人是安全生产第一</w:t>
            </w:r>
            <w:r>
              <w:rPr>
                <w:rFonts w:ascii="仿宋_GB2312" w:eastAsia="仿宋_GB2312" w:hAnsiTheme="minorEastAsia" w:hint="eastAsia"/>
                <w:kern w:val="0"/>
                <w:sz w:val="20"/>
                <w:szCs w:val="20"/>
              </w:rPr>
              <w:t>责任人</w:t>
            </w:r>
            <w:r>
              <w:rPr>
                <w:rFonts w:ascii="仿宋_GB2312" w:eastAsia="仿宋_GB2312" w:hAnsiTheme="minorEastAsia" w:hint="eastAsia"/>
                <w:sz w:val="20"/>
                <w:szCs w:val="20"/>
                <w:lang w:bidi="ar"/>
              </w:rPr>
              <w:t>；未制定分管安全生产负责人的安全职责。</w:t>
            </w:r>
          </w:p>
        </w:tc>
        <w:tc>
          <w:tcPr>
            <w:tcW w:w="5387" w:type="dxa"/>
            <w:shd w:val="clear" w:color="auto" w:fill="auto"/>
            <w:vAlign w:val="center"/>
          </w:tcPr>
          <w:p w14:paraId="45E9AC32" w14:textId="0115E2BE"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《中华人民共和国安全生产法》第四条；《北京市安全生产条例》第四条；《北京市生产经营单位安全生产主体责任规定》第三、六条；</w:t>
            </w:r>
          </w:p>
          <w:p w14:paraId="307FD175" w14:textId="77777777" w:rsidR="00667D96" w:rsidRDefault="00000000">
            <w:pPr>
              <w:widowControl/>
              <w:adjustRightInd w:val="0"/>
              <w:snapToGrid w:val="0"/>
              <w:jc w:val="left"/>
              <w:rPr>
                <w:rFonts w:ascii="仿宋_GB2312" w:eastAsia="仿宋_GB2312"/>
                <w:sz w:val="20"/>
                <w:szCs w:val="20"/>
                <w:lang w:bidi="ar"/>
              </w:rPr>
            </w:pPr>
            <w:r>
              <w:rPr>
                <w:rFonts w:ascii="仿宋_GB2312" w:eastAsia="仿宋_GB2312" w:hAnsiTheme="minorEastAsia" w:hint="eastAsia"/>
                <w:sz w:val="20"/>
                <w:szCs w:val="20"/>
                <w:lang w:bidi="ar"/>
              </w:rPr>
              <w:t>DB11/755-2010《危险化学品仓库建设及储存安全规范》第4.5.1条</w:t>
            </w:r>
          </w:p>
        </w:tc>
        <w:tc>
          <w:tcPr>
            <w:tcW w:w="850" w:type="dxa"/>
            <w:shd w:val="clear" w:color="auto" w:fill="auto"/>
            <w:vAlign w:val="center"/>
          </w:tcPr>
          <w:p w14:paraId="3293406F"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w:t>
            </w:r>
          </w:p>
        </w:tc>
      </w:tr>
      <w:tr w:rsidR="00667D96" w14:paraId="470FAAF1" w14:textId="77777777">
        <w:trPr>
          <w:jc w:val="center"/>
        </w:trPr>
        <w:tc>
          <w:tcPr>
            <w:tcW w:w="1772" w:type="dxa"/>
            <w:shd w:val="clear" w:color="auto" w:fill="auto"/>
            <w:vAlign w:val="center"/>
          </w:tcPr>
          <w:p w14:paraId="7EFD80B9"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E402FF8"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5F7D132F"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制度类</w:t>
            </w:r>
          </w:p>
        </w:tc>
        <w:tc>
          <w:tcPr>
            <w:tcW w:w="5159" w:type="dxa"/>
            <w:shd w:val="clear" w:color="auto" w:fill="auto"/>
            <w:vAlign w:val="center"/>
          </w:tcPr>
          <w:p w14:paraId="5C55E6F6"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未按企业实际制定、实施相关安全生产管理制度；</w:t>
            </w:r>
            <w:r>
              <w:rPr>
                <w:rFonts w:ascii="仿宋_GB2312" w:eastAsia="仿宋_GB2312" w:hAnsiTheme="minorEastAsia" w:cstheme="minorEastAsia" w:hint="eastAsia"/>
                <w:sz w:val="20"/>
                <w:szCs w:val="20"/>
                <w:lang w:bidi="ar"/>
              </w:rPr>
              <w:t>未</w:t>
            </w:r>
            <w:r>
              <w:rPr>
                <w:rFonts w:ascii="仿宋_GB2312" w:eastAsia="仿宋_GB2312" w:hAnsiTheme="minorEastAsia" w:cstheme="minorEastAsia" w:hint="eastAsia"/>
                <w:sz w:val="20"/>
                <w:szCs w:val="20"/>
              </w:rPr>
              <w:t>构建安全风险分级管控和隐患排查治理双重预防机制</w:t>
            </w:r>
            <w:r>
              <w:rPr>
                <w:rFonts w:ascii="仿宋_GB2312" w:eastAsia="仿宋_GB2312" w:hAnsiTheme="minorEastAsia" w:cstheme="minorEastAsia" w:hint="eastAsia"/>
                <w:sz w:val="20"/>
                <w:szCs w:val="20"/>
                <w:lang w:bidi="ar"/>
              </w:rPr>
              <w:t>。</w:t>
            </w:r>
          </w:p>
        </w:tc>
        <w:tc>
          <w:tcPr>
            <w:tcW w:w="5387" w:type="dxa"/>
            <w:shd w:val="clear" w:color="auto" w:fill="auto"/>
            <w:vAlign w:val="center"/>
          </w:tcPr>
          <w:p w14:paraId="668A52FE" w14:textId="4A05C4CE"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《中华人民共和国安全生产法》第四条；《危险化学品安全管理条例》第三十四条；《北京市安全生产条例》第四条；《北京市生产经营单位安全生产主体责任规定》第三条</w:t>
            </w:r>
            <w:r w:rsidR="00C13DDE">
              <w:rPr>
                <w:rFonts w:ascii="仿宋_GB2312" w:eastAsia="仿宋_GB2312" w:hAnsiTheme="minorEastAsia" w:hint="eastAsia"/>
                <w:sz w:val="20"/>
                <w:szCs w:val="20"/>
                <w:lang w:bidi="ar"/>
              </w:rPr>
              <w:t>；</w:t>
            </w:r>
            <w:r>
              <w:rPr>
                <w:rFonts w:ascii="仿宋_GB2312" w:eastAsia="仿宋_GB2312" w:hAnsiTheme="minorEastAsia" w:hint="eastAsia"/>
                <w:sz w:val="20"/>
                <w:szCs w:val="20"/>
                <w:lang w:bidi="ar"/>
              </w:rPr>
              <w:t>DB11/T 1322.5-2017《安全生产等级评定技术规范 第 5部分:危险化学品经营企业》第3.1.2条；DB11/755-2010《危险化学品仓库建设及储存安全规范》第4.5.1条；</w:t>
            </w:r>
          </w:p>
          <w:p w14:paraId="639EBC21"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15603-2022《危险化学品仓库储存通则》第11.1.1条、11.1.3条。</w:t>
            </w:r>
          </w:p>
          <w:p w14:paraId="5BA4205E"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至少包括：</w:t>
            </w:r>
          </w:p>
          <w:p w14:paraId="427AA2F2"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安全生产教育和培训制度；</w:t>
            </w:r>
          </w:p>
          <w:p w14:paraId="75C9EDDC"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安全生产检查制度；</w:t>
            </w:r>
          </w:p>
          <w:p w14:paraId="5EB709DB"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安全风险分级管控制度（风险评估制度）；</w:t>
            </w:r>
          </w:p>
          <w:p w14:paraId="2F01F6FE"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lastRenderedPageBreak/>
              <w:t>设备设施管理制度；</w:t>
            </w:r>
          </w:p>
          <w:p w14:paraId="796D3F58"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危险化学品购销管理制度；</w:t>
            </w:r>
          </w:p>
          <w:p w14:paraId="6F240156"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剧毒化学品购销管理制度；</w:t>
            </w:r>
          </w:p>
          <w:p w14:paraId="53542F83"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剧毒化学品“五双”管理制度；</w:t>
            </w:r>
          </w:p>
          <w:p w14:paraId="5FAF8463"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危险化学品经营手续环节交接责任管理制度；</w:t>
            </w:r>
          </w:p>
          <w:p w14:paraId="6B76B4F6"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危险化学品储存保管及出入库管理制度；</w:t>
            </w:r>
          </w:p>
          <w:p w14:paraId="440929E4"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危险化学品养护管理制度；</w:t>
            </w:r>
          </w:p>
          <w:p w14:paraId="2E98F8A7"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易燃易爆危险化学品管理制度；</w:t>
            </w:r>
          </w:p>
          <w:p w14:paraId="3D87FCEE"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毒害性危险化学品管理制度；</w:t>
            </w:r>
          </w:p>
          <w:p w14:paraId="24FEFD45"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腐蚀性危险化学品管理制度；</w:t>
            </w:r>
          </w:p>
          <w:p w14:paraId="65470C7E"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化学品安全技术说明书和安全标签管理制度；</w:t>
            </w:r>
          </w:p>
          <w:p w14:paraId="71B7221A"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事故隐患排查治理制度；</w:t>
            </w:r>
          </w:p>
          <w:p w14:paraId="19A4219B"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劳动防护用品配备和管理制度（个体防护制度）；</w:t>
            </w:r>
          </w:p>
          <w:p w14:paraId="48A9E8FC"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生产安全事故报告和处理制度</w:t>
            </w:r>
          </w:p>
          <w:p w14:paraId="395BF5CC"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设施,设备,器具检查和维护制度</w:t>
            </w:r>
          </w:p>
          <w:p w14:paraId="17F15C51" w14:textId="77777777" w:rsidR="00667D96" w:rsidRDefault="00000000">
            <w:pPr>
              <w:pStyle w:val="ae"/>
              <w:widowControl/>
              <w:numPr>
                <w:ilvl w:val="0"/>
                <w:numId w:val="2"/>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仓储日常操作,控制指标等运行管理制度。</w:t>
            </w:r>
          </w:p>
        </w:tc>
        <w:tc>
          <w:tcPr>
            <w:tcW w:w="850" w:type="dxa"/>
            <w:shd w:val="clear" w:color="auto" w:fill="auto"/>
            <w:vAlign w:val="center"/>
          </w:tcPr>
          <w:p w14:paraId="216F54A9"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lastRenderedPageBreak/>
              <w:t>★</w:t>
            </w:r>
          </w:p>
        </w:tc>
      </w:tr>
      <w:tr w:rsidR="00667D96" w14:paraId="1EC67DCA" w14:textId="77777777">
        <w:trPr>
          <w:jc w:val="center"/>
        </w:trPr>
        <w:tc>
          <w:tcPr>
            <w:tcW w:w="1772" w:type="dxa"/>
            <w:shd w:val="clear" w:color="auto" w:fill="auto"/>
            <w:vAlign w:val="center"/>
          </w:tcPr>
          <w:p w14:paraId="3F1DA755"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6FA9422A"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4B5C40BD"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操作规程类</w:t>
            </w:r>
          </w:p>
        </w:tc>
        <w:tc>
          <w:tcPr>
            <w:tcW w:w="5159" w:type="dxa"/>
            <w:shd w:val="clear" w:color="auto" w:fill="auto"/>
            <w:vAlign w:val="center"/>
          </w:tcPr>
          <w:p w14:paraId="2D2C79B0"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未按照法律、法规、规章和国家标准、行业标准，在危险有害因素辨识的基础上，编制岗位安全操作规程和工艺控制指标。</w:t>
            </w:r>
          </w:p>
        </w:tc>
        <w:tc>
          <w:tcPr>
            <w:tcW w:w="5387" w:type="dxa"/>
            <w:shd w:val="clear" w:color="auto" w:fill="auto"/>
            <w:vAlign w:val="center"/>
          </w:tcPr>
          <w:p w14:paraId="1E45256A"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《中华人民共和国安全生产法》第二十一条；《北京市安全生产条例》第十七条；《北京市生产经营单位安全生产主体责任规定》第八条</w:t>
            </w:r>
          </w:p>
        </w:tc>
        <w:tc>
          <w:tcPr>
            <w:tcW w:w="850" w:type="dxa"/>
            <w:shd w:val="clear" w:color="auto" w:fill="auto"/>
            <w:vAlign w:val="center"/>
          </w:tcPr>
          <w:p w14:paraId="5DB90A21"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w:t>
            </w:r>
          </w:p>
        </w:tc>
      </w:tr>
      <w:tr w:rsidR="00667D96" w14:paraId="2734F675" w14:textId="77777777">
        <w:trPr>
          <w:jc w:val="center"/>
        </w:trPr>
        <w:tc>
          <w:tcPr>
            <w:tcW w:w="1772" w:type="dxa"/>
            <w:shd w:val="clear" w:color="auto" w:fill="auto"/>
            <w:vAlign w:val="center"/>
          </w:tcPr>
          <w:p w14:paraId="3FD47424"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478670A"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2A15BBEF"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记录档案类</w:t>
            </w:r>
          </w:p>
        </w:tc>
        <w:tc>
          <w:tcPr>
            <w:tcW w:w="5159" w:type="dxa"/>
            <w:shd w:val="clear" w:color="auto" w:fill="auto"/>
            <w:vAlign w:val="center"/>
          </w:tcPr>
          <w:p w14:paraId="1ED77660"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未按照规定要求对安全生产宣传教育和培训、安全生产检查、安全生产隐患排查治理、安全生产事故管理、安全工作考核与奖惩、安全生产设施设备及维护等进行记录和档案留存；未建立危险化学品储存档案（档案内容至少应包括：危险化学品出入库核查登记、库存危险化学品品种、数量、定期检查记录）。</w:t>
            </w:r>
          </w:p>
        </w:tc>
        <w:tc>
          <w:tcPr>
            <w:tcW w:w="5387" w:type="dxa"/>
            <w:shd w:val="clear" w:color="auto" w:fill="auto"/>
            <w:vAlign w:val="center"/>
          </w:tcPr>
          <w:p w14:paraId="392428A2" w14:textId="77777777" w:rsidR="00614C81" w:rsidRDefault="00000000">
            <w:pPr>
              <w:pStyle w:val="aa"/>
              <w:widowControl w:val="0"/>
              <w:adjustRightInd w:val="0"/>
              <w:snapToGrid w:val="0"/>
              <w:spacing w:before="0" w:beforeAutospacing="0" w:after="0" w:afterAutospacing="0"/>
              <w:jc w:val="both"/>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《中华人民共和国安全生产法》第二十八条；</w:t>
            </w:r>
          </w:p>
          <w:p w14:paraId="4AE4FD57" w14:textId="6FFF887D" w:rsidR="00667D96" w:rsidRDefault="00000000">
            <w:pPr>
              <w:pStyle w:val="aa"/>
              <w:widowControl w:val="0"/>
              <w:adjustRightInd w:val="0"/>
              <w:snapToGrid w:val="0"/>
              <w:spacing w:before="0" w:beforeAutospacing="0" w:after="0" w:afterAutospacing="0"/>
              <w:jc w:val="both"/>
              <w:rPr>
                <w:rFonts w:ascii="仿宋_GB2312" w:eastAsia="仿宋_GB2312" w:hAnsiTheme="minorEastAsia"/>
                <w:sz w:val="20"/>
                <w:szCs w:val="20"/>
              </w:rPr>
            </w:pPr>
            <w:r>
              <w:rPr>
                <w:rFonts w:ascii="仿宋_GB2312" w:eastAsia="仿宋_GB2312" w:hAnsiTheme="minorEastAsia" w:hint="eastAsia"/>
                <w:sz w:val="20"/>
                <w:szCs w:val="20"/>
                <w:lang w:bidi="ar"/>
              </w:rPr>
              <w:t>《北京市安全生产条例》第二十二条；</w:t>
            </w:r>
          </w:p>
          <w:p w14:paraId="4DD7E2D9" w14:textId="29C23293"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《北京市生产经营单位安全生产主体责任规定》第十七条、第十八条</w:t>
            </w:r>
            <w:r w:rsidR="00C13DDE">
              <w:rPr>
                <w:rFonts w:ascii="仿宋_GB2312" w:eastAsia="仿宋_GB2312" w:hAnsiTheme="minorEastAsia" w:hint="eastAsia"/>
                <w:sz w:val="20"/>
                <w:szCs w:val="20"/>
                <w:lang w:bidi="ar"/>
              </w:rPr>
              <w:t>；</w:t>
            </w:r>
          </w:p>
          <w:p w14:paraId="6E267C6A" w14:textId="77777777"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DB11/755-2010《危险化学品仓库建设及储存安全规范》第4.5.3条</w:t>
            </w:r>
          </w:p>
        </w:tc>
        <w:tc>
          <w:tcPr>
            <w:tcW w:w="850" w:type="dxa"/>
            <w:shd w:val="clear" w:color="auto" w:fill="auto"/>
            <w:vAlign w:val="center"/>
          </w:tcPr>
          <w:p w14:paraId="557FE9B0"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5E13BE81" w14:textId="77777777">
        <w:trPr>
          <w:jc w:val="center"/>
        </w:trPr>
        <w:tc>
          <w:tcPr>
            <w:tcW w:w="1772" w:type="dxa"/>
            <w:shd w:val="clear" w:color="auto" w:fill="auto"/>
            <w:vAlign w:val="center"/>
          </w:tcPr>
          <w:p w14:paraId="35DFA119"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F341791"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6C790D8F"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记录档案类</w:t>
            </w:r>
          </w:p>
        </w:tc>
        <w:tc>
          <w:tcPr>
            <w:tcW w:w="5159" w:type="dxa"/>
            <w:shd w:val="clear" w:color="auto" w:fill="auto"/>
            <w:vAlign w:val="center"/>
          </w:tcPr>
          <w:p w14:paraId="7B0A18C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未按要求编制年度安全教育培训计划并组织实施并记录。</w:t>
            </w:r>
          </w:p>
        </w:tc>
        <w:tc>
          <w:tcPr>
            <w:tcW w:w="5387" w:type="dxa"/>
            <w:shd w:val="clear" w:color="auto" w:fill="auto"/>
            <w:vAlign w:val="center"/>
          </w:tcPr>
          <w:p w14:paraId="4D64EDBF" w14:textId="77777777" w:rsidR="00667D96" w:rsidRDefault="00000000">
            <w:pPr>
              <w:pStyle w:val="aa"/>
              <w:widowControl w:val="0"/>
              <w:adjustRightInd w:val="0"/>
              <w:snapToGrid w:val="0"/>
              <w:spacing w:before="0" w:beforeAutospacing="0" w:after="0" w:afterAutospacing="0"/>
              <w:jc w:val="both"/>
              <w:rPr>
                <w:rFonts w:ascii="仿宋_GB2312" w:eastAsia="仿宋_GB2312" w:hAnsiTheme="minorEastAsia"/>
                <w:sz w:val="20"/>
                <w:szCs w:val="20"/>
                <w:lang w:bidi="ar"/>
              </w:rPr>
            </w:pPr>
            <w:r>
              <w:rPr>
                <w:rFonts w:ascii="仿宋_GB2312" w:eastAsia="仿宋_GB2312" w:hAnsiTheme="minorEastAsia" w:hint="eastAsia"/>
                <w:sz w:val="20"/>
                <w:szCs w:val="20"/>
                <w:lang w:bidi="ar"/>
              </w:rPr>
              <w:t>《生产经营单位安全培训规定》（国家安全监管总局令第3号）第三、九、十三条；</w:t>
            </w:r>
          </w:p>
          <w:p w14:paraId="34018A6F" w14:textId="12BBE439" w:rsidR="00667D96" w:rsidRDefault="00000000">
            <w:pPr>
              <w:pStyle w:val="aa"/>
              <w:widowControl w:val="0"/>
              <w:adjustRightInd w:val="0"/>
              <w:snapToGrid w:val="0"/>
              <w:spacing w:before="0" w:beforeAutospacing="0" w:after="0" w:afterAutospacing="0"/>
              <w:jc w:val="both"/>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1322.2-2017《安全生产等级评定技术规范 第2部分》第3.1.5.1条</w:t>
            </w:r>
            <w:r w:rsidR="00C13DDE">
              <w:rPr>
                <w:rFonts w:ascii="仿宋_GB2312" w:eastAsia="仿宋_GB2312" w:hAnsiTheme="minorEastAsia" w:hint="eastAsia"/>
                <w:sz w:val="20"/>
                <w:szCs w:val="20"/>
                <w:lang w:bidi="ar"/>
              </w:rPr>
              <w:t>；</w:t>
            </w:r>
          </w:p>
          <w:p w14:paraId="3A289A31" w14:textId="77777777" w:rsidR="00667D96" w:rsidRDefault="00000000">
            <w:pPr>
              <w:pStyle w:val="a0"/>
              <w:numPr>
                <w:ilvl w:val="0"/>
                <w:numId w:val="3"/>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未经安全生产教育和培训合格的从业人员，上岗作业；</w:t>
            </w:r>
          </w:p>
          <w:p w14:paraId="42B029C9" w14:textId="77777777" w:rsidR="00667D96" w:rsidRDefault="00000000">
            <w:pPr>
              <w:pStyle w:val="a0"/>
              <w:numPr>
                <w:ilvl w:val="0"/>
                <w:numId w:val="3"/>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主要负责人和安全生产管理人员安全资格培训时间少于</w:t>
            </w:r>
            <w:r>
              <w:rPr>
                <w:rFonts w:ascii="仿宋_GB2312" w:eastAsia="仿宋_GB2312" w:hAnsiTheme="minorEastAsia" w:hint="eastAsia"/>
                <w:sz w:val="20"/>
                <w:szCs w:val="20"/>
                <w:lang w:bidi="ar"/>
              </w:rPr>
              <w:lastRenderedPageBreak/>
              <w:t>48学时；每年再培训时间少于16学时；</w:t>
            </w:r>
          </w:p>
          <w:p w14:paraId="7B3FD1A4" w14:textId="77777777" w:rsidR="00667D96" w:rsidRDefault="00000000">
            <w:pPr>
              <w:pStyle w:val="a0"/>
              <w:numPr>
                <w:ilvl w:val="0"/>
                <w:numId w:val="3"/>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新上岗的从业人员安全培训时间少于72学时。从业人员每年再培训的时间少于20学时。</w:t>
            </w:r>
          </w:p>
        </w:tc>
        <w:tc>
          <w:tcPr>
            <w:tcW w:w="850" w:type="dxa"/>
            <w:shd w:val="clear" w:color="auto" w:fill="auto"/>
            <w:vAlign w:val="center"/>
          </w:tcPr>
          <w:p w14:paraId="5A5A87AC"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03B09548" w14:textId="77777777">
        <w:trPr>
          <w:jc w:val="center"/>
        </w:trPr>
        <w:tc>
          <w:tcPr>
            <w:tcW w:w="1772" w:type="dxa"/>
            <w:shd w:val="clear" w:color="auto" w:fill="auto"/>
            <w:vAlign w:val="center"/>
          </w:tcPr>
          <w:p w14:paraId="36803FB8"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71193C0D"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7021A020"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应急救援类</w:t>
            </w:r>
          </w:p>
        </w:tc>
        <w:tc>
          <w:tcPr>
            <w:tcW w:w="5159" w:type="dxa"/>
            <w:shd w:val="clear" w:color="auto" w:fill="auto"/>
            <w:vAlign w:val="center"/>
          </w:tcPr>
          <w:p w14:paraId="5508F0EC"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未按要求编制危险化学品泄漏、火灾、爆炸、急性中毒事故应急救援预案，或未按规定定期（至少每半年一次）组织应急演练。</w:t>
            </w:r>
          </w:p>
        </w:tc>
        <w:tc>
          <w:tcPr>
            <w:tcW w:w="5387" w:type="dxa"/>
            <w:shd w:val="clear" w:color="auto" w:fill="auto"/>
            <w:vAlign w:val="center"/>
          </w:tcPr>
          <w:p w14:paraId="530F6CF8" w14:textId="77777777" w:rsidR="00667D96" w:rsidRDefault="00000000">
            <w:pPr>
              <w:pStyle w:val="aa"/>
              <w:widowControl w:val="0"/>
              <w:adjustRightInd w:val="0"/>
              <w:snapToGrid w:val="0"/>
              <w:spacing w:before="0" w:beforeAutospacing="0" w:after="0" w:afterAutospacing="0"/>
              <w:jc w:val="both"/>
              <w:rPr>
                <w:rFonts w:ascii="仿宋_GB2312" w:eastAsia="仿宋_GB2312" w:hAnsiTheme="minorEastAsia"/>
                <w:sz w:val="20"/>
                <w:szCs w:val="20"/>
                <w:lang w:bidi="ar"/>
              </w:rPr>
            </w:pPr>
            <w:r>
              <w:rPr>
                <w:rFonts w:ascii="仿宋_GB2312" w:eastAsia="仿宋_GB2312" w:hAnsiTheme="minorEastAsia" w:hint="eastAsia"/>
                <w:sz w:val="20"/>
                <w:szCs w:val="20"/>
                <w:lang w:bidi="ar"/>
              </w:rPr>
              <w:t>《生产安全事故应急条例》第五条；《生产安全事故应急预案管理办法》第五条、第十九条；《中华人民共和国安全生产法》第八十一条；《北京市安全生产条例》第五十五条；《北京市生产经营单位安全生产主体责任规定》第三十条；</w:t>
            </w:r>
          </w:p>
          <w:p w14:paraId="11D43AC4" w14:textId="4D2F13E8" w:rsidR="00667D96" w:rsidRDefault="00000000">
            <w:pPr>
              <w:pStyle w:val="aa"/>
              <w:widowControl w:val="0"/>
              <w:adjustRightInd w:val="0"/>
              <w:snapToGrid w:val="0"/>
              <w:spacing w:before="0" w:beforeAutospacing="0" w:after="0" w:afterAutospacing="0"/>
              <w:jc w:val="both"/>
              <w:rPr>
                <w:rFonts w:ascii="仿宋_GB2312" w:eastAsia="仿宋_GB2312" w:hAnsiTheme="minorEastAsia"/>
                <w:sz w:val="20"/>
                <w:szCs w:val="20"/>
                <w:lang w:bidi="ar"/>
              </w:rPr>
            </w:pPr>
            <w:r>
              <w:rPr>
                <w:rFonts w:ascii="仿宋_GB2312" w:eastAsia="仿宋_GB2312" w:hAnsiTheme="minorEastAsia" w:hint="eastAsia"/>
                <w:sz w:val="20"/>
                <w:szCs w:val="20"/>
                <w:lang w:bidi="ar"/>
              </w:rPr>
              <w:t>DB11/755-2010《危险化学品仓库建设及储存安全规范》第4.5.4条</w:t>
            </w:r>
            <w:r w:rsidR="00C13DDE">
              <w:rPr>
                <w:rFonts w:ascii="仿宋_GB2312" w:eastAsia="仿宋_GB2312" w:hAnsiTheme="minorEastAsia" w:hint="eastAsia"/>
                <w:sz w:val="20"/>
                <w:szCs w:val="20"/>
                <w:lang w:bidi="ar"/>
              </w:rPr>
              <w:t>；</w:t>
            </w:r>
          </w:p>
          <w:p w14:paraId="15DF2E6C" w14:textId="77777777" w:rsidR="00667D96" w:rsidRDefault="00000000">
            <w:pPr>
              <w:pStyle w:val="aa"/>
              <w:widowControl w:val="0"/>
              <w:adjustRightInd w:val="0"/>
              <w:snapToGrid w:val="0"/>
              <w:spacing w:before="0" w:beforeAutospacing="0" w:after="0" w:afterAutospacing="0"/>
              <w:jc w:val="both"/>
              <w:rPr>
                <w:rFonts w:ascii="仿宋_GB2312" w:eastAsia="仿宋_GB2312" w:hAnsiTheme="minorEastAsia"/>
                <w:sz w:val="20"/>
                <w:szCs w:val="20"/>
                <w:lang w:bidi="ar"/>
              </w:rPr>
            </w:pPr>
            <w:r>
              <w:rPr>
                <w:rFonts w:ascii="仿宋_GB2312" w:eastAsia="仿宋_GB2312" w:hAnsiTheme="minorEastAsia" w:hint="eastAsia"/>
                <w:sz w:val="20"/>
                <w:szCs w:val="20"/>
                <w:lang w:bidi="ar"/>
              </w:rPr>
              <w:t>GB 15603-2022《危险化学品仓库储存通则》第11.1.4条</w:t>
            </w:r>
          </w:p>
        </w:tc>
        <w:tc>
          <w:tcPr>
            <w:tcW w:w="850" w:type="dxa"/>
            <w:shd w:val="clear" w:color="auto" w:fill="auto"/>
            <w:vAlign w:val="center"/>
          </w:tcPr>
          <w:p w14:paraId="2E04A812"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63726370" w14:textId="77777777">
        <w:trPr>
          <w:jc w:val="center"/>
        </w:trPr>
        <w:tc>
          <w:tcPr>
            <w:tcW w:w="1772" w:type="dxa"/>
            <w:shd w:val="clear" w:color="auto" w:fill="auto"/>
            <w:vAlign w:val="center"/>
          </w:tcPr>
          <w:p w14:paraId="285B9D5C"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DB0A0B8"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5C12ABED"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应急救援类</w:t>
            </w:r>
          </w:p>
        </w:tc>
        <w:tc>
          <w:tcPr>
            <w:tcW w:w="5159" w:type="dxa"/>
            <w:shd w:val="clear" w:color="auto" w:fill="auto"/>
            <w:vAlign w:val="center"/>
          </w:tcPr>
          <w:p w14:paraId="535A9151"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重点岗位未设置岗位应急处置卡。</w:t>
            </w:r>
          </w:p>
        </w:tc>
        <w:tc>
          <w:tcPr>
            <w:tcW w:w="5387" w:type="dxa"/>
            <w:shd w:val="clear" w:color="auto" w:fill="auto"/>
            <w:vAlign w:val="center"/>
          </w:tcPr>
          <w:p w14:paraId="5485B1AF" w14:textId="7DBF2AF0" w:rsidR="00667D96" w:rsidRDefault="00000000">
            <w:pPr>
              <w:pStyle w:val="aa"/>
              <w:widowControl w:val="0"/>
              <w:adjustRightInd w:val="0"/>
              <w:snapToGrid w:val="0"/>
              <w:spacing w:before="0" w:beforeAutospacing="0" w:after="0" w:afterAutospacing="0"/>
              <w:jc w:val="both"/>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w:t>
            </w:r>
            <w:r w:rsidR="00C13DDE">
              <w:rPr>
                <w:rFonts w:ascii="仿宋_GB2312" w:eastAsia="仿宋_GB2312" w:hAnsiTheme="minorEastAsia" w:hint="eastAsia"/>
                <w:sz w:val="20"/>
                <w:szCs w:val="20"/>
                <w:lang w:bidi="ar"/>
              </w:rPr>
              <w:t>第3</w:t>
            </w:r>
            <w:r w:rsidR="00C13DDE">
              <w:rPr>
                <w:rFonts w:ascii="仿宋_GB2312" w:eastAsia="仿宋_GB2312" w:hAnsiTheme="minorEastAsia"/>
                <w:sz w:val="20"/>
                <w:szCs w:val="20"/>
                <w:lang w:bidi="ar"/>
              </w:rPr>
              <w:t>.1.1</w:t>
            </w:r>
            <w:r w:rsidR="00C13DDE">
              <w:rPr>
                <w:rFonts w:ascii="仿宋_GB2312" w:eastAsia="仿宋_GB2312" w:hAnsiTheme="minorEastAsia" w:hint="eastAsia"/>
                <w:sz w:val="20"/>
                <w:szCs w:val="20"/>
                <w:lang w:bidi="ar"/>
              </w:rPr>
              <w:t>条（附表B.1）</w:t>
            </w:r>
          </w:p>
        </w:tc>
        <w:tc>
          <w:tcPr>
            <w:tcW w:w="850" w:type="dxa"/>
            <w:shd w:val="clear" w:color="auto" w:fill="auto"/>
            <w:vAlign w:val="center"/>
          </w:tcPr>
          <w:p w14:paraId="27FE5793"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2CC26D97" w14:textId="77777777">
        <w:trPr>
          <w:jc w:val="center"/>
        </w:trPr>
        <w:tc>
          <w:tcPr>
            <w:tcW w:w="1772" w:type="dxa"/>
            <w:shd w:val="clear" w:color="auto" w:fill="auto"/>
            <w:vAlign w:val="center"/>
          </w:tcPr>
          <w:p w14:paraId="365DB301"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43A8F5BE"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43E865B2"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应急救援类</w:t>
            </w:r>
          </w:p>
        </w:tc>
        <w:tc>
          <w:tcPr>
            <w:tcW w:w="5159" w:type="dxa"/>
            <w:shd w:val="clear" w:color="auto" w:fill="auto"/>
            <w:vAlign w:val="center"/>
          </w:tcPr>
          <w:p w14:paraId="4592382D"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未根据实际需求，配备应急设施和装备，储备应急物资，指定专人负责管理，并建立使用状况台账，定期检测和维护，使其处于良好状态。</w:t>
            </w:r>
          </w:p>
        </w:tc>
        <w:tc>
          <w:tcPr>
            <w:tcW w:w="5387" w:type="dxa"/>
            <w:shd w:val="clear" w:color="auto" w:fill="auto"/>
            <w:vAlign w:val="center"/>
          </w:tcPr>
          <w:p w14:paraId="15820060" w14:textId="77777777" w:rsidR="00667D96" w:rsidRDefault="00000000">
            <w:pPr>
              <w:pStyle w:val="aa"/>
              <w:widowControl w:val="0"/>
              <w:adjustRightInd w:val="0"/>
              <w:snapToGrid w:val="0"/>
              <w:spacing w:before="0" w:beforeAutospacing="0" w:after="0" w:afterAutospacing="0"/>
              <w:jc w:val="both"/>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5部分:危险化学品经营企业》第3.1.1条；</w:t>
            </w:r>
          </w:p>
          <w:p w14:paraId="3755172D" w14:textId="74646621" w:rsidR="00667D96" w:rsidRDefault="00000000">
            <w:pPr>
              <w:pStyle w:val="aa"/>
              <w:widowControl w:val="0"/>
              <w:adjustRightInd w:val="0"/>
              <w:snapToGrid w:val="0"/>
              <w:spacing w:before="0" w:beforeAutospacing="0" w:after="0" w:afterAutospacing="0"/>
              <w:jc w:val="both"/>
              <w:rPr>
                <w:rFonts w:ascii="仿宋_GB2312" w:eastAsia="仿宋_GB2312" w:hAnsiTheme="minorEastAsia"/>
                <w:sz w:val="20"/>
                <w:szCs w:val="20"/>
                <w:lang w:bidi="ar"/>
              </w:rPr>
            </w:pPr>
            <w:r>
              <w:rPr>
                <w:rFonts w:ascii="仿宋_GB2312" w:eastAsia="仿宋_GB2312" w:hAnsiTheme="minorEastAsia" w:hint="eastAsia"/>
                <w:sz w:val="20"/>
                <w:szCs w:val="20"/>
                <w:lang w:bidi="ar"/>
              </w:rPr>
              <w:t>DB11/755-2010《危险化学品仓库建设及储存安全规范》第4.5.4条</w:t>
            </w:r>
            <w:r w:rsidR="00C13DDE">
              <w:rPr>
                <w:rFonts w:ascii="仿宋_GB2312" w:eastAsia="仿宋_GB2312" w:hAnsiTheme="minorEastAsia" w:hint="eastAsia"/>
                <w:sz w:val="20"/>
                <w:szCs w:val="20"/>
                <w:lang w:bidi="ar"/>
              </w:rPr>
              <w:t>；</w:t>
            </w:r>
          </w:p>
          <w:p w14:paraId="5666EAF2" w14:textId="200901A9" w:rsidR="00667D96" w:rsidRDefault="00000000">
            <w:pPr>
              <w:pStyle w:val="aa"/>
              <w:widowControl w:val="0"/>
              <w:adjustRightInd w:val="0"/>
              <w:snapToGrid w:val="0"/>
              <w:spacing w:before="0" w:beforeAutospacing="0" w:after="0" w:afterAutospacing="0"/>
              <w:jc w:val="both"/>
              <w:rPr>
                <w:rFonts w:ascii="仿宋_GB2312" w:eastAsia="仿宋_GB2312" w:hAnsiTheme="minorEastAsia"/>
                <w:sz w:val="20"/>
                <w:szCs w:val="20"/>
                <w:lang w:bidi="ar"/>
              </w:rPr>
            </w:pPr>
            <w:r>
              <w:rPr>
                <w:rFonts w:ascii="仿宋_GB2312" w:eastAsia="仿宋_GB2312" w:hAnsiTheme="minorEastAsia" w:hint="eastAsia"/>
                <w:sz w:val="20"/>
                <w:szCs w:val="20"/>
                <w:lang w:bidi="ar"/>
              </w:rPr>
              <w:t>GB 30077-2013《危险化学品单位应急救援物资配备要求》</w:t>
            </w:r>
            <w:r w:rsidR="00C13DDE">
              <w:rPr>
                <w:rFonts w:ascii="仿宋_GB2312" w:eastAsia="仿宋_GB2312" w:hAnsiTheme="minorEastAsia" w:hint="eastAsia"/>
                <w:sz w:val="20"/>
                <w:szCs w:val="20"/>
                <w:lang w:bidi="ar"/>
              </w:rPr>
              <w:t>第</w:t>
            </w:r>
            <w:r>
              <w:rPr>
                <w:rFonts w:ascii="仿宋_GB2312" w:eastAsia="仿宋_GB2312" w:hAnsiTheme="minorEastAsia" w:hint="eastAsia"/>
                <w:sz w:val="20"/>
                <w:szCs w:val="20"/>
                <w:lang w:bidi="ar"/>
              </w:rPr>
              <w:t>5.1</w:t>
            </w:r>
            <w:r w:rsidR="00C13DDE">
              <w:rPr>
                <w:rFonts w:ascii="仿宋_GB2312" w:eastAsia="仿宋_GB2312" w:hAnsiTheme="minorEastAsia" w:hint="eastAsia"/>
                <w:sz w:val="20"/>
                <w:szCs w:val="20"/>
                <w:lang w:bidi="ar"/>
              </w:rPr>
              <w:t>节</w:t>
            </w:r>
            <w:r>
              <w:rPr>
                <w:rFonts w:ascii="仿宋_GB2312" w:eastAsia="仿宋_GB2312" w:hAnsiTheme="minorEastAsia" w:hint="eastAsia"/>
                <w:sz w:val="20"/>
                <w:szCs w:val="20"/>
                <w:lang w:bidi="ar"/>
              </w:rPr>
              <w:t>、5.2</w:t>
            </w:r>
            <w:r w:rsidR="00C13DDE">
              <w:rPr>
                <w:rFonts w:ascii="仿宋_GB2312" w:eastAsia="仿宋_GB2312" w:hAnsiTheme="minorEastAsia" w:hint="eastAsia"/>
                <w:sz w:val="20"/>
                <w:szCs w:val="20"/>
                <w:lang w:bidi="ar"/>
              </w:rPr>
              <w:t>节</w:t>
            </w:r>
            <w:r>
              <w:rPr>
                <w:rFonts w:ascii="仿宋_GB2312" w:eastAsia="仿宋_GB2312" w:hAnsiTheme="minorEastAsia" w:hint="eastAsia"/>
                <w:sz w:val="20"/>
                <w:szCs w:val="20"/>
                <w:lang w:bidi="ar"/>
              </w:rPr>
              <w:t>、6章、7.1</w:t>
            </w:r>
            <w:r w:rsidR="00C13DDE">
              <w:rPr>
                <w:rFonts w:ascii="仿宋_GB2312" w:eastAsia="仿宋_GB2312" w:hAnsiTheme="minorEastAsia" w:hint="eastAsia"/>
                <w:sz w:val="20"/>
                <w:szCs w:val="20"/>
                <w:lang w:bidi="ar"/>
              </w:rPr>
              <w:t>节</w:t>
            </w:r>
            <w:r>
              <w:rPr>
                <w:rFonts w:ascii="仿宋_GB2312" w:eastAsia="仿宋_GB2312" w:hAnsiTheme="minorEastAsia" w:hint="eastAsia"/>
                <w:sz w:val="20"/>
                <w:szCs w:val="20"/>
                <w:lang w:bidi="ar"/>
              </w:rPr>
              <w:t>、7.2.1</w:t>
            </w:r>
            <w:r w:rsidR="00C13DDE">
              <w:rPr>
                <w:rFonts w:ascii="仿宋_GB2312" w:eastAsia="仿宋_GB2312" w:hAnsiTheme="minorEastAsia" w:hint="eastAsia"/>
                <w:sz w:val="20"/>
                <w:szCs w:val="20"/>
                <w:lang w:bidi="ar"/>
              </w:rPr>
              <w:t>条</w:t>
            </w:r>
            <w:r>
              <w:rPr>
                <w:rFonts w:ascii="仿宋_GB2312" w:eastAsia="仿宋_GB2312" w:hAnsiTheme="minorEastAsia" w:hint="eastAsia"/>
                <w:sz w:val="20"/>
                <w:szCs w:val="20"/>
                <w:lang w:bidi="ar"/>
              </w:rPr>
              <w:t>和7.3</w:t>
            </w:r>
            <w:r w:rsidR="00C13DDE">
              <w:rPr>
                <w:rFonts w:ascii="仿宋_GB2312" w:eastAsia="仿宋_GB2312" w:hAnsiTheme="minorEastAsia" w:hint="eastAsia"/>
                <w:sz w:val="20"/>
                <w:szCs w:val="20"/>
                <w:lang w:bidi="ar"/>
              </w:rPr>
              <w:t>节</w:t>
            </w:r>
          </w:p>
        </w:tc>
        <w:tc>
          <w:tcPr>
            <w:tcW w:w="850" w:type="dxa"/>
            <w:shd w:val="clear" w:color="auto" w:fill="auto"/>
            <w:vAlign w:val="center"/>
          </w:tcPr>
          <w:p w14:paraId="45501856"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1D6B7690" w14:textId="77777777">
        <w:trPr>
          <w:jc w:val="center"/>
        </w:trPr>
        <w:tc>
          <w:tcPr>
            <w:tcW w:w="1772" w:type="dxa"/>
            <w:shd w:val="clear" w:color="auto" w:fill="auto"/>
            <w:vAlign w:val="center"/>
          </w:tcPr>
          <w:p w14:paraId="39F3053C"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3B1C9E4C"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53F198BC"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相关方管理类</w:t>
            </w:r>
          </w:p>
        </w:tc>
        <w:tc>
          <w:tcPr>
            <w:tcW w:w="5159" w:type="dxa"/>
            <w:shd w:val="clear" w:color="auto" w:fill="auto"/>
            <w:vAlign w:val="center"/>
          </w:tcPr>
          <w:p w14:paraId="767D36F1"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供应、承包（承租）方资质不符合要求，未与供应、承包（承租）方签订安全协议，未对承包（承租）单位的安全生产工作统一协调管理，未定期进行安全检查。</w:t>
            </w:r>
          </w:p>
        </w:tc>
        <w:tc>
          <w:tcPr>
            <w:tcW w:w="5387" w:type="dxa"/>
            <w:shd w:val="clear" w:color="auto" w:fill="auto"/>
            <w:vAlign w:val="center"/>
          </w:tcPr>
          <w:p w14:paraId="3CB1A2CD"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《中华人民共和国安全生产法》第四十九条</w:t>
            </w:r>
          </w:p>
        </w:tc>
        <w:tc>
          <w:tcPr>
            <w:tcW w:w="850" w:type="dxa"/>
            <w:shd w:val="clear" w:color="auto" w:fill="auto"/>
            <w:vAlign w:val="center"/>
          </w:tcPr>
          <w:p w14:paraId="05BF7801"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F3D6B33" w14:textId="77777777">
        <w:trPr>
          <w:jc w:val="center"/>
        </w:trPr>
        <w:tc>
          <w:tcPr>
            <w:tcW w:w="1772" w:type="dxa"/>
            <w:shd w:val="clear" w:color="auto" w:fill="auto"/>
            <w:vAlign w:val="center"/>
          </w:tcPr>
          <w:p w14:paraId="3EB02EA1"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07F9B8CC"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12332994"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安全生产投入类</w:t>
            </w:r>
          </w:p>
        </w:tc>
        <w:tc>
          <w:tcPr>
            <w:tcW w:w="5159" w:type="dxa"/>
            <w:shd w:val="clear" w:color="auto" w:fill="auto"/>
            <w:vAlign w:val="center"/>
          </w:tcPr>
          <w:p w14:paraId="4FCEC079"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未按规定提取、管理和使用安全生产费用。</w:t>
            </w:r>
          </w:p>
        </w:tc>
        <w:tc>
          <w:tcPr>
            <w:tcW w:w="5387" w:type="dxa"/>
            <w:shd w:val="clear" w:color="auto" w:fill="auto"/>
            <w:vAlign w:val="center"/>
          </w:tcPr>
          <w:p w14:paraId="49BAB427"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《中华人民共和国安全生产法》第二十八条；《企业安全生产费用提取和使用管理办法》（财资[2022]136号）</w:t>
            </w:r>
          </w:p>
        </w:tc>
        <w:tc>
          <w:tcPr>
            <w:tcW w:w="850" w:type="dxa"/>
            <w:shd w:val="clear" w:color="auto" w:fill="auto"/>
            <w:vAlign w:val="center"/>
          </w:tcPr>
          <w:p w14:paraId="1A9E1FFA"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1AFDAECC" w14:textId="77777777">
        <w:trPr>
          <w:jc w:val="center"/>
        </w:trPr>
        <w:tc>
          <w:tcPr>
            <w:tcW w:w="1772" w:type="dxa"/>
            <w:shd w:val="clear" w:color="auto" w:fill="auto"/>
            <w:vAlign w:val="center"/>
          </w:tcPr>
          <w:p w14:paraId="324651E7"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4EC0E49B"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基础资料类</w:t>
            </w:r>
          </w:p>
        </w:tc>
        <w:tc>
          <w:tcPr>
            <w:tcW w:w="1134" w:type="dxa"/>
            <w:shd w:val="clear" w:color="auto" w:fill="auto"/>
            <w:vAlign w:val="center"/>
          </w:tcPr>
          <w:p w14:paraId="590EF868"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安全生产投入类</w:t>
            </w:r>
          </w:p>
        </w:tc>
        <w:tc>
          <w:tcPr>
            <w:tcW w:w="5159" w:type="dxa"/>
            <w:shd w:val="clear" w:color="auto" w:fill="auto"/>
            <w:vAlign w:val="center"/>
          </w:tcPr>
          <w:p w14:paraId="2E5C8F6A"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未依法参加工伤保险，为所有从业人员缴纳保险费；国家规定的高危行业、领域的生产经营单位，未投保安全生产责任保险。</w:t>
            </w:r>
          </w:p>
        </w:tc>
        <w:tc>
          <w:tcPr>
            <w:tcW w:w="5387" w:type="dxa"/>
            <w:shd w:val="clear" w:color="auto" w:fill="auto"/>
            <w:vAlign w:val="center"/>
          </w:tcPr>
          <w:p w14:paraId="2FF6A2FC"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《中华人民共和国安全生产法》第五十一条；《北京市安全生产条例》第三十六条；《中共中央 国务院关于推进安全生产领域改革发展的意见》(中发〔2016〕32号)第二十九条</w:t>
            </w:r>
          </w:p>
        </w:tc>
        <w:tc>
          <w:tcPr>
            <w:tcW w:w="850" w:type="dxa"/>
            <w:shd w:val="clear" w:color="auto" w:fill="auto"/>
            <w:vAlign w:val="center"/>
          </w:tcPr>
          <w:p w14:paraId="23D77058"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070EC3E9" w14:textId="77777777">
        <w:trPr>
          <w:jc w:val="center"/>
        </w:trPr>
        <w:tc>
          <w:tcPr>
            <w:tcW w:w="1772" w:type="dxa"/>
            <w:shd w:val="clear" w:color="auto" w:fill="auto"/>
            <w:vAlign w:val="center"/>
          </w:tcPr>
          <w:p w14:paraId="11277EE3"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333B757A"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0B1686D7"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物料类</w:t>
            </w:r>
          </w:p>
        </w:tc>
        <w:tc>
          <w:tcPr>
            <w:tcW w:w="5159" w:type="dxa"/>
            <w:shd w:val="clear" w:color="auto" w:fill="auto"/>
            <w:vAlign w:val="center"/>
          </w:tcPr>
          <w:p w14:paraId="7A3F9E7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违法采购、经营危险化学品。</w:t>
            </w:r>
          </w:p>
          <w:p w14:paraId="75AE9264" w14:textId="77777777" w:rsidR="00667D96" w:rsidRDefault="00000000">
            <w:pPr>
              <w:pStyle w:val="ae"/>
              <w:widowControl/>
              <w:numPr>
                <w:ilvl w:val="0"/>
                <w:numId w:val="4"/>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采购无危险化学品安全生产许可或经营许可资质单位的危险化学品；</w:t>
            </w:r>
          </w:p>
          <w:p w14:paraId="453306D5" w14:textId="77777777" w:rsidR="00667D96" w:rsidRDefault="00000000">
            <w:pPr>
              <w:pStyle w:val="ae"/>
              <w:widowControl/>
              <w:numPr>
                <w:ilvl w:val="0"/>
                <w:numId w:val="4"/>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经营、使用国家禁止生产、经营、使用的危险化学品；</w:t>
            </w:r>
          </w:p>
          <w:p w14:paraId="5199E0A3" w14:textId="77777777" w:rsidR="00667D96" w:rsidRDefault="00000000">
            <w:pPr>
              <w:pStyle w:val="ae"/>
              <w:widowControl/>
              <w:numPr>
                <w:ilvl w:val="0"/>
                <w:numId w:val="4"/>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经营没有化学品安全技术说明书或者化学品安全标签的危险化学品；</w:t>
            </w:r>
          </w:p>
          <w:p w14:paraId="174B9D17" w14:textId="77777777" w:rsidR="00667D96" w:rsidRDefault="00000000">
            <w:pPr>
              <w:pStyle w:val="ae"/>
              <w:widowControl/>
              <w:numPr>
                <w:ilvl w:val="0"/>
                <w:numId w:val="4"/>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向个人销售剧毒化学品(属于剧毒化学品的农药除外)和易制爆危险化学品。</w:t>
            </w:r>
          </w:p>
        </w:tc>
        <w:tc>
          <w:tcPr>
            <w:tcW w:w="5387" w:type="dxa"/>
            <w:shd w:val="clear" w:color="auto" w:fill="auto"/>
            <w:vAlign w:val="center"/>
          </w:tcPr>
          <w:p w14:paraId="4AD646F5"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《危险化学品安全管理条例》第五条、第三十七条、第三十八条、第四十条</w:t>
            </w:r>
            <w:r>
              <w:rPr>
                <w:rFonts w:ascii="仿宋_GB2312" w:eastAsia="仿宋_GB2312" w:hAnsiTheme="minorEastAsia" w:hint="eastAsia"/>
                <w:kern w:val="0"/>
                <w:sz w:val="20"/>
                <w:szCs w:val="20"/>
              </w:rPr>
              <w:t xml:space="preserve"> </w:t>
            </w:r>
          </w:p>
        </w:tc>
        <w:tc>
          <w:tcPr>
            <w:tcW w:w="850" w:type="dxa"/>
            <w:shd w:val="clear" w:color="auto" w:fill="auto"/>
            <w:vAlign w:val="center"/>
          </w:tcPr>
          <w:p w14:paraId="196D0969"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CFEA32E" w14:textId="77777777">
        <w:trPr>
          <w:jc w:val="center"/>
        </w:trPr>
        <w:tc>
          <w:tcPr>
            <w:tcW w:w="1772" w:type="dxa"/>
            <w:shd w:val="clear" w:color="auto" w:fill="auto"/>
            <w:vAlign w:val="center"/>
          </w:tcPr>
          <w:p w14:paraId="5C7E6F0D"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79772268"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6A6FE411"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物料类</w:t>
            </w:r>
          </w:p>
        </w:tc>
        <w:tc>
          <w:tcPr>
            <w:tcW w:w="5159" w:type="dxa"/>
            <w:shd w:val="clear" w:color="auto" w:fill="auto"/>
            <w:vAlign w:val="center"/>
          </w:tcPr>
          <w:p w14:paraId="618D5CC8"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危险废弃物处置不规范。</w:t>
            </w:r>
          </w:p>
          <w:p w14:paraId="6C9585B4" w14:textId="3F37329E" w:rsidR="00C13DDE" w:rsidRPr="00C13DDE" w:rsidRDefault="00000000" w:rsidP="00C13DDE">
            <w:pPr>
              <w:pStyle w:val="ae"/>
              <w:widowControl/>
              <w:numPr>
                <w:ilvl w:val="0"/>
                <w:numId w:val="33"/>
              </w:numPr>
              <w:adjustRightInd w:val="0"/>
              <w:snapToGrid w:val="0"/>
              <w:ind w:firstLineChars="0"/>
              <w:jc w:val="left"/>
              <w:rPr>
                <w:rFonts w:ascii="仿宋_GB2312" w:eastAsia="仿宋_GB2312" w:hAnsiTheme="minorEastAsia"/>
                <w:sz w:val="20"/>
                <w:szCs w:val="20"/>
                <w:lang w:bidi="ar"/>
              </w:rPr>
            </w:pPr>
            <w:r w:rsidRPr="00C13DDE">
              <w:rPr>
                <w:rFonts w:ascii="仿宋_GB2312" w:eastAsia="仿宋_GB2312" w:hAnsiTheme="minorEastAsia" w:hint="eastAsia"/>
                <w:sz w:val="20"/>
                <w:szCs w:val="20"/>
                <w:lang w:bidi="ar"/>
              </w:rPr>
              <w:t>危险废弃物未存放在专门的储存场所</w:t>
            </w:r>
            <w:r w:rsidR="00C13DDE" w:rsidRPr="00C13DDE">
              <w:rPr>
                <w:rFonts w:ascii="仿宋_GB2312" w:eastAsia="仿宋_GB2312" w:hAnsiTheme="minorEastAsia" w:hint="eastAsia"/>
                <w:sz w:val="20"/>
                <w:szCs w:val="20"/>
                <w:lang w:bidi="ar"/>
              </w:rPr>
              <w:t>；</w:t>
            </w:r>
          </w:p>
          <w:p w14:paraId="072D411F" w14:textId="10B78C7E" w:rsidR="00667D96" w:rsidRPr="00C13DDE" w:rsidRDefault="00000000" w:rsidP="00C13DDE">
            <w:pPr>
              <w:pStyle w:val="ae"/>
              <w:widowControl/>
              <w:numPr>
                <w:ilvl w:val="0"/>
                <w:numId w:val="33"/>
              </w:numPr>
              <w:adjustRightInd w:val="0"/>
              <w:snapToGrid w:val="0"/>
              <w:ind w:firstLineChars="0"/>
              <w:jc w:val="left"/>
              <w:rPr>
                <w:rFonts w:ascii="仿宋_GB2312" w:eastAsia="仿宋_GB2312" w:hAnsiTheme="minorEastAsia"/>
                <w:sz w:val="20"/>
                <w:szCs w:val="20"/>
                <w:lang w:bidi="ar"/>
              </w:rPr>
            </w:pPr>
            <w:r w:rsidRPr="00C13DDE">
              <w:rPr>
                <w:rFonts w:ascii="仿宋_GB2312" w:eastAsia="仿宋_GB2312" w:hAnsiTheme="minorEastAsia" w:hint="eastAsia"/>
                <w:sz w:val="20"/>
                <w:szCs w:val="20"/>
                <w:lang w:bidi="ar"/>
              </w:rPr>
              <w:t>危险废弃物未交由有危险废物处置资质的单位进行处置。</w:t>
            </w:r>
          </w:p>
        </w:tc>
        <w:tc>
          <w:tcPr>
            <w:tcW w:w="5387" w:type="dxa"/>
            <w:shd w:val="clear" w:color="auto" w:fill="auto"/>
            <w:vAlign w:val="center"/>
          </w:tcPr>
          <w:p w14:paraId="6E27FB48"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DB11/T1322.2-2017《安全生产等级技术规范第2部分：安全生产通用要求》第3.8.1.23条</w:t>
            </w:r>
          </w:p>
        </w:tc>
        <w:tc>
          <w:tcPr>
            <w:tcW w:w="850" w:type="dxa"/>
            <w:shd w:val="clear" w:color="auto" w:fill="auto"/>
            <w:vAlign w:val="center"/>
          </w:tcPr>
          <w:p w14:paraId="0EDFDBC4"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00F1A525" w14:textId="77777777">
        <w:trPr>
          <w:jc w:val="center"/>
        </w:trPr>
        <w:tc>
          <w:tcPr>
            <w:tcW w:w="1772" w:type="dxa"/>
            <w:shd w:val="clear" w:color="auto" w:fill="auto"/>
            <w:vAlign w:val="center"/>
          </w:tcPr>
          <w:p w14:paraId="0FC6DF4D"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B713A4E"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21D6980E"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工艺生产及设备设施类</w:t>
            </w:r>
          </w:p>
        </w:tc>
        <w:tc>
          <w:tcPr>
            <w:tcW w:w="5159" w:type="dxa"/>
            <w:shd w:val="clear" w:color="auto" w:fill="auto"/>
            <w:vAlign w:val="center"/>
          </w:tcPr>
          <w:p w14:paraId="40942322"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使用国家明令淘汰、已经报废或者达到报废条件的设备设施；</w:t>
            </w:r>
            <w:r>
              <w:rPr>
                <w:rFonts w:ascii="仿宋_GB2312" w:eastAsia="仿宋_GB2312" w:hAnsiTheme="minorEastAsia" w:hint="eastAsia"/>
                <w:sz w:val="20"/>
                <w:szCs w:val="20"/>
              </w:rPr>
              <w:t>未依据国家公布的设备性能标准淘汰落后的电气设备</w:t>
            </w:r>
            <w:r>
              <w:rPr>
                <w:rFonts w:ascii="仿宋_GB2312" w:eastAsia="仿宋_GB2312" w:hAnsiTheme="minorEastAsia" w:hint="eastAsia"/>
                <w:sz w:val="20"/>
                <w:szCs w:val="20"/>
                <w:lang w:bidi="ar"/>
              </w:rPr>
              <w:t>。</w:t>
            </w:r>
          </w:p>
        </w:tc>
        <w:tc>
          <w:tcPr>
            <w:tcW w:w="5387" w:type="dxa"/>
            <w:shd w:val="clear" w:color="auto" w:fill="auto"/>
            <w:vAlign w:val="center"/>
          </w:tcPr>
          <w:p w14:paraId="0E14A539"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特种设备安全法》第三十二条；《北京市安全生产条例》第二十六条；《关于印发淘汰落后安全技术装备目录(2015年第一批)的通知》(安监总科技〔2015〕75号)；《北京市生产经营单位安全生产主体责任规定》第二十条</w:t>
            </w:r>
          </w:p>
        </w:tc>
        <w:tc>
          <w:tcPr>
            <w:tcW w:w="850" w:type="dxa"/>
            <w:shd w:val="clear" w:color="auto" w:fill="auto"/>
            <w:vAlign w:val="center"/>
          </w:tcPr>
          <w:p w14:paraId="49133554"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7EB00C3A" w14:textId="77777777">
        <w:trPr>
          <w:jc w:val="center"/>
        </w:trPr>
        <w:tc>
          <w:tcPr>
            <w:tcW w:w="1772" w:type="dxa"/>
            <w:shd w:val="clear" w:color="auto" w:fill="auto"/>
            <w:vAlign w:val="center"/>
          </w:tcPr>
          <w:p w14:paraId="515936CF"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66989025"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05DEC4CB"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工艺生产及设备设施类</w:t>
            </w:r>
          </w:p>
        </w:tc>
        <w:tc>
          <w:tcPr>
            <w:tcW w:w="5159" w:type="dxa"/>
            <w:shd w:val="clear" w:color="auto" w:fill="auto"/>
            <w:vAlign w:val="center"/>
          </w:tcPr>
          <w:p w14:paraId="4E30620F"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电气设备的安全性能不符合规范要求：</w:t>
            </w:r>
          </w:p>
          <w:p w14:paraId="312EA9C6" w14:textId="77777777" w:rsidR="00667D96" w:rsidRDefault="00000000">
            <w:pPr>
              <w:pStyle w:val="ae"/>
              <w:widowControl/>
              <w:numPr>
                <w:ilvl w:val="0"/>
                <w:numId w:val="5"/>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设备的金属外壳未采取防漏电保护接地；</w:t>
            </w:r>
          </w:p>
          <w:p w14:paraId="6633DFFA" w14:textId="77777777" w:rsidR="00667D96" w:rsidRDefault="00000000">
            <w:pPr>
              <w:pStyle w:val="ae"/>
              <w:widowControl/>
              <w:numPr>
                <w:ilvl w:val="0"/>
                <w:numId w:val="5"/>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接地线搭接或串接，接线不规范、接触不良；</w:t>
            </w:r>
          </w:p>
          <w:p w14:paraId="6F246BDC" w14:textId="77777777" w:rsidR="00667D96" w:rsidRDefault="00000000">
            <w:pPr>
              <w:pStyle w:val="ae"/>
              <w:widowControl/>
              <w:numPr>
                <w:ilvl w:val="0"/>
                <w:numId w:val="5"/>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利用金属软管、管道保温层的金属外皮或金属网、低压照明网络的导线铅皮以及电缆金属护层作为接地钱；</w:t>
            </w:r>
          </w:p>
          <w:p w14:paraId="634AC24B" w14:textId="77777777" w:rsidR="00667D96" w:rsidRDefault="00000000">
            <w:pPr>
              <w:pStyle w:val="ae"/>
              <w:widowControl/>
              <w:numPr>
                <w:ilvl w:val="0"/>
                <w:numId w:val="5"/>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电气装置的接地未单独与接地母钱或接地网相连接；</w:t>
            </w:r>
          </w:p>
          <w:p w14:paraId="460C9C53" w14:textId="77777777" w:rsidR="00667D96" w:rsidRDefault="00000000">
            <w:pPr>
              <w:pStyle w:val="ae"/>
              <w:widowControl/>
              <w:numPr>
                <w:ilvl w:val="0"/>
                <w:numId w:val="5"/>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在一条接地线中串接两个及两个以上需要接地的电气装置；</w:t>
            </w:r>
          </w:p>
          <w:p w14:paraId="6CD5F743" w14:textId="77777777" w:rsidR="00667D96" w:rsidRDefault="00000000">
            <w:pPr>
              <w:pStyle w:val="ae"/>
              <w:widowControl/>
              <w:numPr>
                <w:ilvl w:val="0"/>
                <w:numId w:val="5"/>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明设的未沿管道或设备外壳敷设，暗设的在接线处外部无接地标志；</w:t>
            </w:r>
          </w:p>
          <w:p w14:paraId="677BC0BF" w14:textId="77777777" w:rsidR="00667D96" w:rsidRDefault="00000000">
            <w:pPr>
              <w:pStyle w:val="ae"/>
              <w:widowControl/>
              <w:numPr>
                <w:ilvl w:val="0"/>
                <w:numId w:val="5"/>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接地线接线间涂漆或加绝缘垫。</w:t>
            </w:r>
          </w:p>
        </w:tc>
        <w:tc>
          <w:tcPr>
            <w:tcW w:w="5387" w:type="dxa"/>
            <w:shd w:val="clear" w:color="auto" w:fill="auto"/>
            <w:vAlign w:val="center"/>
          </w:tcPr>
          <w:p w14:paraId="119E3F86"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50169-2016《电气装置安装工程接地装置施工及验收规范》第3.0.4条、第4.1.8条、第4.2.6条、第4.2.9条</w:t>
            </w:r>
          </w:p>
        </w:tc>
        <w:tc>
          <w:tcPr>
            <w:tcW w:w="850" w:type="dxa"/>
            <w:shd w:val="clear" w:color="auto" w:fill="auto"/>
            <w:vAlign w:val="center"/>
          </w:tcPr>
          <w:p w14:paraId="7EF7ACE0"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0CF2D0FF" w14:textId="77777777">
        <w:trPr>
          <w:jc w:val="center"/>
        </w:trPr>
        <w:tc>
          <w:tcPr>
            <w:tcW w:w="1772" w:type="dxa"/>
            <w:shd w:val="clear" w:color="auto" w:fill="auto"/>
            <w:vAlign w:val="center"/>
          </w:tcPr>
          <w:p w14:paraId="42D1FAD7"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kern w:val="0"/>
                <w:sz w:val="20"/>
                <w:szCs w:val="20"/>
              </w:rPr>
            </w:pPr>
          </w:p>
        </w:tc>
        <w:tc>
          <w:tcPr>
            <w:tcW w:w="992" w:type="dxa"/>
            <w:shd w:val="clear" w:color="auto" w:fill="auto"/>
            <w:vAlign w:val="center"/>
          </w:tcPr>
          <w:p w14:paraId="0C90E7FE"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2E20C59B"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bidi="ar"/>
              </w:rPr>
              <w:t>其他设备设施类</w:t>
            </w:r>
          </w:p>
        </w:tc>
        <w:tc>
          <w:tcPr>
            <w:tcW w:w="5159" w:type="dxa"/>
            <w:shd w:val="clear" w:color="auto" w:fill="auto"/>
            <w:vAlign w:val="center"/>
          </w:tcPr>
          <w:p w14:paraId="3A4985FA"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危险化学品仓库安装的安全防护装置不符合国家标准、行业标准；或违反规定拆除、挪用或者停止使用安全防护装置。</w:t>
            </w:r>
          </w:p>
        </w:tc>
        <w:tc>
          <w:tcPr>
            <w:tcW w:w="5387" w:type="dxa"/>
            <w:shd w:val="clear" w:color="auto" w:fill="auto"/>
            <w:vAlign w:val="center"/>
          </w:tcPr>
          <w:p w14:paraId="31A5AA47"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《北京市安全生产条例》第二十五条</w:t>
            </w:r>
          </w:p>
        </w:tc>
        <w:tc>
          <w:tcPr>
            <w:tcW w:w="850" w:type="dxa"/>
            <w:shd w:val="clear" w:color="auto" w:fill="auto"/>
            <w:vAlign w:val="center"/>
          </w:tcPr>
          <w:p w14:paraId="3B823332"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1BA76DE" w14:textId="77777777">
        <w:trPr>
          <w:jc w:val="center"/>
        </w:trPr>
        <w:tc>
          <w:tcPr>
            <w:tcW w:w="1772" w:type="dxa"/>
            <w:shd w:val="clear" w:color="auto" w:fill="auto"/>
            <w:vAlign w:val="center"/>
          </w:tcPr>
          <w:p w14:paraId="5A487338"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2879081B"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4638C8B4"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其他设备设施类</w:t>
            </w:r>
          </w:p>
        </w:tc>
        <w:tc>
          <w:tcPr>
            <w:tcW w:w="5159" w:type="dxa"/>
            <w:shd w:val="clear" w:color="auto" w:fill="auto"/>
            <w:vAlign w:val="center"/>
          </w:tcPr>
          <w:p w14:paraId="0B787384"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危险化学品仓库未设置温、湿度调节设备。</w:t>
            </w:r>
          </w:p>
        </w:tc>
        <w:tc>
          <w:tcPr>
            <w:tcW w:w="5387" w:type="dxa"/>
            <w:shd w:val="clear" w:color="auto" w:fill="auto"/>
            <w:vAlign w:val="center"/>
          </w:tcPr>
          <w:p w14:paraId="26F4456E"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5部分:危险化学品经营企业》第3.3.2.1条</w:t>
            </w:r>
          </w:p>
        </w:tc>
        <w:tc>
          <w:tcPr>
            <w:tcW w:w="850" w:type="dxa"/>
            <w:shd w:val="clear" w:color="auto" w:fill="auto"/>
            <w:vAlign w:val="center"/>
          </w:tcPr>
          <w:p w14:paraId="04184277"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6539BC11" w14:textId="77777777">
        <w:trPr>
          <w:jc w:val="center"/>
        </w:trPr>
        <w:tc>
          <w:tcPr>
            <w:tcW w:w="1772" w:type="dxa"/>
            <w:shd w:val="clear" w:color="auto" w:fill="auto"/>
            <w:vAlign w:val="center"/>
          </w:tcPr>
          <w:p w14:paraId="596EFFDC"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125A7344"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3304B119"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其他设备设施类</w:t>
            </w:r>
          </w:p>
        </w:tc>
        <w:tc>
          <w:tcPr>
            <w:tcW w:w="5159" w:type="dxa"/>
            <w:shd w:val="clear" w:color="auto" w:fill="auto"/>
            <w:vAlign w:val="center"/>
          </w:tcPr>
          <w:p w14:paraId="560AEB2A"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危险化学品仓库及其出入口未设置全覆盖视频监控设备或已设置而未正常使用。</w:t>
            </w:r>
          </w:p>
        </w:tc>
        <w:tc>
          <w:tcPr>
            <w:tcW w:w="5387" w:type="dxa"/>
            <w:shd w:val="clear" w:color="auto" w:fill="auto"/>
            <w:vAlign w:val="center"/>
          </w:tcPr>
          <w:p w14:paraId="7BEC975A"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5部分:危险化学品经营企业》第3.3.2.3条；</w:t>
            </w:r>
          </w:p>
          <w:p w14:paraId="3E774384"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18265-2019《危险化学品经营企业安全技术基本要求》第4.3.6条</w:t>
            </w:r>
          </w:p>
        </w:tc>
        <w:tc>
          <w:tcPr>
            <w:tcW w:w="850" w:type="dxa"/>
            <w:shd w:val="clear" w:color="auto" w:fill="auto"/>
            <w:vAlign w:val="center"/>
          </w:tcPr>
          <w:p w14:paraId="0066077B"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473EE818" w14:textId="77777777">
        <w:trPr>
          <w:jc w:val="center"/>
        </w:trPr>
        <w:tc>
          <w:tcPr>
            <w:tcW w:w="1772" w:type="dxa"/>
            <w:shd w:val="clear" w:color="auto" w:fill="auto"/>
            <w:vAlign w:val="center"/>
          </w:tcPr>
          <w:p w14:paraId="72F0D5D4"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1C4825B2"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16DAE4EC"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其他设备设施类</w:t>
            </w:r>
          </w:p>
        </w:tc>
        <w:tc>
          <w:tcPr>
            <w:tcW w:w="5159" w:type="dxa"/>
            <w:shd w:val="clear" w:color="auto" w:fill="auto"/>
            <w:vAlign w:val="center"/>
          </w:tcPr>
          <w:p w14:paraId="668D019B"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涉及可燃和有毒有害气体泄漏的场所未按国家标准设置检测报警装置，爆炸危险场所未按国家标准安装使用防爆电气设备：</w:t>
            </w:r>
          </w:p>
          <w:p w14:paraId="4A838946" w14:textId="77777777" w:rsidR="00667D96" w:rsidRDefault="00000000">
            <w:pPr>
              <w:pStyle w:val="ae"/>
              <w:widowControl/>
              <w:numPr>
                <w:ilvl w:val="0"/>
                <w:numId w:val="6"/>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储存易燃气体、易燃液体危险化学品仓库、分装厂房未设置可燃气体报警装置，并未与防爆型通风机联锁；</w:t>
            </w:r>
          </w:p>
          <w:p w14:paraId="333626D6" w14:textId="77777777" w:rsidR="00667D96" w:rsidRDefault="00000000">
            <w:pPr>
              <w:pStyle w:val="ae"/>
              <w:widowControl/>
              <w:numPr>
                <w:ilvl w:val="0"/>
                <w:numId w:val="6"/>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储存毒害性危险化学品仓库未设置有毒气体报警装置，并未与风机联锁；</w:t>
            </w:r>
          </w:p>
          <w:p w14:paraId="3F7CA281" w14:textId="77777777" w:rsidR="00667D96" w:rsidRDefault="00000000">
            <w:pPr>
              <w:pStyle w:val="ae"/>
              <w:widowControl/>
              <w:numPr>
                <w:ilvl w:val="0"/>
                <w:numId w:val="6"/>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报警信号未传至24h有人值守的场所，或未设置声光报警。</w:t>
            </w:r>
          </w:p>
        </w:tc>
        <w:tc>
          <w:tcPr>
            <w:tcW w:w="5387" w:type="dxa"/>
            <w:shd w:val="clear" w:color="auto" w:fill="auto"/>
            <w:vAlign w:val="center"/>
          </w:tcPr>
          <w:p w14:paraId="2B7302A2"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5部分:危险化学品经营企业》第3.3.2.4条；</w:t>
            </w:r>
          </w:p>
          <w:p w14:paraId="7638DD89"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B11/T 1250-2015《危险化学品经营企业分装作业安全管理规范》第5.1条；</w:t>
            </w:r>
          </w:p>
          <w:p w14:paraId="7E97C50E"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18265-2019《危险化学品经营企业安全技术基本要求》第4.3.4条；</w:t>
            </w:r>
          </w:p>
          <w:p w14:paraId="1F6FA6B2"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DB11/755-2010《危险化学品仓库建设及储存安全规范》第4.3.4条</w:t>
            </w:r>
          </w:p>
        </w:tc>
        <w:tc>
          <w:tcPr>
            <w:tcW w:w="850" w:type="dxa"/>
            <w:shd w:val="clear" w:color="auto" w:fill="auto"/>
            <w:vAlign w:val="center"/>
          </w:tcPr>
          <w:p w14:paraId="195AB0D7"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w:t>
            </w:r>
          </w:p>
        </w:tc>
      </w:tr>
      <w:tr w:rsidR="00667D96" w14:paraId="07FB1691" w14:textId="77777777">
        <w:trPr>
          <w:jc w:val="center"/>
        </w:trPr>
        <w:tc>
          <w:tcPr>
            <w:tcW w:w="1772" w:type="dxa"/>
            <w:shd w:val="clear" w:color="auto" w:fill="auto"/>
            <w:vAlign w:val="center"/>
          </w:tcPr>
          <w:p w14:paraId="535ABF34"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B66099A"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748B3F5F"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其他设备设施类</w:t>
            </w:r>
          </w:p>
        </w:tc>
        <w:tc>
          <w:tcPr>
            <w:tcW w:w="5159" w:type="dxa"/>
            <w:shd w:val="clear" w:color="auto" w:fill="auto"/>
            <w:vAlign w:val="center"/>
          </w:tcPr>
          <w:p w14:paraId="1D0B04F8"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易燃易爆化学品危险化学品仓库、分装场所未设置防雷和防静电设施，或对设置的防雷和防静电设施未定期检测。</w:t>
            </w:r>
          </w:p>
        </w:tc>
        <w:tc>
          <w:tcPr>
            <w:tcW w:w="5387" w:type="dxa"/>
            <w:shd w:val="clear" w:color="auto" w:fill="auto"/>
            <w:vAlign w:val="center"/>
          </w:tcPr>
          <w:p w14:paraId="4ACA4F79"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5部分:危险化学品经营企业》第3.3.2.5条；</w:t>
            </w:r>
          </w:p>
          <w:p w14:paraId="4E57A355"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B11/T 1250-2015《危险化学品经营企业分装作业安全管理规范》第5.2、5.3条；</w:t>
            </w:r>
          </w:p>
          <w:p w14:paraId="1321CD92"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DB11/755-2010《危险化学品仓库建设及储存安全规范》第4.3.5条</w:t>
            </w:r>
          </w:p>
        </w:tc>
        <w:tc>
          <w:tcPr>
            <w:tcW w:w="850" w:type="dxa"/>
            <w:shd w:val="clear" w:color="auto" w:fill="auto"/>
            <w:vAlign w:val="center"/>
          </w:tcPr>
          <w:p w14:paraId="12D81DC7"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2A9FA14B" w14:textId="77777777">
        <w:trPr>
          <w:jc w:val="center"/>
        </w:trPr>
        <w:tc>
          <w:tcPr>
            <w:tcW w:w="1772" w:type="dxa"/>
            <w:shd w:val="clear" w:color="auto" w:fill="auto"/>
            <w:vAlign w:val="center"/>
          </w:tcPr>
          <w:p w14:paraId="469D5FCA"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1E709B2E"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60FE0289"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其他设备设施类</w:t>
            </w:r>
          </w:p>
        </w:tc>
        <w:tc>
          <w:tcPr>
            <w:tcW w:w="5159" w:type="dxa"/>
            <w:shd w:val="clear" w:color="auto" w:fill="auto"/>
            <w:vAlign w:val="center"/>
          </w:tcPr>
          <w:p w14:paraId="0BB41EE9"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危险化学品仓库入口处、易燃易爆化学品的分装场所未设置消除人体静电装置。</w:t>
            </w:r>
          </w:p>
        </w:tc>
        <w:tc>
          <w:tcPr>
            <w:tcW w:w="5387" w:type="dxa"/>
            <w:shd w:val="clear" w:color="auto" w:fill="auto"/>
            <w:vAlign w:val="center"/>
          </w:tcPr>
          <w:p w14:paraId="18127BA8"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5部分:危险化学品经营企业》第3.3.2.7条；</w:t>
            </w:r>
          </w:p>
          <w:p w14:paraId="181E998D"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B11/T 1250-2015《危险化学品经营企业分装作业安全管理规范》第5.3条</w:t>
            </w:r>
          </w:p>
        </w:tc>
        <w:tc>
          <w:tcPr>
            <w:tcW w:w="850" w:type="dxa"/>
            <w:shd w:val="clear" w:color="auto" w:fill="auto"/>
            <w:vAlign w:val="center"/>
          </w:tcPr>
          <w:p w14:paraId="68F56E91"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440DE2D2" w14:textId="77777777">
        <w:trPr>
          <w:jc w:val="center"/>
        </w:trPr>
        <w:tc>
          <w:tcPr>
            <w:tcW w:w="1772" w:type="dxa"/>
            <w:shd w:val="clear" w:color="auto" w:fill="auto"/>
            <w:vAlign w:val="center"/>
          </w:tcPr>
          <w:p w14:paraId="48FB944F"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76758146"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14ED4DD2"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其他设备设施类</w:t>
            </w:r>
          </w:p>
        </w:tc>
        <w:tc>
          <w:tcPr>
            <w:tcW w:w="5159" w:type="dxa"/>
            <w:shd w:val="clear" w:color="auto" w:fill="auto"/>
            <w:vAlign w:val="center"/>
          </w:tcPr>
          <w:p w14:paraId="6ECF40A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危险化学品仓库防流散、防</w:t>
            </w:r>
            <w:r>
              <w:rPr>
                <w:rFonts w:ascii="仿宋_GB2312" w:eastAsia="仿宋_GB2312" w:hAnsiTheme="minorEastAsia" w:cs="宋体" w:hint="eastAsia"/>
                <w:kern w:val="0"/>
                <w:sz w:val="20"/>
                <w:szCs w:val="20"/>
                <w:lang w:bidi="ar"/>
              </w:rPr>
              <w:t>水浸渍</w:t>
            </w:r>
            <w:r>
              <w:rPr>
                <w:rFonts w:ascii="仿宋_GB2312" w:eastAsia="仿宋_GB2312" w:hAnsiTheme="minorEastAsia" w:hint="eastAsia"/>
                <w:sz w:val="20"/>
                <w:szCs w:val="20"/>
                <w:lang w:bidi="ar"/>
              </w:rPr>
              <w:t xml:space="preserve">、泄压等安全措施不到位： </w:t>
            </w:r>
          </w:p>
          <w:p w14:paraId="1FEF94C5" w14:textId="77777777" w:rsidR="00667D96" w:rsidRDefault="00000000">
            <w:pPr>
              <w:pStyle w:val="ae"/>
              <w:widowControl/>
              <w:numPr>
                <w:ilvl w:val="0"/>
                <w:numId w:val="7"/>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 xml:space="preserve">甲、乙、丙类液体仓库未设置防止液体流散的设施； </w:t>
            </w:r>
          </w:p>
          <w:p w14:paraId="452AFE3E" w14:textId="77777777" w:rsidR="00667D96" w:rsidRDefault="00000000">
            <w:pPr>
              <w:pStyle w:val="ae"/>
              <w:widowControl/>
              <w:numPr>
                <w:ilvl w:val="0"/>
                <w:numId w:val="7"/>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lastRenderedPageBreak/>
              <w:t>遇湿会发生燃烧爆炸的物品仓库未采取防止水浸渍的措施；</w:t>
            </w:r>
          </w:p>
          <w:p w14:paraId="1D685E9A" w14:textId="77777777" w:rsidR="00667D96" w:rsidRDefault="00000000">
            <w:pPr>
              <w:pStyle w:val="ae"/>
              <w:widowControl/>
              <w:numPr>
                <w:ilvl w:val="0"/>
                <w:numId w:val="7"/>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 xml:space="preserve">存在爆炸危险的危险化学品仓库未设置符合规范的泄压设施。 </w:t>
            </w:r>
          </w:p>
        </w:tc>
        <w:tc>
          <w:tcPr>
            <w:tcW w:w="5387" w:type="dxa"/>
            <w:shd w:val="clear" w:color="auto" w:fill="auto"/>
            <w:vAlign w:val="center"/>
          </w:tcPr>
          <w:p w14:paraId="4801F7C3" w14:textId="02A29B69"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GB 50016-2014《建筑设计防火规范》第3.6.12条，第3.6.12条</w:t>
            </w:r>
            <w:r w:rsidR="00FD7B6B">
              <w:rPr>
                <w:rFonts w:ascii="仿宋_GB2312" w:eastAsia="仿宋_GB2312" w:hAnsiTheme="minorEastAsia" w:hint="eastAsia"/>
                <w:sz w:val="20"/>
                <w:szCs w:val="20"/>
                <w:lang w:bidi="ar"/>
              </w:rPr>
              <w:t>；</w:t>
            </w:r>
          </w:p>
          <w:p w14:paraId="0E8AC810"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5部分:危险化学品经营企业》第3.2.10条；</w:t>
            </w:r>
          </w:p>
          <w:p w14:paraId="7D29C794" w14:textId="3330C238"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DB11/755-2010《危险化学品仓库建设及储存安全规范》第4.1.4条</w:t>
            </w:r>
            <w:r w:rsidR="00FD7B6B">
              <w:rPr>
                <w:rFonts w:ascii="仿宋_GB2312" w:eastAsia="仿宋_GB2312" w:hAnsiTheme="minorEastAsia" w:hint="eastAsia"/>
                <w:sz w:val="20"/>
                <w:szCs w:val="20"/>
                <w:lang w:bidi="ar"/>
              </w:rPr>
              <w:t>。</w:t>
            </w:r>
          </w:p>
          <w:p w14:paraId="46DA7AB1" w14:textId="77777777" w:rsidR="00667D96" w:rsidRDefault="00000000">
            <w:pPr>
              <w:widowControl/>
              <w:adjustRightInd w:val="0"/>
              <w:snapToGrid w:val="0"/>
              <w:ind w:firstLineChars="200" w:firstLine="40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泄压方向宜向上，侧面泄压应避开人员集中场所、主要通道及能引起二次爆炸的车间、仓库；泄压设施应采用轻质屋面板、轻质墙体和易于泄压的门、窗等。</w:t>
            </w:r>
          </w:p>
        </w:tc>
        <w:tc>
          <w:tcPr>
            <w:tcW w:w="850" w:type="dxa"/>
            <w:shd w:val="clear" w:color="auto" w:fill="auto"/>
            <w:vAlign w:val="center"/>
          </w:tcPr>
          <w:p w14:paraId="46A1B0F1"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0CBFD04E" w14:textId="77777777">
        <w:trPr>
          <w:jc w:val="center"/>
        </w:trPr>
        <w:tc>
          <w:tcPr>
            <w:tcW w:w="1772" w:type="dxa"/>
            <w:shd w:val="clear" w:color="auto" w:fill="auto"/>
            <w:vAlign w:val="center"/>
          </w:tcPr>
          <w:p w14:paraId="63C360E3"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968D30F"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2575C430"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其他设备设施类</w:t>
            </w:r>
          </w:p>
        </w:tc>
        <w:tc>
          <w:tcPr>
            <w:tcW w:w="5159" w:type="dxa"/>
            <w:shd w:val="clear" w:color="auto" w:fill="auto"/>
            <w:vAlign w:val="center"/>
          </w:tcPr>
          <w:p w14:paraId="31F421D5"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储存有毒性、腐蚀性、刺激性危险化学品的仓库及储存场所未设置淋洗器、洗眼器等防护设施，或设置的淋洗器、洗眼器其服务半径大于15 m。</w:t>
            </w:r>
          </w:p>
        </w:tc>
        <w:tc>
          <w:tcPr>
            <w:tcW w:w="5387" w:type="dxa"/>
            <w:shd w:val="clear" w:color="auto" w:fill="auto"/>
            <w:vAlign w:val="center"/>
          </w:tcPr>
          <w:p w14:paraId="7DC2AB49"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5部分:危险化学品经营企业》第3.3.2.8条</w:t>
            </w:r>
          </w:p>
        </w:tc>
        <w:tc>
          <w:tcPr>
            <w:tcW w:w="850" w:type="dxa"/>
            <w:shd w:val="clear" w:color="auto" w:fill="auto"/>
            <w:vAlign w:val="center"/>
          </w:tcPr>
          <w:p w14:paraId="30321797"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6CF83624" w14:textId="77777777">
        <w:trPr>
          <w:jc w:val="center"/>
        </w:trPr>
        <w:tc>
          <w:tcPr>
            <w:tcW w:w="1772" w:type="dxa"/>
            <w:shd w:val="clear" w:color="auto" w:fill="auto"/>
            <w:vAlign w:val="center"/>
          </w:tcPr>
          <w:p w14:paraId="35A6E8A6"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F37F781"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011EE97B"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其他设备设施类</w:t>
            </w:r>
          </w:p>
        </w:tc>
        <w:tc>
          <w:tcPr>
            <w:tcW w:w="5159" w:type="dxa"/>
            <w:shd w:val="clear" w:color="auto" w:fill="auto"/>
            <w:vAlign w:val="center"/>
          </w:tcPr>
          <w:p w14:paraId="19EFD074"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未建立危险化学品追溯管理系统（或危险化学品储存信息系统）；或系统不具备危险化学品出入库记录、数据保存期限不足1年、无异地实时备份；系统无接入所在地监管部门业务信息系统的接口。</w:t>
            </w:r>
          </w:p>
        </w:tc>
        <w:tc>
          <w:tcPr>
            <w:tcW w:w="5387" w:type="dxa"/>
            <w:shd w:val="clear" w:color="auto" w:fill="auto"/>
            <w:vAlign w:val="center"/>
          </w:tcPr>
          <w:p w14:paraId="201CB189" w14:textId="7097A53A"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18265-2019《危险化学品经营企业安全技术基本要求》第4.2.5条</w:t>
            </w:r>
            <w:r w:rsidR="00FD7B6B">
              <w:rPr>
                <w:rFonts w:ascii="仿宋_GB2312" w:eastAsia="仿宋_GB2312" w:hAnsiTheme="minorEastAsia" w:hint="eastAsia"/>
                <w:sz w:val="20"/>
                <w:szCs w:val="20"/>
                <w:lang w:bidi="ar"/>
              </w:rPr>
              <w:t>；</w:t>
            </w:r>
          </w:p>
          <w:p w14:paraId="07D38703" w14:textId="04AA8C79"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en-US"/>
              </w:rPr>
              <w:t>GB</w:t>
            </w:r>
            <w:r w:rsidR="00FD7B6B">
              <w:rPr>
                <w:rFonts w:ascii="仿宋_GB2312" w:eastAsia="仿宋_GB2312" w:hAnsiTheme="minorEastAsia"/>
                <w:sz w:val="20"/>
                <w:szCs w:val="20"/>
                <w:lang w:bidi="en-US"/>
              </w:rPr>
              <w:t xml:space="preserve"> </w:t>
            </w:r>
            <w:r>
              <w:rPr>
                <w:rFonts w:ascii="仿宋_GB2312" w:eastAsia="仿宋_GB2312" w:hAnsiTheme="minorEastAsia" w:hint="eastAsia"/>
                <w:sz w:val="20"/>
                <w:szCs w:val="20"/>
                <w:lang w:bidi="en-US"/>
              </w:rPr>
              <w:t>15603-</w:t>
            </w:r>
            <w:r>
              <w:rPr>
                <w:rFonts w:ascii="仿宋_GB2312" w:eastAsia="仿宋_GB2312" w:hAnsiTheme="minorEastAsia" w:hint="eastAsia"/>
                <w:sz w:val="20"/>
                <w:szCs w:val="20"/>
                <w:lang w:bidi="ar"/>
              </w:rPr>
              <w:t>2022《危险化学品仓库储存通则》第4.2条、4.3条、4.4条</w:t>
            </w:r>
          </w:p>
        </w:tc>
        <w:tc>
          <w:tcPr>
            <w:tcW w:w="850" w:type="dxa"/>
            <w:shd w:val="clear" w:color="auto" w:fill="auto"/>
            <w:vAlign w:val="center"/>
          </w:tcPr>
          <w:p w14:paraId="58EF3CB1"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68EE7B8E" w14:textId="77777777">
        <w:trPr>
          <w:jc w:val="center"/>
        </w:trPr>
        <w:tc>
          <w:tcPr>
            <w:tcW w:w="1772" w:type="dxa"/>
            <w:shd w:val="clear" w:color="auto" w:fill="auto"/>
            <w:vAlign w:val="center"/>
          </w:tcPr>
          <w:p w14:paraId="0941F187"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41DB71A1"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1AA30010"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危险化学品类</w:t>
            </w:r>
          </w:p>
        </w:tc>
        <w:tc>
          <w:tcPr>
            <w:tcW w:w="5159" w:type="dxa"/>
            <w:shd w:val="clear" w:color="auto" w:fill="auto"/>
            <w:vAlign w:val="center"/>
          </w:tcPr>
          <w:p w14:paraId="7A461FBB"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剧毒化学品、监控化学品、易制毒化学品、易制爆危险化学品，未按规定将储存地点、储存数量、流向及管理人员的情况报相关部门备案。</w:t>
            </w:r>
          </w:p>
        </w:tc>
        <w:tc>
          <w:tcPr>
            <w:tcW w:w="5387" w:type="dxa"/>
            <w:shd w:val="clear" w:color="auto" w:fill="auto"/>
            <w:vAlign w:val="center"/>
          </w:tcPr>
          <w:p w14:paraId="6F3C326E"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15603-2022《危险化学品仓库储存通则》第5.10条</w:t>
            </w:r>
          </w:p>
        </w:tc>
        <w:tc>
          <w:tcPr>
            <w:tcW w:w="850" w:type="dxa"/>
            <w:shd w:val="clear" w:color="auto" w:fill="auto"/>
            <w:vAlign w:val="center"/>
          </w:tcPr>
          <w:p w14:paraId="73679C92"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2537BD0E" w14:textId="77777777">
        <w:trPr>
          <w:jc w:val="center"/>
        </w:trPr>
        <w:tc>
          <w:tcPr>
            <w:tcW w:w="1772" w:type="dxa"/>
            <w:shd w:val="clear" w:color="auto" w:fill="auto"/>
            <w:vAlign w:val="center"/>
          </w:tcPr>
          <w:p w14:paraId="2006F3CB"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45C37A3A"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7734E7D9"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危险化学品类</w:t>
            </w:r>
          </w:p>
        </w:tc>
        <w:tc>
          <w:tcPr>
            <w:tcW w:w="5159" w:type="dxa"/>
            <w:shd w:val="clear" w:color="auto" w:fill="auto"/>
            <w:vAlign w:val="center"/>
          </w:tcPr>
          <w:p w14:paraId="43AF556F"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储存、使用危险化学品的单位未保留与所储存、使用危险化学品种类相符的化学品安全标签和安全技术说明书。</w:t>
            </w:r>
          </w:p>
        </w:tc>
        <w:tc>
          <w:tcPr>
            <w:tcW w:w="5387" w:type="dxa"/>
            <w:shd w:val="clear" w:color="auto" w:fill="auto"/>
            <w:vAlign w:val="center"/>
          </w:tcPr>
          <w:p w14:paraId="386D68DA"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《危险化学品安全管理条例》第十五条；</w:t>
            </w:r>
          </w:p>
          <w:p w14:paraId="585C51C1"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en-US"/>
              </w:rPr>
              <w:t>GB 15603-</w:t>
            </w:r>
            <w:r>
              <w:rPr>
                <w:rFonts w:ascii="仿宋_GB2312" w:eastAsia="仿宋_GB2312" w:hAnsiTheme="minorEastAsia" w:hint="eastAsia"/>
                <w:sz w:val="20"/>
                <w:szCs w:val="20"/>
                <w:lang w:bidi="ar"/>
              </w:rPr>
              <w:t>2022《危险化学品仓库储存通则》第7.5条；DB11/755-2010《危险化学品仓库建设及储存安全规范》第4.5.2条</w:t>
            </w:r>
          </w:p>
        </w:tc>
        <w:tc>
          <w:tcPr>
            <w:tcW w:w="850" w:type="dxa"/>
            <w:shd w:val="clear" w:color="auto" w:fill="auto"/>
            <w:vAlign w:val="center"/>
          </w:tcPr>
          <w:p w14:paraId="68B93BCB"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0942372C" w14:textId="77777777">
        <w:trPr>
          <w:jc w:val="center"/>
        </w:trPr>
        <w:tc>
          <w:tcPr>
            <w:tcW w:w="1772" w:type="dxa"/>
            <w:shd w:val="clear" w:color="auto" w:fill="auto"/>
            <w:vAlign w:val="center"/>
          </w:tcPr>
          <w:p w14:paraId="665C818C"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05E2D24C"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69AA5971"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危险化学品类</w:t>
            </w:r>
          </w:p>
        </w:tc>
        <w:tc>
          <w:tcPr>
            <w:tcW w:w="5159" w:type="dxa"/>
            <w:shd w:val="clear" w:color="auto" w:fill="auto"/>
            <w:vAlign w:val="center"/>
          </w:tcPr>
          <w:p w14:paraId="473627DB"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危险化学品未储存在专用仓库内；</w:t>
            </w:r>
          </w:p>
          <w:p w14:paraId="03A3D44E"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危险化学品仓库未单层且独立设置，或设置在地下或半地下，或设有地下室。</w:t>
            </w:r>
          </w:p>
          <w:p w14:paraId="3F145C59"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危险化学品露天存放（桶装、瓶装甲类液体露天存放）；</w:t>
            </w:r>
          </w:p>
          <w:p w14:paraId="0B279C06"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剧毒化学品以及储存数量构成重大危险源的其他危险化学品，未在专用仓库内单独存放；或未实行双人收发、双人报关制度。</w:t>
            </w:r>
          </w:p>
        </w:tc>
        <w:tc>
          <w:tcPr>
            <w:tcW w:w="5387" w:type="dxa"/>
            <w:shd w:val="clear" w:color="auto" w:fill="auto"/>
            <w:vAlign w:val="center"/>
          </w:tcPr>
          <w:p w14:paraId="099955EB"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5部分:危险化学品经营企业》第3.2.2条；</w:t>
            </w:r>
          </w:p>
          <w:p w14:paraId="5A81D3A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《危险化学品安全管理条例》（国务院令第591号，国务院令第645号修正）第二十四条；</w:t>
            </w:r>
          </w:p>
          <w:p w14:paraId="41A1080E"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DB11/755-2010《危险化学品仓库建设及储存安全规范》第4.4.1条、第4.1.5条；</w:t>
            </w:r>
          </w:p>
          <w:p w14:paraId="59BED3E1" w14:textId="1DDBAEBD"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50016-2014《建筑设计防火规范》第3.3.4条、4.1.2条</w:t>
            </w:r>
            <w:r w:rsidR="00FD7B6B">
              <w:rPr>
                <w:rFonts w:ascii="仿宋_GB2312" w:eastAsia="仿宋_GB2312" w:hAnsiTheme="minorEastAsia" w:hint="eastAsia"/>
                <w:sz w:val="20"/>
                <w:szCs w:val="20"/>
                <w:lang w:bidi="ar"/>
              </w:rPr>
              <w:t>；</w:t>
            </w:r>
          </w:p>
          <w:p w14:paraId="08D353EE"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15603-2022《危险化学品仓库储存通则》第5.10条。</w:t>
            </w:r>
          </w:p>
        </w:tc>
        <w:tc>
          <w:tcPr>
            <w:tcW w:w="850" w:type="dxa"/>
            <w:shd w:val="clear" w:color="auto" w:fill="auto"/>
            <w:vAlign w:val="center"/>
          </w:tcPr>
          <w:p w14:paraId="2E47883C"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2A11012" w14:textId="77777777">
        <w:trPr>
          <w:jc w:val="center"/>
        </w:trPr>
        <w:tc>
          <w:tcPr>
            <w:tcW w:w="1772" w:type="dxa"/>
            <w:shd w:val="clear" w:color="auto" w:fill="auto"/>
            <w:vAlign w:val="center"/>
          </w:tcPr>
          <w:p w14:paraId="4C4B5080"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kern w:val="0"/>
                <w:sz w:val="20"/>
                <w:szCs w:val="20"/>
              </w:rPr>
            </w:pPr>
          </w:p>
        </w:tc>
        <w:tc>
          <w:tcPr>
            <w:tcW w:w="992" w:type="dxa"/>
            <w:shd w:val="clear" w:color="auto" w:fill="auto"/>
            <w:vAlign w:val="center"/>
          </w:tcPr>
          <w:p w14:paraId="005C1D37"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68D96ADE"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危险化学品类</w:t>
            </w:r>
          </w:p>
        </w:tc>
        <w:tc>
          <w:tcPr>
            <w:tcW w:w="5159" w:type="dxa"/>
            <w:shd w:val="clear" w:color="auto" w:fill="auto"/>
            <w:vAlign w:val="center"/>
          </w:tcPr>
          <w:p w14:paraId="77E5C71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危险化学品储存不规范：</w:t>
            </w:r>
          </w:p>
          <w:p w14:paraId="451318DE" w14:textId="77777777" w:rsidR="00667D96" w:rsidRDefault="00000000">
            <w:pPr>
              <w:pStyle w:val="ae"/>
              <w:widowControl/>
              <w:numPr>
                <w:ilvl w:val="0"/>
                <w:numId w:val="8"/>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相互禁忌的危险化学品混存；</w:t>
            </w:r>
          </w:p>
          <w:p w14:paraId="08ADC4F5" w14:textId="77777777" w:rsidR="00667D96" w:rsidRDefault="00000000">
            <w:pPr>
              <w:pStyle w:val="ae"/>
              <w:widowControl/>
              <w:numPr>
                <w:ilvl w:val="0"/>
                <w:numId w:val="8"/>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在同一分装场所内同时分装禁忌物料；</w:t>
            </w:r>
          </w:p>
          <w:p w14:paraId="0D69A959" w14:textId="77777777" w:rsidR="00667D96" w:rsidRDefault="00000000">
            <w:pPr>
              <w:pStyle w:val="ae"/>
              <w:widowControl/>
              <w:numPr>
                <w:ilvl w:val="0"/>
                <w:numId w:val="8"/>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lastRenderedPageBreak/>
              <w:t>危险化学品的储存养护条件不符合安全要求：</w:t>
            </w:r>
          </w:p>
          <w:p w14:paraId="2992739B" w14:textId="77777777" w:rsidR="00667D96" w:rsidRDefault="00000000">
            <w:pPr>
              <w:pStyle w:val="ae"/>
              <w:widowControl/>
              <w:adjustRightInd w:val="0"/>
              <w:snapToGrid w:val="0"/>
              <w:ind w:left="360" w:firstLineChars="0" w:firstLine="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爆炸物未按品种单独存放；</w:t>
            </w:r>
          </w:p>
          <w:p w14:paraId="7269C497" w14:textId="7DB6CF7B" w:rsidR="00667D96" w:rsidRDefault="00000000">
            <w:pPr>
              <w:pStyle w:val="ae"/>
              <w:widowControl/>
              <w:adjustRightInd w:val="0"/>
              <w:snapToGrid w:val="0"/>
              <w:ind w:left="360" w:firstLineChars="0" w:firstLine="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有机过氧化物未避免阳光直射的存放于特定区域，未满足不</w:t>
            </w:r>
            <w:r w:rsidR="00614C81">
              <w:rPr>
                <w:rFonts w:ascii="仿宋_GB2312" w:eastAsia="仿宋_GB2312" w:hAnsiTheme="minorEastAsia" w:hint="eastAsia"/>
                <w:sz w:val="20"/>
                <w:szCs w:val="20"/>
                <w:lang w:bidi="ar"/>
              </w:rPr>
              <w:t>同</w:t>
            </w:r>
            <w:r>
              <w:rPr>
                <w:rFonts w:ascii="仿宋_GB2312" w:eastAsia="仿宋_GB2312" w:hAnsiTheme="minorEastAsia" w:hint="eastAsia"/>
                <w:sz w:val="20"/>
                <w:szCs w:val="20"/>
                <w:lang w:bidi="ar"/>
              </w:rPr>
              <w:t>品种的存储温度、湿度要求；</w:t>
            </w:r>
          </w:p>
          <w:p w14:paraId="5EA7D967" w14:textId="77777777" w:rsidR="00667D96" w:rsidRDefault="00000000">
            <w:pPr>
              <w:pStyle w:val="ae"/>
              <w:widowControl/>
              <w:adjustRightInd w:val="0"/>
              <w:snapToGrid w:val="0"/>
              <w:ind w:left="360" w:firstLineChars="0" w:firstLine="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遇水放出易燃气体的未密闭储存在有防水、防雨、防潮的库房的干燥区域；</w:t>
            </w:r>
          </w:p>
          <w:p w14:paraId="684C2AB1" w14:textId="77777777" w:rsidR="00667D96" w:rsidRDefault="00000000">
            <w:pPr>
              <w:pStyle w:val="ae"/>
              <w:widowControl/>
              <w:adjustRightInd w:val="0"/>
              <w:snapToGrid w:val="0"/>
              <w:ind w:left="360" w:firstLineChars="0" w:firstLine="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自热物质和混合物的未储存不同温湿度储存要求并避免阳光直射；</w:t>
            </w:r>
          </w:p>
          <w:p w14:paraId="4D0EC62E" w14:textId="77777777" w:rsidR="00667D96" w:rsidRDefault="00000000">
            <w:pPr>
              <w:pStyle w:val="ae"/>
              <w:widowControl/>
              <w:adjustRightInd w:val="0"/>
              <w:snapToGrid w:val="0"/>
              <w:ind w:left="360" w:firstLineChars="0" w:firstLine="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自反应的未储存在避免阳光直射、通风良好的特定区域，自反应的未存放于原装容器中；</w:t>
            </w:r>
          </w:p>
          <w:p w14:paraId="4AD5B28B" w14:textId="77777777" w:rsidR="00667D96" w:rsidRDefault="00000000">
            <w:pPr>
              <w:pStyle w:val="ae"/>
              <w:widowControl/>
              <w:adjustRightInd w:val="0"/>
              <w:snapToGrid w:val="0"/>
              <w:ind w:left="360" w:firstLineChars="0" w:firstLine="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储存易燃液体的库房未设置防液体流散措施；</w:t>
            </w:r>
          </w:p>
          <w:p w14:paraId="032F648D" w14:textId="77777777" w:rsidR="00667D96" w:rsidRDefault="00000000">
            <w:pPr>
              <w:pStyle w:val="ae"/>
              <w:widowControl/>
              <w:adjustRightInd w:val="0"/>
              <w:snapToGrid w:val="0"/>
              <w:ind w:left="360" w:firstLineChars="0" w:firstLine="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 剧毒物品库房未安装通风设备。</w:t>
            </w:r>
          </w:p>
        </w:tc>
        <w:tc>
          <w:tcPr>
            <w:tcW w:w="5387" w:type="dxa"/>
            <w:shd w:val="clear" w:color="auto" w:fill="auto"/>
            <w:vAlign w:val="center"/>
          </w:tcPr>
          <w:p w14:paraId="4C3137D5" w14:textId="77777777" w:rsidR="00667D96" w:rsidRDefault="00000000">
            <w:pPr>
              <w:widowControl/>
              <w:adjustRightInd w:val="0"/>
              <w:snapToGrid w:val="0"/>
              <w:jc w:val="left"/>
              <w:rPr>
                <w:rFonts w:ascii="仿宋_GB2312" w:eastAsia="仿宋_GB2312" w:hAnsiTheme="minorEastAsia"/>
                <w:sz w:val="20"/>
                <w:szCs w:val="20"/>
              </w:rPr>
            </w:pPr>
            <w:r>
              <w:rPr>
                <w:rFonts w:ascii="仿宋_GB2312" w:eastAsia="仿宋_GB2312" w:hAnsiTheme="minorEastAsia" w:hint="eastAsia"/>
                <w:sz w:val="20"/>
                <w:szCs w:val="20"/>
                <w:lang w:bidi="en-US"/>
              </w:rPr>
              <w:lastRenderedPageBreak/>
              <w:t>GB 15603</w:t>
            </w:r>
            <w:r>
              <w:rPr>
                <w:rFonts w:ascii="仿宋_GB2312" w:eastAsia="仿宋_GB2312" w:hAnsiTheme="minorEastAsia" w:hint="eastAsia"/>
                <w:sz w:val="20"/>
                <w:szCs w:val="20"/>
                <w:lang w:bidi="ar"/>
              </w:rPr>
              <w:t>-2022《危险化学品仓库储存通则》；</w:t>
            </w:r>
            <w:r>
              <w:rPr>
                <w:rFonts w:ascii="仿宋_GB2312" w:eastAsia="仿宋_GB2312" w:hAnsiTheme="minorEastAsia" w:hint="eastAsia"/>
                <w:sz w:val="20"/>
                <w:szCs w:val="20"/>
              </w:rPr>
              <w:t xml:space="preserve"> </w:t>
            </w:r>
          </w:p>
          <w:p w14:paraId="1737D295"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B11/T 1250-2015《危险化学品经营企业分装作业安全管理规范》第6.2条；</w:t>
            </w:r>
          </w:p>
          <w:p w14:paraId="53964D55"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GB 18265-2019《危险化学品经营企业安全技术基本要求》第4.2.4条、4.2.7</w:t>
            </w:r>
            <w:r w:rsidRPr="00096288">
              <w:rPr>
                <w:rFonts w:ascii="Times New Roman" w:eastAsia="仿宋_GB2312" w:hAnsi="Times New Roman"/>
                <w:sz w:val="20"/>
                <w:szCs w:val="20"/>
                <w:lang w:bidi="ar"/>
              </w:rPr>
              <w:t>~</w:t>
            </w:r>
            <w:r>
              <w:rPr>
                <w:rFonts w:ascii="仿宋_GB2312" w:eastAsia="仿宋_GB2312" w:hAnsiTheme="minorEastAsia" w:hint="eastAsia"/>
                <w:sz w:val="20"/>
                <w:szCs w:val="20"/>
                <w:lang w:bidi="ar"/>
              </w:rPr>
              <w:t>4.2.11条、第4.3.5条；</w:t>
            </w:r>
          </w:p>
          <w:p w14:paraId="4821A05A" w14:textId="5E2F0CFB"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DB11/755-2010《危险化学品仓库建设及储存安全规范》第4.4.3条（各类危险化学品不应与其相禁忌化学品混合储存）、4.4.5</w:t>
            </w:r>
            <w:r w:rsidR="00FD7B6B" w:rsidRPr="00FD7B6B">
              <w:rPr>
                <w:rFonts w:ascii="Times New Roman" w:eastAsia="仿宋_GB2312" w:hAnsi="Times New Roman"/>
                <w:sz w:val="20"/>
                <w:szCs w:val="20"/>
                <w:lang w:bidi="ar"/>
              </w:rPr>
              <w:t>~</w:t>
            </w:r>
            <w:r>
              <w:rPr>
                <w:rFonts w:ascii="仿宋_GB2312" w:eastAsia="仿宋_GB2312" w:hAnsiTheme="minorEastAsia" w:hint="eastAsia"/>
                <w:sz w:val="20"/>
                <w:szCs w:val="20"/>
                <w:lang w:bidi="ar"/>
              </w:rPr>
              <w:t>4.4.8条</w:t>
            </w:r>
            <w:r w:rsidR="00FD7B6B">
              <w:rPr>
                <w:rFonts w:ascii="仿宋_GB2312" w:eastAsia="仿宋_GB2312" w:hAnsiTheme="minorEastAsia" w:hint="eastAsia"/>
                <w:sz w:val="20"/>
                <w:szCs w:val="20"/>
                <w:lang w:bidi="ar"/>
              </w:rPr>
              <w:t>。</w:t>
            </w:r>
          </w:p>
        </w:tc>
        <w:tc>
          <w:tcPr>
            <w:tcW w:w="850" w:type="dxa"/>
            <w:shd w:val="clear" w:color="auto" w:fill="auto"/>
            <w:vAlign w:val="center"/>
          </w:tcPr>
          <w:p w14:paraId="4D117ACE"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49A093F2" w14:textId="77777777">
        <w:trPr>
          <w:jc w:val="center"/>
        </w:trPr>
        <w:tc>
          <w:tcPr>
            <w:tcW w:w="1772" w:type="dxa"/>
            <w:shd w:val="clear" w:color="auto" w:fill="auto"/>
            <w:vAlign w:val="center"/>
          </w:tcPr>
          <w:p w14:paraId="67F25735"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7086FD5"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79B72793"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危险化学品类</w:t>
            </w:r>
          </w:p>
        </w:tc>
        <w:tc>
          <w:tcPr>
            <w:tcW w:w="5159" w:type="dxa"/>
            <w:shd w:val="clear" w:color="auto" w:fill="auto"/>
            <w:vAlign w:val="center"/>
          </w:tcPr>
          <w:p w14:paraId="02763382"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构成重大危险源的，未委托具有相应资质的安全评价机构对重大危险源进行安全评估并确定重大危险源等级。</w:t>
            </w:r>
          </w:p>
        </w:tc>
        <w:tc>
          <w:tcPr>
            <w:tcW w:w="5387" w:type="dxa"/>
            <w:shd w:val="clear" w:color="auto" w:fill="auto"/>
            <w:vAlign w:val="center"/>
          </w:tcPr>
          <w:p w14:paraId="0BA2B482" w14:textId="1C464EA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w:t>
            </w:r>
            <w:r w:rsidR="00FD7B6B">
              <w:rPr>
                <w:rFonts w:ascii="仿宋_GB2312" w:eastAsia="仿宋_GB2312" w:hAnsiTheme="minorEastAsia" w:hint="eastAsia"/>
                <w:sz w:val="20"/>
                <w:szCs w:val="20"/>
                <w:lang w:bidi="ar"/>
              </w:rPr>
              <w:t>第3</w:t>
            </w:r>
            <w:r w:rsidR="00FD7B6B">
              <w:rPr>
                <w:rFonts w:ascii="仿宋_GB2312" w:eastAsia="仿宋_GB2312" w:hAnsiTheme="minorEastAsia"/>
                <w:sz w:val="20"/>
                <w:szCs w:val="20"/>
                <w:lang w:bidi="ar"/>
              </w:rPr>
              <w:t>.1.6</w:t>
            </w:r>
            <w:r w:rsidR="00FD7B6B">
              <w:rPr>
                <w:rFonts w:ascii="仿宋_GB2312" w:eastAsia="仿宋_GB2312" w:hAnsiTheme="minorEastAsia" w:hint="eastAsia"/>
                <w:sz w:val="20"/>
                <w:szCs w:val="20"/>
                <w:lang w:bidi="ar"/>
              </w:rPr>
              <w:t>条</w:t>
            </w:r>
          </w:p>
        </w:tc>
        <w:tc>
          <w:tcPr>
            <w:tcW w:w="850" w:type="dxa"/>
            <w:shd w:val="clear" w:color="auto" w:fill="auto"/>
            <w:vAlign w:val="center"/>
          </w:tcPr>
          <w:p w14:paraId="7BF38E21"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239A1E73" w14:textId="77777777">
        <w:trPr>
          <w:jc w:val="center"/>
        </w:trPr>
        <w:tc>
          <w:tcPr>
            <w:tcW w:w="1772" w:type="dxa"/>
            <w:shd w:val="clear" w:color="auto" w:fill="auto"/>
            <w:vAlign w:val="center"/>
          </w:tcPr>
          <w:p w14:paraId="3058814F"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4E6577BC"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25AF3E71"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bidi="ar"/>
              </w:rPr>
              <w:t>用电安全类</w:t>
            </w:r>
          </w:p>
        </w:tc>
        <w:tc>
          <w:tcPr>
            <w:tcW w:w="5159" w:type="dxa"/>
            <w:shd w:val="clear" w:color="auto" w:fill="auto"/>
            <w:vAlign w:val="center"/>
          </w:tcPr>
          <w:p w14:paraId="4EFB320B"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爆炸危险场所环境电力装置非防爆：</w:t>
            </w:r>
          </w:p>
          <w:p w14:paraId="15BBA44B" w14:textId="77777777" w:rsidR="00667D96" w:rsidRDefault="00000000">
            <w:pPr>
              <w:pStyle w:val="ae"/>
              <w:widowControl/>
              <w:numPr>
                <w:ilvl w:val="0"/>
                <w:numId w:val="9"/>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用电产品选型不符合要求，擅自改变用电产品结构；</w:t>
            </w:r>
          </w:p>
          <w:p w14:paraId="5A9A91FC" w14:textId="77777777" w:rsidR="00667D96" w:rsidRDefault="00000000">
            <w:pPr>
              <w:pStyle w:val="ae"/>
              <w:widowControl/>
              <w:numPr>
                <w:ilvl w:val="0"/>
                <w:numId w:val="9"/>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在可燃、助燃、易燃（爆）物体的存储、生产、使用等场所或区域使用的用电产品阻燃/防爆等级不符合要求；</w:t>
            </w:r>
          </w:p>
          <w:p w14:paraId="76DF47FC" w14:textId="77777777" w:rsidR="00667D96" w:rsidRDefault="00000000">
            <w:pPr>
              <w:pStyle w:val="ae"/>
              <w:widowControl/>
              <w:numPr>
                <w:ilvl w:val="0"/>
                <w:numId w:val="9"/>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危化品库房爆炸危险场所未设置防爆空调、防爆型通风机；</w:t>
            </w:r>
          </w:p>
          <w:p w14:paraId="6ED98DC6" w14:textId="77777777" w:rsidR="00667D96" w:rsidRDefault="00000000">
            <w:pPr>
              <w:pStyle w:val="ae"/>
              <w:widowControl/>
              <w:numPr>
                <w:ilvl w:val="0"/>
                <w:numId w:val="9"/>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装卸搬运有燃烧爆炸危险性危险化学品的机械和工具未选用防爆型；</w:t>
            </w:r>
          </w:p>
          <w:p w14:paraId="2B20CF41" w14:textId="77777777" w:rsidR="00667D96" w:rsidRDefault="00000000">
            <w:pPr>
              <w:pStyle w:val="ae"/>
              <w:widowControl/>
              <w:numPr>
                <w:ilvl w:val="0"/>
                <w:numId w:val="9"/>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危化品库房爆炸危险环境使用的电瓶车、铲车等作业工具不符合防爆要求。</w:t>
            </w:r>
          </w:p>
        </w:tc>
        <w:tc>
          <w:tcPr>
            <w:tcW w:w="5387" w:type="dxa"/>
            <w:shd w:val="clear" w:color="auto" w:fill="auto"/>
            <w:vAlign w:val="center"/>
          </w:tcPr>
          <w:p w14:paraId="24BBC0DD" w14:textId="5F7FA615"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en-US"/>
              </w:rPr>
              <w:t>GB/T 13869-2017《用电安全导则》第5.2.1</w:t>
            </w:r>
            <w:r w:rsidR="00096288">
              <w:rPr>
                <w:rFonts w:ascii="仿宋_GB2312" w:eastAsia="仿宋_GB2312" w:hAnsiTheme="minorEastAsia" w:hint="eastAsia"/>
                <w:sz w:val="20"/>
                <w:szCs w:val="20"/>
                <w:lang w:bidi="en-US"/>
              </w:rPr>
              <w:t>条</w:t>
            </w:r>
            <w:r>
              <w:rPr>
                <w:rFonts w:ascii="仿宋_GB2312" w:eastAsia="仿宋_GB2312" w:hAnsiTheme="minorEastAsia" w:hint="eastAsia"/>
                <w:sz w:val="20"/>
                <w:szCs w:val="20"/>
                <w:lang w:bidi="en-US"/>
              </w:rPr>
              <w:t>、</w:t>
            </w:r>
            <w:r w:rsidR="00096288">
              <w:rPr>
                <w:rFonts w:ascii="仿宋_GB2312" w:eastAsia="仿宋_GB2312" w:hAnsiTheme="minorEastAsia" w:hint="eastAsia"/>
                <w:sz w:val="20"/>
                <w:szCs w:val="20"/>
                <w:lang w:bidi="en-US"/>
              </w:rPr>
              <w:t>第</w:t>
            </w:r>
            <w:r>
              <w:rPr>
                <w:rFonts w:ascii="仿宋_GB2312" w:eastAsia="仿宋_GB2312" w:hAnsiTheme="minorEastAsia" w:hint="eastAsia"/>
                <w:sz w:val="20"/>
                <w:szCs w:val="20"/>
                <w:lang w:bidi="en-US"/>
              </w:rPr>
              <w:t>7.1条；</w:t>
            </w:r>
          </w:p>
          <w:p w14:paraId="51E2A65E"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18265-2019《危险化学品经营企业安全技术基本要求》第4.3.1条；</w:t>
            </w:r>
          </w:p>
          <w:p w14:paraId="7F1533F2"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5部分:危险化学品经营企业》第3.3.2.6条；</w:t>
            </w:r>
          </w:p>
          <w:p w14:paraId="6B76B5E9" w14:textId="37063334"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ar"/>
              </w:rPr>
              <w:t>DB11/755-2010《危险化学品仓库建设及储存安全规范》第4.2.1条（危险化学品仓库内照明、事故照明设施、电气设备和输配电线路应采用防爆型）、第4.3.1</w:t>
            </w:r>
            <w:r w:rsidR="00096288">
              <w:rPr>
                <w:rFonts w:ascii="仿宋_GB2312" w:eastAsia="仿宋_GB2312" w:hAnsiTheme="minorEastAsia" w:hint="eastAsia"/>
                <w:sz w:val="20"/>
                <w:szCs w:val="20"/>
                <w:lang w:bidi="ar"/>
              </w:rPr>
              <w:t>条</w:t>
            </w:r>
            <w:r>
              <w:rPr>
                <w:rFonts w:ascii="仿宋_GB2312" w:eastAsia="仿宋_GB2312" w:hAnsiTheme="minorEastAsia" w:hint="eastAsia"/>
                <w:sz w:val="20"/>
                <w:szCs w:val="20"/>
                <w:lang w:bidi="ar"/>
              </w:rPr>
              <w:t>、</w:t>
            </w:r>
            <w:r w:rsidR="00096288">
              <w:rPr>
                <w:rFonts w:ascii="仿宋_GB2312" w:eastAsia="仿宋_GB2312" w:hAnsiTheme="minorEastAsia" w:hint="eastAsia"/>
                <w:sz w:val="20"/>
                <w:szCs w:val="20"/>
                <w:lang w:bidi="ar"/>
              </w:rPr>
              <w:t>第</w:t>
            </w:r>
            <w:r>
              <w:rPr>
                <w:rFonts w:ascii="仿宋_GB2312" w:eastAsia="仿宋_GB2312" w:hAnsiTheme="minorEastAsia" w:hint="eastAsia"/>
                <w:sz w:val="20"/>
                <w:szCs w:val="20"/>
                <w:lang w:bidi="ar"/>
              </w:rPr>
              <w:t>4.3.7条</w:t>
            </w:r>
          </w:p>
        </w:tc>
        <w:tc>
          <w:tcPr>
            <w:tcW w:w="850" w:type="dxa"/>
            <w:shd w:val="clear" w:color="auto" w:fill="auto"/>
            <w:vAlign w:val="center"/>
          </w:tcPr>
          <w:p w14:paraId="442D942B"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w:t>
            </w:r>
          </w:p>
        </w:tc>
      </w:tr>
      <w:tr w:rsidR="00667D96" w14:paraId="1597F4C9" w14:textId="77777777">
        <w:trPr>
          <w:jc w:val="center"/>
        </w:trPr>
        <w:tc>
          <w:tcPr>
            <w:tcW w:w="1772" w:type="dxa"/>
            <w:shd w:val="clear" w:color="auto" w:fill="auto"/>
            <w:vAlign w:val="center"/>
          </w:tcPr>
          <w:p w14:paraId="6A8ED9AC"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054188A9"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3E246175"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用电安全类</w:t>
            </w:r>
          </w:p>
        </w:tc>
        <w:tc>
          <w:tcPr>
            <w:tcW w:w="5159" w:type="dxa"/>
            <w:shd w:val="clear" w:color="auto" w:fill="auto"/>
            <w:vAlign w:val="center"/>
          </w:tcPr>
          <w:p w14:paraId="14BBA9D6"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高压配电装置未采用具有五防功能的金属封闭开关设备。</w:t>
            </w:r>
          </w:p>
        </w:tc>
        <w:tc>
          <w:tcPr>
            <w:tcW w:w="5387" w:type="dxa"/>
            <w:shd w:val="clear" w:color="auto" w:fill="auto"/>
            <w:vAlign w:val="center"/>
          </w:tcPr>
          <w:p w14:paraId="7E6F3288" w14:textId="77777777"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ar"/>
              </w:rPr>
              <w:t>DB11/T 1322.5-2017《安全生产等级评定技术规范 第 5部分:危险化学品经营企业》第3.5条（附表F.1）</w:t>
            </w:r>
          </w:p>
        </w:tc>
        <w:tc>
          <w:tcPr>
            <w:tcW w:w="850" w:type="dxa"/>
            <w:shd w:val="clear" w:color="auto" w:fill="auto"/>
            <w:vAlign w:val="center"/>
          </w:tcPr>
          <w:p w14:paraId="0AF289AA"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29BFDAFE" w14:textId="77777777">
        <w:trPr>
          <w:jc w:val="center"/>
        </w:trPr>
        <w:tc>
          <w:tcPr>
            <w:tcW w:w="1772" w:type="dxa"/>
            <w:shd w:val="clear" w:color="auto" w:fill="auto"/>
            <w:vAlign w:val="center"/>
          </w:tcPr>
          <w:p w14:paraId="01967513"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04161A45"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5EFA7DAA"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用电安全类</w:t>
            </w:r>
          </w:p>
        </w:tc>
        <w:tc>
          <w:tcPr>
            <w:tcW w:w="5159" w:type="dxa"/>
            <w:shd w:val="clear" w:color="auto" w:fill="auto"/>
            <w:vAlign w:val="center"/>
          </w:tcPr>
          <w:p w14:paraId="4AB3DBB9"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低压成套开关设备未使用具有3C认证的产品。</w:t>
            </w:r>
          </w:p>
        </w:tc>
        <w:tc>
          <w:tcPr>
            <w:tcW w:w="5387" w:type="dxa"/>
            <w:shd w:val="clear" w:color="auto" w:fill="auto"/>
            <w:vAlign w:val="center"/>
          </w:tcPr>
          <w:p w14:paraId="7101378C" w14:textId="77777777"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ar"/>
              </w:rPr>
              <w:t>DB11/T 1322.5-2017《安全生产等级评定技术规范 第 5部分:危险化学品经营企业》第3.5条（附表F.1）</w:t>
            </w:r>
          </w:p>
        </w:tc>
        <w:tc>
          <w:tcPr>
            <w:tcW w:w="850" w:type="dxa"/>
            <w:shd w:val="clear" w:color="auto" w:fill="auto"/>
            <w:vAlign w:val="center"/>
          </w:tcPr>
          <w:p w14:paraId="56BCF2EA"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054EB3D5" w14:textId="77777777">
        <w:trPr>
          <w:jc w:val="center"/>
        </w:trPr>
        <w:tc>
          <w:tcPr>
            <w:tcW w:w="1772" w:type="dxa"/>
            <w:shd w:val="clear" w:color="auto" w:fill="auto"/>
            <w:vAlign w:val="center"/>
          </w:tcPr>
          <w:p w14:paraId="40410FE6"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1B0BCB4A"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2E829C77"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用电安全类</w:t>
            </w:r>
          </w:p>
        </w:tc>
        <w:tc>
          <w:tcPr>
            <w:tcW w:w="5159" w:type="dxa"/>
            <w:shd w:val="clear" w:color="auto" w:fill="auto"/>
            <w:vAlign w:val="center"/>
          </w:tcPr>
          <w:p w14:paraId="63B95F1D"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安全工器具配备和存放不规范：</w:t>
            </w:r>
          </w:p>
          <w:p w14:paraId="5982CC3A" w14:textId="77777777" w:rsidR="00667D96" w:rsidRDefault="00000000">
            <w:pPr>
              <w:pStyle w:val="ae"/>
              <w:widowControl/>
              <w:numPr>
                <w:ilvl w:val="0"/>
                <w:numId w:val="10"/>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未统一分类编号，未定置存放并登记在专用记录簿内，或帐物不符；</w:t>
            </w:r>
          </w:p>
          <w:p w14:paraId="09E1AE1B" w14:textId="661517DD" w:rsidR="00667D96" w:rsidRDefault="00000000">
            <w:pPr>
              <w:pStyle w:val="ae"/>
              <w:widowControl/>
              <w:numPr>
                <w:ilvl w:val="0"/>
                <w:numId w:val="10"/>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保管不当，未存放在干燥通风的场所，或当作其他工具使用，</w:t>
            </w:r>
            <w:r w:rsidR="00614C81">
              <w:rPr>
                <w:rFonts w:ascii="仿宋_GB2312" w:eastAsia="仿宋_GB2312" w:hAnsiTheme="minorEastAsia" w:hint="eastAsia"/>
                <w:sz w:val="20"/>
                <w:szCs w:val="20"/>
                <w:lang w:bidi="ar"/>
              </w:rPr>
              <w:t>或</w:t>
            </w:r>
            <w:r>
              <w:rPr>
                <w:rFonts w:ascii="仿宋_GB2312" w:eastAsia="仿宋_GB2312" w:hAnsiTheme="minorEastAsia" w:hint="eastAsia"/>
                <w:sz w:val="20"/>
                <w:szCs w:val="20"/>
                <w:lang w:bidi="ar"/>
              </w:rPr>
              <w:t>将不合格的安全工器具存放在工作现场；</w:t>
            </w:r>
          </w:p>
          <w:p w14:paraId="31E0FDE7" w14:textId="77777777" w:rsidR="00667D96" w:rsidRDefault="00000000">
            <w:pPr>
              <w:pStyle w:val="ae"/>
              <w:widowControl/>
              <w:numPr>
                <w:ilvl w:val="0"/>
                <w:numId w:val="10"/>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绝缘杆未悬挂或架在支架上，或与墙或地面接触； </w:t>
            </w:r>
          </w:p>
          <w:p w14:paraId="1F795452" w14:textId="77777777" w:rsidR="00667D96" w:rsidRDefault="00000000">
            <w:pPr>
              <w:pStyle w:val="ae"/>
              <w:widowControl/>
              <w:numPr>
                <w:ilvl w:val="0"/>
                <w:numId w:val="10"/>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绝缘手套、绝缘靴未与其他工具仪表分开存放； </w:t>
            </w:r>
          </w:p>
          <w:p w14:paraId="0CA4999F" w14:textId="77777777" w:rsidR="00667D96" w:rsidRDefault="00000000">
            <w:pPr>
              <w:pStyle w:val="ae"/>
              <w:widowControl/>
              <w:numPr>
                <w:ilvl w:val="0"/>
                <w:numId w:val="10"/>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hint="eastAsia"/>
                <w:sz w:val="20"/>
                <w:szCs w:val="20"/>
                <w:lang w:bidi="ar"/>
              </w:rPr>
              <w:t>高压验电器未存放在防潮的匣内或专用袋内。</w:t>
            </w:r>
          </w:p>
        </w:tc>
        <w:tc>
          <w:tcPr>
            <w:tcW w:w="5387" w:type="dxa"/>
            <w:shd w:val="clear" w:color="auto" w:fill="auto"/>
            <w:vAlign w:val="center"/>
          </w:tcPr>
          <w:p w14:paraId="21A61559" w14:textId="77777777"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ar"/>
              </w:rPr>
              <w:t>DB11/T 1322.5-2017《安全生产等级评定技术规范 第 5部分:危险化学品经营企业》第3.5条（附表F.1）</w:t>
            </w:r>
          </w:p>
        </w:tc>
        <w:tc>
          <w:tcPr>
            <w:tcW w:w="850" w:type="dxa"/>
            <w:shd w:val="clear" w:color="auto" w:fill="auto"/>
            <w:vAlign w:val="center"/>
          </w:tcPr>
          <w:p w14:paraId="7B8DADBA"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05F2DAEB" w14:textId="77777777">
        <w:trPr>
          <w:jc w:val="center"/>
        </w:trPr>
        <w:tc>
          <w:tcPr>
            <w:tcW w:w="1772" w:type="dxa"/>
            <w:shd w:val="clear" w:color="auto" w:fill="auto"/>
            <w:vAlign w:val="center"/>
          </w:tcPr>
          <w:p w14:paraId="37559E36"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6AA3616B"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18DD43FA"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用电安全类</w:t>
            </w:r>
          </w:p>
        </w:tc>
        <w:tc>
          <w:tcPr>
            <w:tcW w:w="5159" w:type="dxa"/>
            <w:shd w:val="clear" w:color="auto" w:fill="auto"/>
            <w:vAlign w:val="center"/>
          </w:tcPr>
          <w:p w14:paraId="7B859C31"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变配电室内环境不符合安全要求： </w:t>
            </w:r>
          </w:p>
          <w:p w14:paraId="4FC603DA" w14:textId="77777777" w:rsidR="00667D96" w:rsidRDefault="00000000">
            <w:pPr>
              <w:pStyle w:val="ae"/>
              <w:widowControl/>
              <w:numPr>
                <w:ilvl w:val="0"/>
                <w:numId w:val="1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变压器、高压配电装置、低压配电装置的操作区、维护通道未铺设绝缘胶垫； </w:t>
            </w:r>
          </w:p>
          <w:p w14:paraId="7A8EAC5E" w14:textId="77777777" w:rsidR="00667D96" w:rsidRDefault="00000000">
            <w:pPr>
              <w:pStyle w:val="ae"/>
              <w:widowControl/>
              <w:numPr>
                <w:ilvl w:val="0"/>
                <w:numId w:val="1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正常照明和应急照明系统未保证完好； </w:t>
            </w:r>
          </w:p>
          <w:p w14:paraId="4E777ABF" w14:textId="77777777" w:rsidR="00667D96" w:rsidRDefault="00000000">
            <w:pPr>
              <w:pStyle w:val="ae"/>
              <w:widowControl/>
              <w:numPr>
                <w:ilvl w:val="0"/>
                <w:numId w:val="1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疏散指示标志灯的持续照明时间不足30min； </w:t>
            </w:r>
          </w:p>
          <w:p w14:paraId="58ACE11B" w14:textId="77777777" w:rsidR="00667D96" w:rsidRDefault="00000000">
            <w:pPr>
              <w:pStyle w:val="ae"/>
              <w:widowControl/>
              <w:numPr>
                <w:ilvl w:val="0"/>
                <w:numId w:val="1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室内环境杂乱，场地不平整，设备间存放与运行无关的物品，巡视道路不畅通；</w:t>
            </w:r>
          </w:p>
          <w:p w14:paraId="7B449BFA" w14:textId="77777777" w:rsidR="00667D96" w:rsidRDefault="00000000">
            <w:pPr>
              <w:pStyle w:val="ae"/>
              <w:widowControl/>
              <w:numPr>
                <w:ilvl w:val="0"/>
                <w:numId w:val="1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设备构架、基础严重腐蚀，房屋漏雨，有未封堵的孔洞、沟道； </w:t>
            </w:r>
          </w:p>
          <w:p w14:paraId="1220B77D" w14:textId="77777777" w:rsidR="00667D96" w:rsidRDefault="00000000">
            <w:pPr>
              <w:pStyle w:val="ae"/>
              <w:widowControl/>
              <w:numPr>
                <w:ilvl w:val="0"/>
                <w:numId w:val="1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电缆沟盖板不全，电缆夹层、电缆沟和电缆室设置的防水、排水措施损坏； </w:t>
            </w:r>
          </w:p>
          <w:p w14:paraId="0C2BFF05" w14:textId="77777777" w:rsidR="00667D96" w:rsidRDefault="00000000">
            <w:pPr>
              <w:pStyle w:val="ae"/>
              <w:widowControl/>
              <w:numPr>
                <w:ilvl w:val="0"/>
                <w:numId w:val="1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室内带入食物或储放粮食，值班室内设置和使用寝具、明火灶具； </w:t>
            </w:r>
          </w:p>
          <w:p w14:paraId="0EE316AC" w14:textId="77777777" w:rsidR="00667D96" w:rsidRDefault="00000000">
            <w:pPr>
              <w:pStyle w:val="ae"/>
              <w:widowControl/>
              <w:numPr>
                <w:ilvl w:val="0"/>
                <w:numId w:val="1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设备间内有与其无关的管道和线路通过； </w:t>
            </w:r>
          </w:p>
          <w:p w14:paraId="38E96C46" w14:textId="77777777" w:rsidR="00667D96" w:rsidRDefault="00000000">
            <w:pPr>
              <w:pStyle w:val="ae"/>
              <w:widowControl/>
              <w:numPr>
                <w:ilvl w:val="0"/>
                <w:numId w:val="1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设备区域内未配置温、湿度计； </w:t>
            </w:r>
          </w:p>
          <w:p w14:paraId="6DEB7E36" w14:textId="77777777" w:rsidR="00667D96" w:rsidRDefault="00000000">
            <w:pPr>
              <w:pStyle w:val="ae"/>
              <w:widowControl/>
              <w:numPr>
                <w:ilvl w:val="0"/>
                <w:numId w:val="1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有专人值班的变配电室未配备专用电话，或电话不畅通，时钟不准确。</w:t>
            </w:r>
          </w:p>
        </w:tc>
        <w:tc>
          <w:tcPr>
            <w:tcW w:w="5387" w:type="dxa"/>
            <w:shd w:val="clear" w:color="auto" w:fill="auto"/>
            <w:vAlign w:val="center"/>
          </w:tcPr>
          <w:p w14:paraId="7E55D413" w14:textId="77777777"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ar"/>
              </w:rPr>
              <w:t>DB11/T 1322.5-2017《安全生产等级评定技术规范 第 5部分:危险化学品经营企业》第3.5条（附表F.1）</w:t>
            </w:r>
          </w:p>
        </w:tc>
        <w:tc>
          <w:tcPr>
            <w:tcW w:w="850" w:type="dxa"/>
            <w:shd w:val="clear" w:color="auto" w:fill="auto"/>
            <w:vAlign w:val="center"/>
          </w:tcPr>
          <w:p w14:paraId="3DB5E3D9"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A9F6C41" w14:textId="77777777">
        <w:trPr>
          <w:jc w:val="center"/>
        </w:trPr>
        <w:tc>
          <w:tcPr>
            <w:tcW w:w="1772" w:type="dxa"/>
            <w:shd w:val="clear" w:color="auto" w:fill="auto"/>
            <w:vAlign w:val="center"/>
          </w:tcPr>
          <w:p w14:paraId="50C5301A"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37D34145"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3E7BB627"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用电安全类</w:t>
            </w:r>
          </w:p>
        </w:tc>
        <w:tc>
          <w:tcPr>
            <w:tcW w:w="5159" w:type="dxa"/>
            <w:shd w:val="clear" w:color="auto" w:fill="auto"/>
            <w:vAlign w:val="center"/>
          </w:tcPr>
          <w:p w14:paraId="2B07D7F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变配电间门、窗设置不合格： </w:t>
            </w:r>
          </w:p>
          <w:p w14:paraId="66F460B0" w14:textId="77777777" w:rsidR="00667D96" w:rsidRDefault="00000000">
            <w:pPr>
              <w:pStyle w:val="ae"/>
              <w:widowControl/>
              <w:numPr>
                <w:ilvl w:val="0"/>
                <w:numId w:val="12"/>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出入口的门为非防火门，未向外开启，未装锁，或门锁不便于值班人员在紧急情况下打开； </w:t>
            </w:r>
          </w:p>
          <w:p w14:paraId="482E30DB" w14:textId="77777777" w:rsidR="00667D96" w:rsidRDefault="00000000">
            <w:pPr>
              <w:pStyle w:val="ae"/>
              <w:widowControl/>
              <w:numPr>
                <w:ilvl w:val="0"/>
                <w:numId w:val="12"/>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设备间与附属房间之间的门未向附属房间方向开启；高压间与低压间之间的门，未向低压间方向开启；配电装置室的中间门未采用双向开启门； </w:t>
            </w:r>
          </w:p>
          <w:p w14:paraId="2F151122" w14:textId="77777777" w:rsidR="00667D96" w:rsidRDefault="00000000">
            <w:pPr>
              <w:pStyle w:val="ae"/>
              <w:widowControl/>
              <w:numPr>
                <w:ilvl w:val="0"/>
                <w:numId w:val="12"/>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地面变配电室的通往室外的门、窗未装有纱门，门上方未装设雨罩； </w:t>
            </w:r>
          </w:p>
          <w:p w14:paraId="563F1B71" w14:textId="77777777" w:rsidR="00667D96" w:rsidRDefault="00000000">
            <w:pPr>
              <w:pStyle w:val="ae"/>
              <w:widowControl/>
              <w:numPr>
                <w:ilvl w:val="0"/>
                <w:numId w:val="12"/>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未设置防止雨、雪和小动物从采光窗、通风窗、门、通风管道、桥架、电缆保护管等进入室内的设施； </w:t>
            </w:r>
          </w:p>
          <w:p w14:paraId="4E0CB2F0" w14:textId="77777777" w:rsidR="00667D96" w:rsidRDefault="00000000">
            <w:pPr>
              <w:pStyle w:val="ae"/>
              <w:widowControl/>
              <w:numPr>
                <w:ilvl w:val="0"/>
                <w:numId w:val="12"/>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出入口未设置挡鼠板，或其高度低于400mm。</w:t>
            </w:r>
          </w:p>
        </w:tc>
        <w:tc>
          <w:tcPr>
            <w:tcW w:w="5387" w:type="dxa"/>
            <w:shd w:val="clear" w:color="auto" w:fill="auto"/>
            <w:vAlign w:val="center"/>
          </w:tcPr>
          <w:p w14:paraId="583988D0" w14:textId="77777777"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ar"/>
              </w:rPr>
              <w:t>DB11/T 1322.5-2017《安全生产等级评定技术规范 第 5部分:危险化学品经营企业》第3.5条（附表F.1）</w:t>
            </w:r>
          </w:p>
        </w:tc>
        <w:tc>
          <w:tcPr>
            <w:tcW w:w="850" w:type="dxa"/>
            <w:shd w:val="clear" w:color="auto" w:fill="auto"/>
            <w:vAlign w:val="center"/>
          </w:tcPr>
          <w:p w14:paraId="3242756C"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5AB9C854" w14:textId="77777777">
        <w:trPr>
          <w:jc w:val="center"/>
        </w:trPr>
        <w:tc>
          <w:tcPr>
            <w:tcW w:w="1772" w:type="dxa"/>
            <w:shd w:val="clear" w:color="auto" w:fill="auto"/>
            <w:vAlign w:val="center"/>
          </w:tcPr>
          <w:p w14:paraId="1108C00D"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17BC5C50"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302E1546"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用电安全类</w:t>
            </w:r>
          </w:p>
        </w:tc>
        <w:tc>
          <w:tcPr>
            <w:tcW w:w="5159" w:type="dxa"/>
            <w:shd w:val="clear" w:color="auto" w:fill="auto"/>
            <w:vAlign w:val="center"/>
          </w:tcPr>
          <w:p w14:paraId="72F2D859"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变配电间标志标识不齐全、老化不清楚： </w:t>
            </w:r>
          </w:p>
          <w:p w14:paraId="6962B7D4" w14:textId="77777777" w:rsidR="00667D96" w:rsidRDefault="00000000">
            <w:pPr>
              <w:pStyle w:val="ae"/>
              <w:widowControl/>
              <w:numPr>
                <w:ilvl w:val="0"/>
                <w:numId w:val="13"/>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安全标示牌的悬挂位置和式样不正确； </w:t>
            </w:r>
          </w:p>
          <w:p w14:paraId="0B3336A1" w14:textId="77777777" w:rsidR="00667D96" w:rsidRDefault="00000000">
            <w:pPr>
              <w:pStyle w:val="ae"/>
              <w:widowControl/>
              <w:numPr>
                <w:ilvl w:val="0"/>
                <w:numId w:val="13"/>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配电盘柜未标明路名和调度编号，双面维护的配电盘柜前和盘柜后未标明路名和调度编号，且路名、编号与模拟图板、自动化监控系统、运行资料等不一致； </w:t>
            </w:r>
          </w:p>
          <w:p w14:paraId="46C38692" w14:textId="77777777" w:rsidR="00667D96" w:rsidRDefault="00000000">
            <w:pPr>
              <w:pStyle w:val="ae"/>
              <w:widowControl/>
              <w:numPr>
                <w:ilvl w:val="0"/>
                <w:numId w:val="13"/>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配电装置前未标注警戒线，警戒线距配电装置小于800mm；</w:t>
            </w:r>
          </w:p>
          <w:p w14:paraId="560E5ED6" w14:textId="77777777" w:rsidR="00667D96" w:rsidRDefault="00000000">
            <w:pPr>
              <w:pStyle w:val="ae"/>
              <w:widowControl/>
              <w:numPr>
                <w:ilvl w:val="0"/>
                <w:numId w:val="13"/>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设备上粘贴与运行无关的标志，悬挂、堆放杂物； </w:t>
            </w:r>
          </w:p>
          <w:p w14:paraId="005922BE" w14:textId="77777777" w:rsidR="00667D96" w:rsidRDefault="00000000">
            <w:pPr>
              <w:pStyle w:val="ae"/>
              <w:widowControl/>
              <w:numPr>
                <w:ilvl w:val="0"/>
                <w:numId w:val="13"/>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变配电室的出入口未设置明显的安全警示标志牌。</w:t>
            </w:r>
          </w:p>
        </w:tc>
        <w:tc>
          <w:tcPr>
            <w:tcW w:w="5387" w:type="dxa"/>
            <w:shd w:val="clear" w:color="auto" w:fill="auto"/>
            <w:vAlign w:val="center"/>
          </w:tcPr>
          <w:p w14:paraId="7696952F" w14:textId="77777777"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ar"/>
              </w:rPr>
              <w:t>DB11/T 1322.5-2017《安全生产等级评定技术规范 第 5部分:危险化学品经营企业》第3.5条（附表F.1）</w:t>
            </w:r>
          </w:p>
        </w:tc>
        <w:tc>
          <w:tcPr>
            <w:tcW w:w="850" w:type="dxa"/>
            <w:shd w:val="clear" w:color="auto" w:fill="auto"/>
            <w:vAlign w:val="center"/>
          </w:tcPr>
          <w:p w14:paraId="09E614D4"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17D2C181" w14:textId="77777777">
        <w:trPr>
          <w:jc w:val="center"/>
        </w:trPr>
        <w:tc>
          <w:tcPr>
            <w:tcW w:w="1772" w:type="dxa"/>
            <w:shd w:val="clear" w:color="auto" w:fill="auto"/>
            <w:vAlign w:val="center"/>
          </w:tcPr>
          <w:p w14:paraId="24472B04"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949EC87"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0403DA1A"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用电安全类</w:t>
            </w:r>
          </w:p>
        </w:tc>
        <w:tc>
          <w:tcPr>
            <w:tcW w:w="5159" w:type="dxa"/>
            <w:shd w:val="clear" w:color="auto" w:fill="auto"/>
            <w:vAlign w:val="center"/>
          </w:tcPr>
          <w:p w14:paraId="22D2CFDE"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固定电气线路设置和使用不规范：</w:t>
            </w:r>
          </w:p>
          <w:p w14:paraId="0C7D48E0" w14:textId="77777777" w:rsidR="00667D96" w:rsidRDefault="00000000">
            <w:pPr>
              <w:pStyle w:val="a0"/>
              <w:numPr>
                <w:ilvl w:val="0"/>
                <w:numId w:val="1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存在乱接、乱挂、乱拉导线；</w:t>
            </w:r>
          </w:p>
          <w:p w14:paraId="3D6168F4" w14:textId="77777777" w:rsidR="00667D96" w:rsidRDefault="00000000">
            <w:pPr>
              <w:pStyle w:val="a0"/>
              <w:numPr>
                <w:ilvl w:val="0"/>
                <w:numId w:val="1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将电气线路缠绕在护栏、管道及脚手架上；</w:t>
            </w:r>
          </w:p>
          <w:p w14:paraId="5D043F97" w14:textId="77777777" w:rsidR="00667D96" w:rsidRDefault="00000000">
            <w:pPr>
              <w:pStyle w:val="a0"/>
              <w:numPr>
                <w:ilvl w:val="0"/>
                <w:numId w:val="1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使用绝缘老化或失去绝缘性能的电气线路；</w:t>
            </w:r>
          </w:p>
          <w:p w14:paraId="070873BA" w14:textId="77777777" w:rsidR="00667D96" w:rsidRDefault="00000000">
            <w:pPr>
              <w:pStyle w:val="a0"/>
              <w:numPr>
                <w:ilvl w:val="0"/>
                <w:numId w:val="1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在电气线路上悬挂物品；</w:t>
            </w:r>
          </w:p>
          <w:p w14:paraId="6A4C6150" w14:textId="77777777" w:rsidR="00667D96" w:rsidRDefault="00000000">
            <w:pPr>
              <w:pStyle w:val="a0"/>
              <w:numPr>
                <w:ilvl w:val="0"/>
                <w:numId w:val="1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电气线路通过地板、墙壁、屋顶、天花板、隔墙等建筑构件时，其孔隙未按同建筑物构件耐火等级的规定有效封堵。</w:t>
            </w:r>
          </w:p>
        </w:tc>
        <w:tc>
          <w:tcPr>
            <w:tcW w:w="5387" w:type="dxa"/>
            <w:shd w:val="clear" w:color="auto" w:fill="auto"/>
            <w:vAlign w:val="center"/>
          </w:tcPr>
          <w:p w14:paraId="0F3E237D" w14:textId="77777777"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ar"/>
              </w:rPr>
              <w:t>DB11/T 1322.5-2017《安全生产等级评定技术规范 第 5部分:危险化学品经营企业》第3.5条（附表F.1）</w:t>
            </w:r>
          </w:p>
        </w:tc>
        <w:tc>
          <w:tcPr>
            <w:tcW w:w="850" w:type="dxa"/>
            <w:shd w:val="clear" w:color="auto" w:fill="auto"/>
            <w:vAlign w:val="center"/>
          </w:tcPr>
          <w:p w14:paraId="5DE43BB0"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14B0F945" w14:textId="77777777">
        <w:trPr>
          <w:jc w:val="center"/>
        </w:trPr>
        <w:tc>
          <w:tcPr>
            <w:tcW w:w="1772" w:type="dxa"/>
            <w:shd w:val="clear" w:color="auto" w:fill="auto"/>
            <w:vAlign w:val="center"/>
          </w:tcPr>
          <w:p w14:paraId="0B56414A"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07137C0B"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118A6267"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用电安全类</w:t>
            </w:r>
          </w:p>
        </w:tc>
        <w:tc>
          <w:tcPr>
            <w:tcW w:w="5159" w:type="dxa"/>
            <w:shd w:val="clear" w:color="auto" w:fill="auto"/>
            <w:vAlign w:val="center"/>
          </w:tcPr>
          <w:p w14:paraId="04EDC9EF"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临时低压电气线路设置不规范：</w:t>
            </w:r>
          </w:p>
          <w:p w14:paraId="3168985D" w14:textId="77777777" w:rsidR="00667D96" w:rsidRDefault="00000000">
            <w:pPr>
              <w:pStyle w:val="a0"/>
              <w:numPr>
                <w:ilvl w:val="0"/>
                <w:numId w:val="15"/>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 xml:space="preserve">安装前未办理审批手续，未安排专人负责管理，未限期拆除；  </w:t>
            </w:r>
          </w:p>
          <w:p w14:paraId="14A9E6A7" w14:textId="77777777" w:rsidR="00667D96" w:rsidRDefault="00000000">
            <w:pPr>
              <w:pStyle w:val="a0"/>
              <w:numPr>
                <w:ilvl w:val="0"/>
                <w:numId w:val="15"/>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当预期超过三个月的临时低压电气线路，未按固定线路方式进行设置；</w:t>
            </w:r>
          </w:p>
          <w:p w14:paraId="5502575A" w14:textId="77777777" w:rsidR="00667D96" w:rsidRDefault="00000000">
            <w:pPr>
              <w:pStyle w:val="a0"/>
              <w:numPr>
                <w:ilvl w:val="0"/>
                <w:numId w:val="15"/>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相关方临时用电工程的用电设备在5台及以上或设备总容量在50 kW及以上者，相关方未编制用电设计方案。经审批、安装后，企业未每月至少一次进行现场检查和确认；</w:t>
            </w:r>
          </w:p>
          <w:p w14:paraId="55DE0ADC" w14:textId="77777777" w:rsidR="00667D96" w:rsidRDefault="00000000">
            <w:pPr>
              <w:pStyle w:val="a0"/>
              <w:numPr>
                <w:ilvl w:val="0"/>
                <w:numId w:val="15"/>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分装场所内架设临时线路和使用移动式电源插座。</w:t>
            </w:r>
          </w:p>
        </w:tc>
        <w:tc>
          <w:tcPr>
            <w:tcW w:w="5387" w:type="dxa"/>
            <w:shd w:val="clear" w:color="auto" w:fill="auto"/>
            <w:vAlign w:val="center"/>
          </w:tcPr>
          <w:p w14:paraId="42537ABB" w14:textId="4E11F4D1"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5部分:危险化学品经营企业》第3.5条（附表F.1）</w:t>
            </w:r>
            <w:r w:rsidR="00FD7B6B">
              <w:rPr>
                <w:rFonts w:ascii="仿宋_GB2312" w:eastAsia="仿宋_GB2312" w:hAnsiTheme="minorEastAsia" w:hint="eastAsia"/>
                <w:sz w:val="20"/>
                <w:szCs w:val="20"/>
                <w:lang w:bidi="ar"/>
              </w:rPr>
              <w:t>；</w:t>
            </w:r>
          </w:p>
          <w:p w14:paraId="1798257D" w14:textId="77777777"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ar"/>
              </w:rPr>
              <w:t>B11/T 1250-2015《危险化学品经营企业分装作业安全管理规范》第5.7条</w:t>
            </w:r>
          </w:p>
        </w:tc>
        <w:tc>
          <w:tcPr>
            <w:tcW w:w="850" w:type="dxa"/>
            <w:shd w:val="clear" w:color="auto" w:fill="auto"/>
            <w:vAlign w:val="center"/>
          </w:tcPr>
          <w:p w14:paraId="42E2DFD0"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2AF39527" w14:textId="77777777">
        <w:trPr>
          <w:jc w:val="center"/>
        </w:trPr>
        <w:tc>
          <w:tcPr>
            <w:tcW w:w="1772" w:type="dxa"/>
            <w:shd w:val="clear" w:color="auto" w:fill="auto"/>
            <w:vAlign w:val="center"/>
          </w:tcPr>
          <w:p w14:paraId="64578336"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0C51A2D6"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32E094A7"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用电安全类</w:t>
            </w:r>
          </w:p>
        </w:tc>
        <w:tc>
          <w:tcPr>
            <w:tcW w:w="5159" w:type="dxa"/>
            <w:shd w:val="clear" w:color="auto" w:fill="auto"/>
            <w:vAlign w:val="center"/>
          </w:tcPr>
          <w:p w14:paraId="6CB3AB40"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动力（照明）配电箱（柜）设置不规范：</w:t>
            </w:r>
          </w:p>
          <w:p w14:paraId="43BD9542" w14:textId="77777777" w:rsidR="00667D96" w:rsidRDefault="00000000">
            <w:pPr>
              <w:pStyle w:val="a0"/>
              <w:numPr>
                <w:ilvl w:val="0"/>
                <w:numId w:val="16"/>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未张贴醒目的安全警告标志和编号、标识；</w:t>
            </w:r>
          </w:p>
          <w:p w14:paraId="5B13EB1A" w14:textId="77777777" w:rsidR="00667D96" w:rsidRDefault="00000000">
            <w:pPr>
              <w:pStyle w:val="a0"/>
              <w:numPr>
                <w:ilvl w:val="0"/>
                <w:numId w:val="16"/>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 xml:space="preserve">配电箱未标识所控对象的名称、编号等，或与实际相符合； </w:t>
            </w:r>
          </w:p>
          <w:p w14:paraId="262F3464" w14:textId="77777777" w:rsidR="00667D96" w:rsidRDefault="00000000">
            <w:pPr>
              <w:pStyle w:val="a0"/>
              <w:numPr>
                <w:ilvl w:val="0"/>
                <w:numId w:val="16"/>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无电气线路图，未标明进出线路、电气装置的型号、规格、保护电气装置整定值等；</w:t>
            </w:r>
          </w:p>
          <w:p w14:paraId="7BF9A209" w14:textId="77777777" w:rsidR="00667D96" w:rsidRDefault="00000000">
            <w:pPr>
              <w:pStyle w:val="a0"/>
              <w:numPr>
                <w:ilvl w:val="0"/>
                <w:numId w:val="16"/>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对于多路控制的配电箱（柜），在控制位置上未标明所控制的电气设备的名称，或用途标识不全、不清晰。</w:t>
            </w:r>
          </w:p>
        </w:tc>
        <w:tc>
          <w:tcPr>
            <w:tcW w:w="5387" w:type="dxa"/>
            <w:shd w:val="clear" w:color="auto" w:fill="auto"/>
            <w:vAlign w:val="center"/>
          </w:tcPr>
          <w:p w14:paraId="32CA3EF0" w14:textId="77777777"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ar"/>
              </w:rPr>
              <w:t>DB11/T 1322.5-2017《安全生产等级评定技术规范 第 5部分:危险化学品经营企业》第3.5条（附表F.1）</w:t>
            </w:r>
          </w:p>
        </w:tc>
        <w:tc>
          <w:tcPr>
            <w:tcW w:w="850" w:type="dxa"/>
            <w:shd w:val="clear" w:color="auto" w:fill="auto"/>
            <w:vAlign w:val="center"/>
          </w:tcPr>
          <w:p w14:paraId="13DD46D8"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411D186" w14:textId="77777777">
        <w:trPr>
          <w:jc w:val="center"/>
        </w:trPr>
        <w:tc>
          <w:tcPr>
            <w:tcW w:w="1772" w:type="dxa"/>
            <w:shd w:val="clear" w:color="auto" w:fill="auto"/>
            <w:vAlign w:val="center"/>
          </w:tcPr>
          <w:p w14:paraId="5DADB3FC"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6BDEBAF0"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设备设施及物料类</w:t>
            </w:r>
          </w:p>
        </w:tc>
        <w:tc>
          <w:tcPr>
            <w:tcW w:w="1134" w:type="dxa"/>
            <w:shd w:val="clear" w:color="auto" w:fill="auto"/>
            <w:vAlign w:val="center"/>
          </w:tcPr>
          <w:p w14:paraId="5AB674B5"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用电安全类</w:t>
            </w:r>
          </w:p>
        </w:tc>
        <w:tc>
          <w:tcPr>
            <w:tcW w:w="5159" w:type="dxa"/>
            <w:shd w:val="clear" w:color="auto" w:fill="auto"/>
            <w:vAlign w:val="center"/>
          </w:tcPr>
          <w:p w14:paraId="24A836C5"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照明灯具设置不规范：</w:t>
            </w:r>
          </w:p>
          <w:p w14:paraId="6449F66F" w14:textId="77777777" w:rsidR="00667D96" w:rsidRDefault="00000000">
            <w:pPr>
              <w:pStyle w:val="a0"/>
              <w:numPr>
                <w:ilvl w:val="0"/>
                <w:numId w:val="17"/>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 xml:space="preserve">照明灯具直接安装在可燃装修材料或可燃构件上； </w:t>
            </w:r>
          </w:p>
          <w:p w14:paraId="047FFC7C" w14:textId="77777777" w:rsidR="00667D96" w:rsidRDefault="00000000">
            <w:pPr>
              <w:pStyle w:val="a0"/>
              <w:numPr>
                <w:ilvl w:val="0"/>
                <w:numId w:val="17"/>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在库房内装设碘钨灯、卤钨灯和超过60W以上的白炽灯等高温灯具；</w:t>
            </w:r>
          </w:p>
          <w:p w14:paraId="3D05D3B3" w14:textId="77777777" w:rsidR="00667D96" w:rsidRDefault="00000000">
            <w:pPr>
              <w:pStyle w:val="a0"/>
              <w:numPr>
                <w:ilvl w:val="0"/>
                <w:numId w:val="17"/>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 xml:space="preserve">大于0.5kg的灯具采用吊链时，其软电线未编叉在吊链内； </w:t>
            </w:r>
          </w:p>
          <w:p w14:paraId="23974BC7" w14:textId="77777777" w:rsidR="00667D96" w:rsidRDefault="00000000">
            <w:pPr>
              <w:pStyle w:val="a0"/>
              <w:numPr>
                <w:ilvl w:val="0"/>
                <w:numId w:val="17"/>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普通灯具与可燃物品的距离小于0.3m；</w:t>
            </w:r>
          </w:p>
          <w:p w14:paraId="7E42CB49" w14:textId="77777777" w:rsidR="00667D96" w:rsidRDefault="00000000">
            <w:pPr>
              <w:pStyle w:val="a0"/>
              <w:numPr>
                <w:ilvl w:val="0"/>
                <w:numId w:val="17"/>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危险化学品仓库内照明设施和电气设备的配电箱及电气开关设置在仓库内，或者未可靠接地，未安装过压、过载、触电、漏电保护措施，未采取防雨、防潮保护措施。</w:t>
            </w:r>
          </w:p>
        </w:tc>
        <w:tc>
          <w:tcPr>
            <w:tcW w:w="5387" w:type="dxa"/>
            <w:shd w:val="clear" w:color="auto" w:fill="auto"/>
            <w:vAlign w:val="center"/>
          </w:tcPr>
          <w:p w14:paraId="637D9FFC"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5部分:危险化学品经营企业》第3.5条（附表F.1）；</w:t>
            </w:r>
          </w:p>
          <w:p w14:paraId="656F791C" w14:textId="4EC2A192" w:rsidR="00667D96" w:rsidRDefault="00000000">
            <w:pPr>
              <w:widowControl/>
              <w:adjustRightInd w:val="0"/>
              <w:snapToGrid w:val="0"/>
              <w:jc w:val="left"/>
              <w:rPr>
                <w:rFonts w:ascii="仿宋_GB2312" w:eastAsia="仿宋_GB2312" w:hAnsiTheme="minorEastAsia"/>
                <w:sz w:val="20"/>
                <w:szCs w:val="20"/>
                <w:lang w:bidi="en-US"/>
              </w:rPr>
            </w:pPr>
            <w:r>
              <w:rPr>
                <w:rFonts w:ascii="仿宋_GB2312" w:eastAsia="仿宋_GB2312" w:hAnsiTheme="minorEastAsia" w:hint="eastAsia"/>
                <w:sz w:val="20"/>
                <w:szCs w:val="20"/>
                <w:lang w:bidi="ar"/>
              </w:rPr>
              <w:t>DB11/755-2010《危险化学品仓库建设及储存安全规范》第4.2.2条（危险化学品仓库内照明设施和电气设备的配电箱及电气开关应设置在仓库外，并应可靠接地，安装过压、过载、触电、漏电保护设施，采取防雨、防潮保护措施）</w:t>
            </w:r>
            <w:r w:rsidR="00FD7B6B">
              <w:rPr>
                <w:rFonts w:ascii="仿宋_GB2312" w:eastAsia="仿宋_GB2312" w:hAnsiTheme="minorEastAsia" w:hint="eastAsia"/>
                <w:sz w:val="20"/>
                <w:szCs w:val="20"/>
                <w:lang w:bidi="ar"/>
              </w:rPr>
              <w:t>。</w:t>
            </w:r>
          </w:p>
        </w:tc>
        <w:tc>
          <w:tcPr>
            <w:tcW w:w="850" w:type="dxa"/>
            <w:shd w:val="clear" w:color="auto" w:fill="auto"/>
            <w:vAlign w:val="center"/>
          </w:tcPr>
          <w:p w14:paraId="00861CF7"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23C76149" w14:textId="77777777">
        <w:trPr>
          <w:jc w:val="center"/>
        </w:trPr>
        <w:tc>
          <w:tcPr>
            <w:tcW w:w="1772" w:type="dxa"/>
            <w:shd w:val="clear" w:color="auto" w:fill="auto"/>
            <w:vAlign w:val="center"/>
          </w:tcPr>
          <w:p w14:paraId="2A9FD873"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13F7FCB"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0C165FEF"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kern w:val="0"/>
                <w:sz w:val="20"/>
                <w:szCs w:val="20"/>
              </w:rPr>
              <w:t>资格资质类</w:t>
            </w:r>
          </w:p>
        </w:tc>
        <w:tc>
          <w:tcPr>
            <w:tcW w:w="5159" w:type="dxa"/>
            <w:shd w:val="clear" w:color="auto" w:fill="auto"/>
            <w:vAlign w:val="center"/>
          </w:tcPr>
          <w:p w14:paraId="516B1310"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主要负责人和安全生产管理人员资质不符合要求：</w:t>
            </w:r>
          </w:p>
          <w:p w14:paraId="13C73258" w14:textId="77777777" w:rsidR="00667D96" w:rsidRDefault="00000000">
            <w:pPr>
              <w:pStyle w:val="ae"/>
              <w:widowControl/>
              <w:numPr>
                <w:ilvl w:val="0"/>
                <w:numId w:val="18"/>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lastRenderedPageBreak/>
              <w:t>未具备与本单位所从事的生产经营活动相应的安全生产知识和管理能力；</w:t>
            </w:r>
          </w:p>
          <w:p w14:paraId="5BE3122A" w14:textId="77777777" w:rsidR="00667D96" w:rsidRDefault="00000000">
            <w:pPr>
              <w:pStyle w:val="ae"/>
              <w:widowControl/>
              <w:numPr>
                <w:ilvl w:val="0"/>
                <w:numId w:val="18"/>
              </w:numPr>
              <w:adjustRightInd w:val="0"/>
              <w:snapToGrid w:val="0"/>
              <w:ind w:firstLineChars="0"/>
              <w:jc w:val="left"/>
              <w:rPr>
                <w:rFonts w:ascii="仿宋_GB2312" w:eastAsia="仿宋_GB2312" w:hAnsiTheme="minorEastAsia"/>
                <w:kern w:val="0"/>
                <w:sz w:val="20"/>
                <w:szCs w:val="20"/>
              </w:rPr>
            </w:pPr>
            <w:r>
              <w:rPr>
                <w:rFonts w:ascii="仿宋_GB2312" w:eastAsia="仿宋_GB2312" w:hAnsiTheme="minorEastAsia" w:cs="宋体" w:hint="eastAsia"/>
                <w:kern w:val="0"/>
                <w:sz w:val="20"/>
                <w:szCs w:val="20"/>
                <w:lang w:bidi="ar"/>
              </w:rPr>
              <w:t>未由主管的负有安全生产监督管理职责的部门对其安全生产知识和管理能力考核合格，取得安全资格证书；</w:t>
            </w:r>
          </w:p>
          <w:p w14:paraId="313CB7F1" w14:textId="77777777" w:rsidR="00667D96" w:rsidRDefault="00000000">
            <w:pPr>
              <w:pStyle w:val="ae"/>
              <w:widowControl/>
              <w:numPr>
                <w:ilvl w:val="0"/>
                <w:numId w:val="18"/>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分管安全负责人、分管生产负责人、分管技术负责人未具有一定的化工专业知识或者相应的专业学历；</w:t>
            </w:r>
          </w:p>
          <w:p w14:paraId="0169547F" w14:textId="77777777" w:rsidR="00667D96" w:rsidRDefault="00000000">
            <w:pPr>
              <w:pStyle w:val="ae"/>
              <w:widowControl/>
              <w:numPr>
                <w:ilvl w:val="0"/>
                <w:numId w:val="18"/>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未设置专职安全管理人员，或专职安全生产管理人员不具备国民教育化工化学类（或安全工程）中等职业教育以上学历或者化工化学类中级以上专业技术职称；</w:t>
            </w:r>
          </w:p>
          <w:p w14:paraId="40DB4B9A" w14:textId="77777777" w:rsidR="00667D96" w:rsidRDefault="00000000">
            <w:pPr>
              <w:pStyle w:val="ae"/>
              <w:widowControl/>
              <w:numPr>
                <w:ilvl w:val="0"/>
                <w:numId w:val="18"/>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企业无危险物品安全类注册安全工程师从事安全生产管理工作（从业人员300人以上的企业，未按照不少于安全生产管理人员15%的比例配备注册安全工程师，安全生产管理人员在7人以下的，至少配备1名注册安全工程师）。</w:t>
            </w:r>
          </w:p>
        </w:tc>
        <w:tc>
          <w:tcPr>
            <w:tcW w:w="5387" w:type="dxa"/>
            <w:shd w:val="clear" w:color="auto" w:fill="auto"/>
            <w:vAlign w:val="center"/>
          </w:tcPr>
          <w:p w14:paraId="37F02704" w14:textId="1BBD2B11"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《中华人民共和国安全生产法》第二十七条</w:t>
            </w:r>
            <w:r w:rsidR="00FD7B6B">
              <w:rPr>
                <w:rFonts w:ascii="仿宋_GB2312" w:eastAsia="仿宋_GB2312" w:hAnsiTheme="minorEastAsia" w:hint="eastAsia"/>
                <w:sz w:val="20"/>
                <w:szCs w:val="20"/>
                <w:lang w:bidi="ar"/>
              </w:rPr>
              <w:t>；</w:t>
            </w:r>
          </w:p>
          <w:p w14:paraId="1315A21E" w14:textId="4329FA86"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《危险化学品安全管理条例》第三十四条</w:t>
            </w:r>
            <w:r w:rsidR="00FD7B6B">
              <w:rPr>
                <w:rFonts w:ascii="仿宋_GB2312" w:eastAsia="仿宋_GB2312" w:hAnsiTheme="minorEastAsia" w:hint="eastAsia"/>
                <w:sz w:val="20"/>
                <w:szCs w:val="20"/>
                <w:lang w:bidi="ar"/>
              </w:rPr>
              <w:t>；</w:t>
            </w:r>
          </w:p>
          <w:p w14:paraId="3FF90E53" w14:textId="3C7CCE3B"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《危险化学品经营许可证管理办法》第六条</w:t>
            </w:r>
            <w:r w:rsidR="00FD7B6B">
              <w:rPr>
                <w:rFonts w:ascii="仿宋_GB2312" w:eastAsia="仿宋_GB2312" w:hAnsiTheme="minorEastAsia" w:hint="eastAsia"/>
                <w:sz w:val="20"/>
                <w:szCs w:val="20"/>
                <w:lang w:bidi="ar"/>
              </w:rPr>
              <w:t>；</w:t>
            </w:r>
          </w:p>
          <w:p w14:paraId="50A74D2F" w14:textId="1B008853"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《危险化学品生产企业安全生产许可证实施办法》第十六条</w:t>
            </w:r>
            <w:r w:rsidR="00FD7B6B">
              <w:rPr>
                <w:rFonts w:ascii="仿宋_GB2312" w:eastAsia="仿宋_GB2312" w:hAnsiTheme="minorEastAsia" w:hint="eastAsia"/>
                <w:sz w:val="20"/>
                <w:szCs w:val="20"/>
                <w:lang w:bidi="ar"/>
              </w:rPr>
              <w:t>；</w:t>
            </w:r>
          </w:p>
          <w:p w14:paraId="3D48E568" w14:textId="7E7A984A"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《北京市应急管理局关于在危险化学品重点企业全面实施“五项制度”的通知》第三条</w:t>
            </w:r>
            <w:r w:rsidR="00FD7B6B">
              <w:rPr>
                <w:rFonts w:ascii="仿宋_GB2312" w:eastAsia="仿宋_GB2312" w:hAnsiTheme="minorEastAsia" w:hint="eastAsia"/>
                <w:sz w:val="20"/>
                <w:szCs w:val="20"/>
                <w:lang w:bidi="ar"/>
              </w:rPr>
              <w:t>；</w:t>
            </w:r>
          </w:p>
          <w:p w14:paraId="30959EC0" w14:textId="40313B4E"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《注册安全工程师管理规定》（国家安全监管总局令第11号）第六条</w:t>
            </w:r>
            <w:r w:rsidR="00FD7B6B">
              <w:rPr>
                <w:rFonts w:ascii="仿宋_GB2312" w:eastAsia="仿宋_GB2312" w:hAnsiTheme="minorEastAsia" w:hint="eastAsia"/>
                <w:sz w:val="20"/>
                <w:szCs w:val="20"/>
                <w:lang w:bidi="ar"/>
              </w:rPr>
              <w:t>；</w:t>
            </w:r>
          </w:p>
          <w:p w14:paraId="76F7E8AA"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《北京市生产经营单位安全生产主体责任规定》第十四条；</w:t>
            </w:r>
          </w:p>
          <w:p w14:paraId="1FA5B573" w14:textId="77777777"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GB 15603-2022《危险化学品仓库储存通则》第12章</w:t>
            </w:r>
          </w:p>
        </w:tc>
        <w:tc>
          <w:tcPr>
            <w:tcW w:w="850" w:type="dxa"/>
            <w:shd w:val="clear" w:color="auto" w:fill="auto"/>
            <w:vAlign w:val="center"/>
          </w:tcPr>
          <w:p w14:paraId="332EC1A3"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lastRenderedPageBreak/>
              <w:t>★</w:t>
            </w:r>
          </w:p>
        </w:tc>
      </w:tr>
      <w:tr w:rsidR="00667D96" w14:paraId="64380D2F" w14:textId="77777777">
        <w:trPr>
          <w:jc w:val="center"/>
        </w:trPr>
        <w:tc>
          <w:tcPr>
            <w:tcW w:w="1772" w:type="dxa"/>
            <w:shd w:val="clear" w:color="auto" w:fill="auto"/>
            <w:vAlign w:val="center"/>
          </w:tcPr>
          <w:p w14:paraId="32EBE38B"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1E8523EA"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74BF885E"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kern w:val="0"/>
                <w:sz w:val="20"/>
                <w:szCs w:val="20"/>
              </w:rPr>
              <w:t>资格资质类</w:t>
            </w:r>
          </w:p>
        </w:tc>
        <w:tc>
          <w:tcPr>
            <w:tcW w:w="5159" w:type="dxa"/>
            <w:shd w:val="clear" w:color="auto" w:fill="auto"/>
            <w:vAlign w:val="center"/>
          </w:tcPr>
          <w:p w14:paraId="72DF7F79"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从业人员未经过专业技术培训并考核合格；特种作业人员、特种设备作业人员未持证上岗。</w:t>
            </w:r>
          </w:p>
        </w:tc>
        <w:tc>
          <w:tcPr>
            <w:tcW w:w="5387" w:type="dxa"/>
            <w:shd w:val="clear" w:color="auto" w:fill="auto"/>
            <w:vAlign w:val="center"/>
          </w:tcPr>
          <w:p w14:paraId="032A3295"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《中华人民共和国安全生产法》第三十条；</w:t>
            </w:r>
          </w:p>
          <w:p w14:paraId="04E327B8" w14:textId="77777777"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《危险化学品安全管理条例》第三十四条（二）；</w:t>
            </w:r>
          </w:p>
          <w:p w14:paraId="19776A0E" w14:textId="7A53BB85" w:rsidR="00667D96" w:rsidRDefault="00000000">
            <w:pPr>
              <w:widowControl/>
              <w:adjustRightInd w:val="0"/>
              <w:snapToGrid w:val="0"/>
              <w:jc w:val="left"/>
              <w:rPr>
                <w:rFonts w:ascii="仿宋_GB2312" w:eastAsia="仿宋_GB2312" w:hAnsiTheme="minorEastAsia"/>
                <w:sz w:val="20"/>
                <w:szCs w:val="20"/>
              </w:rPr>
            </w:pPr>
            <w:r>
              <w:rPr>
                <w:rFonts w:ascii="仿宋_GB2312" w:eastAsia="仿宋_GB2312" w:hAnsiTheme="minorEastAsia" w:hint="eastAsia"/>
                <w:sz w:val="20"/>
                <w:szCs w:val="20"/>
                <w:lang w:bidi="ar"/>
              </w:rPr>
              <w:t>《中华人民共和国特种设备安全法》</w:t>
            </w:r>
          </w:p>
        </w:tc>
        <w:tc>
          <w:tcPr>
            <w:tcW w:w="850" w:type="dxa"/>
            <w:shd w:val="clear" w:color="auto" w:fill="auto"/>
            <w:vAlign w:val="center"/>
          </w:tcPr>
          <w:p w14:paraId="152C6C01"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w:t>
            </w:r>
          </w:p>
        </w:tc>
      </w:tr>
      <w:tr w:rsidR="00667D96" w14:paraId="12D2BC36" w14:textId="77777777">
        <w:trPr>
          <w:jc w:val="center"/>
        </w:trPr>
        <w:tc>
          <w:tcPr>
            <w:tcW w:w="1772" w:type="dxa"/>
            <w:shd w:val="clear" w:color="auto" w:fill="auto"/>
            <w:vAlign w:val="center"/>
          </w:tcPr>
          <w:p w14:paraId="555EA9B7"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2BA1A75A"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739DE150"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资格资质类</w:t>
            </w:r>
          </w:p>
        </w:tc>
        <w:tc>
          <w:tcPr>
            <w:tcW w:w="5159" w:type="dxa"/>
            <w:shd w:val="clear" w:color="auto" w:fill="auto"/>
            <w:vAlign w:val="center"/>
          </w:tcPr>
          <w:p w14:paraId="0AD9AE0E"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有限空间作业监护、消防中控、车辆驾驶、押运等人员未取得相应的资格，或资质证件未在有效期限内。</w:t>
            </w:r>
          </w:p>
        </w:tc>
        <w:tc>
          <w:tcPr>
            <w:tcW w:w="5387" w:type="dxa"/>
            <w:shd w:val="clear" w:color="auto" w:fill="auto"/>
            <w:vAlign w:val="center"/>
          </w:tcPr>
          <w:p w14:paraId="5BF70974"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《中华人民共和国安全生产法》第三十条；</w:t>
            </w:r>
          </w:p>
          <w:p w14:paraId="2F329416"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《中华人民共和国特种设备安全法》；</w:t>
            </w:r>
          </w:p>
          <w:p w14:paraId="4267EDE1"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《道路运输从业人员管理规定》第六条</w:t>
            </w:r>
          </w:p>
        </w:tc>
        <w:tc>
          <w:tcPr>
            <w:tcW w:w="850" w:type="dxa"/>
            <w:shd w:val="clear" w:color="auto" w:fill="auto"/>
            <w:vAlign w:val="center"/>
          </w:tcPr>
          <w:p w14:paraId="281D9B12"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1DD078BD" w14:textId="77777777">
        <w:trPr>
          <w:jc w:val="center"/>
        </w:trPr>
        <w:tc>
          <w:tcPr>
            <w:tcW w:w="1772" w:type="dxa"/>
            <w:shd w:val="clear" w:color="auto" w:fill="auto"/>
            <w:vAlign w:val="center"/>
          </w:tcPr>
          <w:p w14:paraId="398B1FB6"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294C5685"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709FF824"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操作行为类</w:t>
            </w:r>
          </w:p>
        </w:tc>
        <w:tc>
          <w:tcPr>
            <w:tcW w:w="5159" w:type="dxa"/>
            <w:shd w:val="clear" w:color="auto" w:fill="auto"/>
            <w:vAlign w:val="center"/>
          </w:tcPr>
          <w:p w14:paraId="43FF7663"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进行动火、临时用电、高处作业、悬吊、吊装、挖掘、建设工程拆除、临近高压输电线路作业、有限空间作业等国家规定的危险作业，未严格遵守安全生产法关于危险作业管理的规定，未执行安全操作规程和安全措施，或监护人员在作业过程中离开监护岗位。</w:t>
            </w:r>
          </w:p>
        </w:tc>
        <w:tc>
          <w:tcPr>
            <w:tcW w:w="5387" w:type="dxa"/>
            <w:shd w:val="clear" w:color="auto" w:fill="auto"/>
            <w:vAlign w:val="center"/>
          </w:tcPr>
          <w:p w14:paraId="3A6D90CD" w14:textId="794DE0AA"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《中华人民共和国安全生产法》第四十三条</w:t>
            </w:r>
            <w:r w:rsidR="00FD7B6B">
              <w:rPr>
                <w:rFonts w:ascii="仿宋_GB2312" w:eastAsia="仿宋_GB2312" w:hAnsiTheme="minorEastAsia" w:hint="eastAsia"/>
                <w:sz w:val="20"/>
                <w:szCs w:val="20"/>
                <w:lang w:bidi="ar"/>
              </w:rPr>
              <w:t>；</w:t>
            </w:r>
          </w:p>
          <w:p w14:paraId="1858E456" w14:textId="77777777"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GB 30871-2022《危险化学品企业特殊作业安全规范》</w:t>
            </w:r>
          </w:p>
        </w:tc>
        <w:tc>
          <w:tcPr>
            <w:tcW w:w="850" w:type="dxa"/>
            <w:shd w:val="clear" w:color="auto" w:fill="auto"/>
            <w:vAlign w:val="center"/>
          </w:tcPr>
          <w:p w14:paraId="253C853F"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w:t>
            </w:r>
          </w:p>
        </w:tc>
      </w:tr>
      <w:tr w:rsidR="00667D96" w14:paraId="6176BD10" w14:textId="77777777">
        <w:trPr>
          <w:jc w:val="center"/>
        </w:trPr>
        <w:tc>
          <w:tcPr>
            <w:tcW w:w="1772" w:type="dxa"/>
            <w:shd w:val="clear" w:color="auto" w:fill="auto"/>
            <w:vAlign w:val="center"/>
          </w:tcPr>
          <w:p w14:paraId="61B49CA3"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68E9F8F9"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7301478A"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操作行为类</w:t>
            </w:r>
          </w:p>
        </w:tc>
        <w:tc>
          <w:tcPr>
            <w:tcW w:w="5159" w:type="dxa"/>
            <w:shd w:val="clear" w:color="auto" w:fill="auto"/>
            <w:vAlign w:val="center"/>
          </w:tcPr>
          <w:p w14:paraId="1322663B"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野蛮装卸、搬运、分装化学危险品：</w:t>
            </w:r>
          </w:p>
          <w:p w14:paraId="29B8AAE5" w14:textId="77777777" w:rsidR="00667D96" w:rsidRDefault="00000000">
            <w:pPr>
              <w:pStyle w:val="ae"/>
              <w:widowControl/>
              <w:numPr>
                <w:ilvl w:val="0"/>
                <w:numId w:val="19"/>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未按照化学品安全技术说明书及装卸要求进行作业；</w:t>
            </w:r>
          </w:p>
          <w:p w14:paraId="2C80D548" w14:textId="77777777" w:rsidR="00667D96" w:rsidRDefault="00000000">
            <w:pPr>
              <w:pStyle w:val="ae"/>
              <w:widowControl/>
              <w:numPr>
                <w:ilvl w:val="0"/>
                <w:numId w:val="19"/>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lastRenderedPageBreak/>
              <w:t>未轻装轻卸、轻拿轻放，如摔扔、翻滚、撞击、拖拉、摩擦、挤压。</w:t>
            </w:r>
          </w:p>
        </w:tc>
        <w:tc>
          <w:tcPr>
            <w:tcW w:w="5387" w:type="dxa"/>
            <w:shd w:val="clear" w:color="auto" w:fill="auto"/>
            <w:vAlign w:val="center"/>
          </w:tcPr>
          <w:p w14:paraId="6582E69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DB11/T 1322.5-2017《安全生产等级评定技术规范 第 5部分:危险化学品经营企业》第3.9.2条；</w:t>
            </w:r>
          </w:p>
          <w:p w14:paraId="69D470D0"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B11/T 1250-2015《危险化学品经营企业分装作业安全管理规范》第6.4条；</w:t>
            </w:r>
          </w:p>
          <w:p w14:paraId="15F8CC7B" w14:textId="3BB0C3A2"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DB11/755-2010《危险化学品仓库建设及储存安全规范》第4.3.6条</w:t>
            </w:r>
            <w:r w:rsidR="00FD7B6B">
              <w:rPr>
                <w:rFonts w:ascii="仿宋_GB2312" w:eastAsia="仿宋_GB2312" w:hAnsiTheme="minorEastAsia" w:hint="eastAsia"/>
                <w:sz w:val="20"/>
                <w:szCs w:val="20"/>
                <w:lang w:bidi="ar"/>
              </w:rPr>
              <w:t>；</w:t>
            </w:r>
          </w:p>
          <w:p w14:paraId="04C95A43" w14:textId="77777777"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en-US"/>
              </w:rPr>
              <w:t>GB 15603-</w:t>
            </w:r>
            <w:r>
              <w:rPr>
                <w:rFonts w:ascii="仿宋_GB2312" w:eastAsia="仿宋_GB2312" w:hAnsiTheme="minorEastAsia" w:hint="eastAsia"/>
                <w:sz w:val="20"/>
                <w:szCs w:val="20"/>
                <w:lang w:bidi="ar"/>
              </w:rPr>
              <w:t>2022《危险化学品仓库储存通则》第6.1.2条</w:t>
            </w:r>
          </w:p>
        </w:tc>
        <w:tc>
          <w:tcPr>
            <w:tcW w:w="850" w:type="dxa"/>
            <w:shd w:val="clear" w:color="auto" w:fill="auto"/>
            <w:vAlign w:val="center"/>
          </w:tcPr>
          <w:p w14:paraId="3B986C12"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73C58D1F" w14:textId="77777777">
        <w:trPr>
          <w:jc w:val="center"/>
        </w:trPr>
        <w:tc>
          <w:tcPr>
            <w:tcW w:w="1772" w:type="dxa"/>
            <w:shd w:val="clear" w:color="auto" w:fill="auto"/>
            <w:vAlign w:val="center"/>
          </w:tcPr>
          <w:p w14:paraId="233FF671"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67DE088B"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4BFA9EE0"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操作行为类</w:t>
            </w:r>
          </w:p>
        </w:tc>
        <w:tc>
          <w:tcPr>
            <w:tcW w:w="5159" w:type="dxa"/>
            <w:shd w:val="clear" w:color="auto" w:fill="auto"/>
            <w:vAlign w:val="center"/>
          </w:tcPr>
          <w:p w14:paraId="68ADE42B"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在危险化学品储存区域内堆积可燃性物品；泄漏、渗漏危险化学品的包装容器存放在库房中，未转移至安全区域。</w:t>
            </w:r>
          </w:p>
        </w:tc>
        <w:tc>
          <w:tcPr>
            <w:tcW w:w="5387" w:type="dxa"/>
            <w:shd w:val="clear" w:color="auto" w:fill="auto"/>
            <w:vAlign w:val="center"/>
          </w:tcPr>
          <w:p w14:paraId="72173BEE"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5部分:危险化学品经营企业》第3.9.3条</w:t>
            </w:r>
          </w:p>
        </w:tc>
        <w:tc>
          <w:tcPr>
            <w:tcW w:w="850" w:type="dxa"/>
            <w:shd w:val="clear" w:color="auto" w:fill="auto"/>
            <w:vAlign w:val="center"/>
          </w:tcPr>
          <w:p w14:paraId="00631266"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A654450" w14:textId="77777777">
        <w:trPr>
          <w:jc w:val="center"/>
        </w:trPr>
        <w:tc>
          <w:tcPr>
            <w:tcW w:w="1772" w:type="dxa"/>
            <w:shd w:val="clear" w:color="auto" w:fill="auto"/>
            <w:vAlign w:val="center"/>
          </w:tcPr>
          <w:p w14:paraId="7CC3D5B2"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7FEA0A6B"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509E9558"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操作行为类</w:t>
            </w:r>
          </w:p>
        </w:tc>
        <w:tc>
          <w:tcPr>
            <w:tcW w:w="5159" w:type="dxa"/>
            <w:shd w:val="clear" w:color="auto" w:fill="auto"/>
            <w:vAlign w:val="center"/>
          </w:tcPr>
          <w:p w14:paraId="6ED42F27"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入库作业不规范：</w:t>
            </w:r>
          </w:p>
          <w:p w14:paraId="5D21D15E" w14:textId="77777777" w:rsidR="00667D96" w:rsidRDefault="00000000">
            <w:pPr>
              <w:pStyle w:val="ae"/>
              <w:widowControl/>
              <w:numPr>
                <w:ilvl w:val="0"/>
                <w:numId w:val="20"/>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入库前未做储存位置、搬运工具、加固材料、防护装备、交接清单的准备；</w:t>
            </w:r>
          </w:p>
          <w:p w14:paraId="7569FA0F" w14:textId="77777777" w:rsidR="00667D96" w:rsidRDefault="00000000">
            <w:pPr>
              <w:pStyle w:val="a0"/>
              <w:numPr>
                <w:ilvl w:val="0"/>
                <w:numId w:val="20"/>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未对运输车辆（厢）、装载状况（含施封）进行检查；</w:t>
            </w:r>
          </w:p>
          <w:p w14:paraId="7DAAF566" w14:textId="77777777" w:rsidR="00667D96" w:rsidRDefault="00000000">
            <w:pPr>
              <w:pStyle w:val="a0"/>
              <w:numPr>
                <w:ilvl w:val="0"/>
                <w:numId w:val="20"/>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未对入库危险化学品的品名、规格、数量与入库信息或单据的一致性进行查验；</w:t>
            </w:r>
          </w:p>
          <w:p w14:paraId="2295563F" w14:textId="77777777" w:rsidR="00667D96" w:rsidRDefault="00000000">
            <w:pPr>
              <w:pStyle w:val="a0"/>
              <w:numPr>
                <w:ilvl w:val="0"/>
                <w:numId w:val="20"/>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入库物品的包装损坏，标志、安全标签不清晰；</w:t>
            </w:r>
          </w:p>
          <w:p w14:paraId="561A8308" w14:textId="77777777" w:rsidR="00667D96" w:rsidRDefault="00000000">
            <w:pPr>
              <w:pStyle w:val="a0"/>
              <w:numPr>
                <w:ilvl w:val="0"/>
                <w:numId w:val="20"/>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入库物品未附有中文化学品安全技术说明书和安全标签；</w:t>
            </w:r>
          </w:p>
          <w:p w14:paraId="5221A312" w14:textId="77777777" w:rsidR="00667D96" w:rsidRDefault="00000000">
            <w:pPr>
              <w:pStyle w:val="a0"/>
              <w:numPr>
                <w:ilvl w:val="0"/>
                <w:numId w:val="20"/>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入库数量与实际验收数量不符；</w:t>
            </w:r>
          </w:p>
          <w:p w14:paraId="6F79C938" w14:textId="77777777" w:rsidR="00667D96" w:rsidRDefault="00000000">
            <w:pPr>
              <w:pStyle w:val="a0"/>
              <w:numPr>
                <w:ilvl w:val="0"/>
                <w:numId w:val="20"/>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验收完毕未做记录归档，或单据保存期限不足1年。</w:t>
            </w:r>
          </w:p>
        </w:tc>
        <w:tc>
          <w:tcPr>
            <w:tcW w:w="5387" w:type="dxa"/>
            <w:shd w:val="clear" w:color="auto" w:fill="auto"/>
            <w:vAlign w:val="center"/>
          </w:tcPr>
          <w:p w14:paraId="2E2967D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en-US"/>
              </w:rPr>
              <w:t>GB 15603-</w:t>
            </w:r>
            <w:r>
              <w:rPr>
                <w:rFonts w:ascii="仿宋_GB2312" w:eastAsia="仿宋_GB2312" w:hAnsiTheme="minorEastAsia" w:hint="eastAsia"/>
                <w:sz w:val="20"/>
                <w:szCs w:val="20"/>
                <w:lang w:bidi="ar"/>
              </w:rPr>
              <w:t>2022《危险化学品仓库储存通则》第7章</w:t>
            </w:r>
          </w:p>
        </w:tc>
        <w:tc>
          <w:tcPr>
            <w:tcW w:w="850" w:type="dxa"/>
            <w:shd w:val="clear" w:color="auto" w:fill="auto"/>
            <w:vAlign w:val="center"/>
          </w:tcPr>
          <w:p w14:paraId="0580D482"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4389ED45" w14:textId="77777777">
        <w:trPr>
          <w:jc w:val="center"/>
        </w:trPr>
        <w:tc>
          <w:tcPr>
            <w:tcW w:w="1772" w:type="dxa"/>
            <w:shd w:val="clear" w:color="auto" w:fill="auto"/>
            <w:vAlign w:val="center"/>
          </w:tcPr>
          <w:p w14:paraId="59FA76AB"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78A77481"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4B2D78C4"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操作行为类</w:t>
            </w:r>
          </w:p>
        </w:tc>
        <w:tc>
          <w:tcPr>
            <w:tcW w:w="5159" w:type="dxa"/>
            <w:shd w:val="clear" w:color="auto" w:fill="auto"/>
            <w:vAlign w:val="center"/>
          </w:tcPr>
          <w:p w14:paraId="2A7ED371"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易燃易爆危险品的装卸、分装中使用非防爆工具。</w:t>
            </w:r>
          </w:p>
        </w:tc>
        <w:tc>
          <w:tcPr>
            <w:tcW w:w="5387" w:type="dxa"/>
            <w:shd w:val="clear" w:color="auto" w:fill="auto"/>
            <w:vAlign w:val="center"/>
          </w:tcPr>
          <w:p w14:paraId="5E826087"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5部分:危险化学品经营企业》第3.3.2.6条；</w:t>
            </w:r>
          </w:p>
          <w:p w14:paraId="4ABE0A03" w14:textId="074DEAA8"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B11/T 1250-2015《危险化学品经营企业分装作业安全管理规范》第6.5条</w:t>
            </w:r>
            <w:r w:rsidR="00FD7B6B">
              <w:rPr>
                <w:rFonts w:ascii="仿宋_GB2312" w:eastAsia="仿宋_GB2312" w:hAnsiTheme="minorEastAsia" w:hint="eastAsia"/>
                <w:sz w:val="20"/>
                <w:szCs w:val="20"/>
                <w:lang w:bidi="ar"/>
              </w:rPr>
              <w:t>；</w:t>
            </w:r>
          </w:p>
          <w:p w14:paraId="7792EF4D" w14:textId="77777777"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en-US"/>
              </w:rPr>
              <w:t>GB 15603-</w:t>
            </w:r>
            <w:r>
              <w:rPr>
                <w:rFonts w:ascii="仿宋_GB2312" w:eastAsia="仿宋_GB2312" w:hAnsiTheme="minorEastAsia" w:hint="eastAsia"/>
                <w:sz w:val="20"/>
                <w:szCs w:val="20"/>
                <w:lang w:bidi="ar"/>
              </w:rPr>
              <w:t>2022《危险化学品仓库储存通则》第6.1.3条</w:t>
            </w:r>
          </w:p>
        </w:tc>
        <w:tc>
          <w:tcPr>
            <w:tcW w:w="850" w:type="dxa"/>
            <w:shd w:val="clear" w:color="auto" w:fill="auto"/>
            <w:vAlign w:val="center"/>
          </w:tcPr>
          <w:p w14:paraId="5AF3517C"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41D4B9EE" w14:textId="77777777">
        <w:trPr>
          <w:jc w:val="center"/>
        </w:trPr>
        <w:tc>
          <w:tcPr>
            <w:tcW w:w="1772" w:type="dxa"/>
            <w:shd w:val="clear" w:color="auto" w:fill="auto"/>
            <w:vAlign w:val="center"/>
          </w:tcPr>
          <w:p w14:paraId="1D604723"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1195BFBE"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38E98E14"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操作行为类</w:t>
            </w:r>
          </w:p>
        </w:tc>
        <w:tc>
          <w:tcPr>
            <w:tcW w:w="5159" w:type="dxa"/>
            <w:shd w:val="clear" w:color="auto" w:fill="auto"/>
            <w:vAlign w:val="center"/>
          </w:tcPr>
          <w:p w14:paraId="72FC55A0"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分装厂房内放置的原料及成品超过 24h的分装量，待分装的原料敞口放置。分装后的原料包装物不及时清理，堆放在分装场所。</w:t>
            </w:r>
          </w:p>
        </w:tc>
        <w:tc>
          <w:tcPr>
            <w:tcW w:w="5387" w:type="dxa"/>
            <w:shd w:val="clear" w:color="auto" w:fill="auto"/>
            <w:vAlign w:val="center"/>
          </w:tcPr>
          <w:p w14:paraId="556DDC7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B11/T 1250-2015《危险化学品经营企业分装作业安全管理规范》第6.9条</w:t>
            </w:r>
          </w:p>
        </w:tc>
        <w:tc>
          <w:tcPr>
            <w:tcW w:w="850" w:type="dxa"/>
            <w:shd w:val="clear" w:color="auto" w:fill="auto"/>
            <w:vAlign w:val="center"/>
          </w:tcPr>
          <w:p w14:paraId="72AF1565"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7E332CBB" w14:textId="77777777">
        <w:trPr>
          <w:jc w:val="center"/>
        </w:trPr>
        <w:tc>
          <w:tcPr>
            <w:tcW w:w="1772" w:type="dxa"/>
            <w:shd w:val="clear" w:color="auto" w:fill="auto"/>
            <w:vAlign w:val="center"/>
          </w:tcPr>
          <w:p w14:paraId="18EDAB37"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70CE28F5"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30061FE3"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操作行为类</w:t>
            </w:r>
          </w:p>
        </w:tc>
        <w:tc>
          <w:tcPr>
            <w:tcW w:w="5159" w:type="dxa"/>
            <w:shd w:val="clear" w:color="auto" w:fill="auto"/>
            <w:vAlign w:val="center"/>
          </w:tcPr>
          <w:p w14:paraId="76021C0E" w14:textId="77777777" w:rsidR="00667D96" w:rsidRDefault="00000000">
            <w:pPr>
              <w:widowControl/>
              <w:adjustRightInd w:val="0"/>
              <w:snapToGrid w:val="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堆码作业不规范：</w:t>
            </w:r>
          </w:p>
          <w:p w14:paraId="49FB480F" w14:textId="77777777" w:rsidR="00667D96" w:rsidRDefault="00000000">
            <w:pPr>
              <w:pStyle w:val="a0"/>
              <w:numPr>
                <w:ilvl w:val="0"/>
                <w:numId w:val="21"/>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堆码不整齐、不牢固，倒置；</w:t>
            </w:r>
          </w:p>
          <w:p w14:paraId="480854C5" w14:textId="77777777" w:rsidR="00667D96" w:rsidRDefault="00000000">
            <w:pPr>
              <w:pStyle w:val="a0"/>
              <w:numPr>
                <w:ilvl w:val="0"/>
                <w:numId w:val="21"/>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遮挡消防设备,安全设施,安全标志和通道；</w:t>
            </w:r>
          </w:p>
          <w:p w14:paraId="02A8E3EF" w14:textId="77777777" w:rsidR="00667D96" w:rsidRDefault="00000000">
            <w:pPr>
              <w:pStyle w:val="a0"/>
              <w:numPr>
                <w:ilvl w:val="0"/>
                <w:numId w:val="21"/>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除200L及以上的钢桶、气体钢瓶外，其他包装的危险</w:t>
            </w:r>
            <w:r>
              <w:rPr>
                <w:rFonts w:ascii="仿宋_GB2312" w:eastAsia="仿宋_GB2312" w:hAnsiTheme="minorEastAsia" w:hint="eastAsia"/>
                <w:sz w:val="20"/>
                <w:szCs w:val="20"/>
                <w:lang w:bidi="ar"/>
              </w:rPr>
              <w:lastRenderedPageBreak/>
              <w:t>化学品直接与地面接触，或者垫底高度小于10cm；</w:t>
            </w:r>
          </w:p>
          <w:p w14:paraId="243CFD8D" w14:textId="77777777" w:rsidR="00667D96" w:rsidRDefault="00000000">
            <w:pPr>
              <w:pStyle w:val="a0"/>
              <w:numPr>
                <w:ilvl w:val="0"/>
                <w:numId w:val="21"/>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堆码不符合包装标志要求；包装无堆码标志的危险化学品堆码高度应超过3m（不含托盘等的高度）；</w:t>
            </w:r>
          </w:p>
          <w:p w14:paraId="52D7C6C4" w14:textId="77777777" w:rsidR="00667D96" w:rsidRDefault="00000000">
            <w:pPr>
              <w:pStyle w:val="a0"/>
              <w:numPr>
                <w:ilvl w:val="0"/>
                <w:numId w:val="21"/>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采用货架存放时，未置于托盘上，或未采取固定措施；</w:t>
            </w:r>
          </w:p>
          <w:p w14:paraId="3AF1350E" w14:textId="77777777" w:rsidR="00667D96" w:rsidRDefault="00000000">
            <w:pPr>
              <w:pStyle w:val="a0"/>
              <w:numPr>
                <w:ilvl w:val="0"/>
                <w:numId w:val="21"/>
              </w:numPr>
              <w:adjustRightInd w:val="0"/>
              <w:snapToGrid w:val="0"/>
              <w:ind w:firstLineChars="0"/>
              <w:rPr>
                <w:rFonts w:ascii="仿宋_GB2312" w:eastAsia="仿宋_GB2312" w:hAnsiTheme="minorEastAsia"/>
                <w:sz w:val="20"/>
                <w:szCs w:val="20"/>
                <w:lang w:bidi="ar"/>
              </w:rPr>
            </w:pPr>
            <w:r>
              <w:rPr>
                <w:rFonts w:ascii="仿宋_GB2312" w:eastAsia="仿宋_GB2312" w:hAnsiTheme="minorEastAsia" w:hint="eastAsia"/>
                <w:sz w:val="20"/>
                <w:szCs w:val="20"/>
                <w:lang w:bidi="ar"/>
              </w:rPr>
              <w:t>仓库堆垛间距不满足要求（主通道不足200cm；</w:t>
            </w:r>
            <w:r>
              <w:rPr>
                <w:rFonts w:ascii="仿宋_GB2312" w:eastAsia="仿宋_GB2312" w:hAnsiTheme="minorEastAsia" w:hint="eastAsia"/>
                <w:sz w:val="20"/>
                <w:szCs w:val="20"/>
              </w:rPr>
              <w:t>墙距不足50cm；柱距不足30cm；垛距不足100cm；灯距不足50cm</w:t>
            </w:r>
            <w:r>
              <w:rPr>
                <w:rFonts w:ascii="仿宋_GB2312" w:eastAsia="仿宋_GB2312" w:hAnsiTheme="minorEastAsia" w:hint="eastAsia"/>
                <w:sz w:val="20"/>
                <w:szCs w:val="20"/>
                <w:lang w:bidi="ar"/>
              </w:rPr>
              <w:t>）。</w:t>
            </w:r>
          </w:p>
        </w:tc>
        <w:tc>
          <w:tcPr>
            <w:tcW w:w="5387" w:type="dxa"/>
            <w:shd w:val="clear" w:color="auto" w:fill="auto"/>
            <w:vAlign w:val="center"/>
          </w:tcPr>
          <w:p w14:paraId="528D2A7C"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GB 15603-2022《危险化学品仓库储存通则》第6.2节</w:t>
            </w:r>
          </w:p>
        </w:tc>
        <w:tc>
          <w:tcPr>
            <w:tcW w:w="850" w:type="dxa"/>
            <w:shd w:val="clear" w:color="auto" w:fill="auto"/>
            <w:vAlign w:val="center"/>
          </w:tcPr>
          <w:p w14:paraId="0CA3AD11"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526125AD" w14:textId="77777777">
        <w:trPr>
          <w:jc w:val="center"/>
        </w:trPr>
        <w:tc>
          <w:tcPr>
            <w:tcW w:w="1772" w:type="dxa"/>
            <w:shd w:val="clear" w:color="auto" w:fill="auto"/>
            <w:vAlign w:val="center"/>
          </w:tcPr>
          <w:p w14:paraId="0C47EDAF"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3E760DD8"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51FDE4F2"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操作行为类</w:t>
            </w:r>
          </w:p>
        </w:tc>
        <w:tc>
          <w:tcPr>
            <w:tcW w:w="5159" w:type="dxa"/>
            <w:shd w:val="clear" w:color="auto" w:fill="auto"/>
            <w:vAlign w:val="center"/>
          </w:tcPr>
          <w:p w14:paraId="1444EAB6" w14:textId="77777777" w:rsidR="00667D96" w:rsidRDefault="00000000">
            <w:pPr>
              <w:pStyle w:val="a0"/>
              <w:adjustRightInd w:val="0"/>
              <w:snapToGrid w:val="0"/>
              <w:ind w:firstLineChars="0" w:firstLine="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在库管理不规范：</w:t>
            </w:r>
          </w:p>
          <w:p w14:paraId="32ED16F1" w14:textId="77777777" w:rsidR="00667D96" w:rsidRDefault="00000000">
            <w:pPr>
              <w:pStyle w:val="a0"/>
              <w:numPr>
                <w:ilvl w:val="0"/>
                <w:numId w:val="22"/>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未定期进行盘点并记录，发现账货不符未及时进行处理；</w:t>
            </w:r>
          </w:p>
          <w:p w14:paraId="4C95F8B0" w14:textId="77777777" w:rsidR="00667D96" w:rsidRDefault="00000000">
            <w:pPr>
              <w:pStyle w:val="a0"/>
              <w:numPr>
                <w:ilvl w:val="0"/>
                <w:numId w:val="22"/>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未定期对物品堆码状态、包装及仓库进行检查并记录，对检查发现的问题未及时进行处理；</w:t>
            </w:r>
          </w:p>
          <w:p w14:paraId="30724950" w14:textId="77777777" w:rsidR="00667D96" w:rsidRDefault="00000000">
            <w:pPr>
              <w:pStyle w:val="a0"/>
              <w:numPr>
                <w:ilvl w:val="0"/>
                <w:numId w:val="22"/>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未根据储存的危险化学品特性和气候条件确定每日观测库内温湿度次数并记录；</w:t>
            </w:r>
          </w:p>
          <w:p w14:paraId="2B733F95" w14:textId="77777777" w:rsidR="00667D96" w:rsidRDefault="00000000">
            <w:pPr>
              <w:pStyle w:val="a0"/>
              <w:numPr>
                <w:ilvl w:val="0"/>
                <w:numId w:val="22"/>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未根据储存的危险化学品特性，正确调节控制库内温湿度；</w:t>
            </w:r>
          </w:p>
          <w:p w14:paraId="7F5AEF79" w14:textId="77777777" w:rsidR="00667D96" w:rsidRDefault="00000000">
            <w:pPr>
              <w:pStyle w:val="a0"/>
              <w:numPr>
                <w:ilvl w:val="0"/>
                <w:numId w:val="22"/>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盘点、检查、观测记录保存其不足1年。</w:t>
            </w:r>
          </w:p>
        </w:tc>
        <w:tc>
          <w:tcPr>
            <w:tcW w:w="5387" w:type="dxa"/>
            <w:shd w:val="clear" w:color="auto" w:fill="auto"/>
            <w:vAlign w:val="center"/>
          </w:tcPr>
          <w:p w14:paraId="5EA1E59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15603-2022《危险化学品仓库储存通则》第8章</w:t>
            </w:r>
          </w:p>
        </w:tc>
        <w:tc>
          <w:tcPr>
            <w:tcW w:w="850" w:type="dxa"/>
            <w:shd w:val="clear" w:color="auto" w:fill="auto"/>
            <w:vAlign w:val="center"/>
          </w:tcPr>
          <w:p w14:paraId="03F1128C"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269D4887" w14:textId="77777777">
        <w:trPr>
          <w:jc w:val="center"/>
        </w:trPr>
        <w:tc>
          <w:tcPr>
            <w:tcW w:w="1772" w:type="dxa"/>
            <w:shd w:val="clear" w:color="auto" w:fill="auto"/>
            <w:vAlign w:val="center"/>
          </w:tcPr>
          <w:p w14:paraId="73EF4D1D"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3E6E479F"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shd w:val="clear" w:color="auto" w:fill="auto"/>
            <w:vAlign w:val="center"/>
          </w:tcPr>
          <w:p w14:paraId="27BE82CB"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操作行为类</w:t>
            </w:r>
          </w:p>
        </w:tc>
        <w:tc>
          <w:tcPr>
            <w:tcW w:w="5159" w:type="dxa"/>
            <w:shd w:val="clear" w:color="auto" w:fill="auto"/>
            <w:vAlign w:val="center"/>
          </w:tcPr>
          <w:p w14:paraId="52AC6C07" w14:textId="77777777" w:rsidR="00667D96" w:rsidRDefault="00000000">
            <w:pPr>
              <w:pStyle w:val="a0"/>
              <w:adjustRightInd w:val="0"/>
              <w:snapToGrid w:val="0"/>
              <w:ind w:firstLineChars="0" w:firstLine="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出库作业不规范：</w:t>
            </w:r>
          </w:p>
          <w:p w14:paraId="3BB930EB" w14:textId="77777777" w:rsidR="00667D96" w:rsidRDefault="00000000">
            <w:pPr>
              <w:pStyle w:val="a0"/>
              <w:numPr>
                <w:ilvl w:val="0"/>
                <w:numId w:val="23"/>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在出库作业前，未进行账货核对；</w:t>
            </w:r>
          </w:p>
          <w:p w14:paraId="4A96822F" w14:textId="77777777" w:rsidR="00667D96" w:rsidRDefault="00000000">
            <w:pPr>
              <w:pStyle w:val="a0"/>
              <w:numPr>
                <w:ilvl w:val="0"/>
                <w:numId w:val="23"/>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未核对出库单据的有效性，发现问题不能立即与相关方协调处理；</w:t>
            </w:r>
          </w:p>
          <w:p w14:paraId="0B0D249D" w14:textId="77777777" w:rsidR="00667D96" w:rsidRDefault="00000000">
            <w:pPr>
              <w:pStyle w:val="a0"/>
              <w:numPr>
                <w:ilvl w:val="0"/>
                <w:numId w:val="23"/>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未查验提货车辆及驾驶、押运人员的资质并记录；不符合要求的仍然受理出库业务；</w:t>
            </w:r>
          </w:p>
          <w:p w14:paraId="12423EDB" w14:textId="77777777" w:rsidR="00667D96" w:rsidRDefault="00000000">
            <w:pPr>
              <w:pStyle w:val="a0"/>
              <w:numPr>
                <w:ilvl w:val="0"/>
                <w:numId w:val="23"/>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未做好出库前安全检查，检查包装及标签、标志是否正确完好，货物捆扎是否安全牢固；</w:t>
            </w:r>
          </w:p>
          <w:p w14:paraId="1272044B" w14:textId="77777777" w:rsidR="00667D96" w:rsidRDefault="00000000">
            <w:pPr>
              <w:pStyle w:val="a0"/>
              <w:numPr>
                <w:ilvl w:val="0"/>
                <w:numId w:val="23"/>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出库单据保存期不足1年。</w:t>
            </w:r>
          </w:p>
        </w:tc>
        <w:tc>
          <w:tcPr>
            <w:tcW w:w="5387" w:type="dxa"/>
            <w:shd w:val="clear" w:color="auto" w:fill="auto"/>
            <w:vAlign w:val="center"/>
          </w:tcPr>
          <w:p w14:paraId="3B1B7595"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15603-2022《危险化学品仓库储存通则》第9章</w:t>
            </w:r>
          </w:p>
        </w:tc>
        <w:tc>
          <w:tcPr>
            <w:tcW w:w="850" w:type="dxa"/>
            <w:shd w:val="clear" w:color="auto" w:fill="auto"/>
            <w:vAlign w:val="center"/>
          </w:tcPr>
          <w:p w14:paraId="277AA1C8"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78AD5431" w14:textId="77777777">
        <w:trPr>
          <w:jc w:val="center"/>
        </w:trPr>
        <w:tc>
          <w:tcPr>
            <w:tcW w:w="1772" w:type="dxa"/>
            <w:tcBorders>
              <w:bottom w:val="single" w:sz="4" w:space="0" w:color="auto"/>
            </w:tcBorders>
            <w:shd w:val="clear" w:color="auto" w:fill="auto"/>
            <w:vAlign w:val="center"/>
          </w:tcPr>
          <w:p w14:paraId="7AF438D5"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tcBorders>
              <w:bottom w:val="single" w:sz="4" w:space="0" w:color="auto"/>
            </w:tcBorders>
            <w:shd w:val="clear" w:color="auto" w:fill="auto"/>
            <w:vAlign w:val="center"/>
          </w:tcPr>
          <w:p w14:paraId="063542C3"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tcBorders>
              <w:bottom w:val="single" w:sz="4" w:space="0" w:color="auto"/>
            </w:tcBorders>
            <w:shd w:val="clear" w:color="auto" w:fill="auto"/>
            <w:vAlign w:val="center"/>
          </w:tcPr>
          <w:p w14:paraId="444EDE39"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操作行为类</w:t>
            </w:r>
          </w:p>
        </w:tc>
        <w:tc>
          <w:tcPr>
            <w:tcW w:w="5159" w:type="dxa"/>
            <w:tcBorders>
              <w:bottom w:val="single" w:sz="4" w:space="0" w:color="auto"/>
            </w:tcBorders>
            <w:shd w:val="clear" w:color="auto" w:fill="auto"/>
            <w:vAlign w:val="center"/>
          </w:tcPr>
          <w:p w14:paraId="20B01111" w14:textId="77777777" w:rsidR="00667D96" w:rsidRDefault="00000000">
            <w:pPr>
              <w:pStyle w:val="a0"/>
              <w:adjustRightInd w:val="0"/>
              <w:snapToGrid w:val="0"/>
              <w:ind w:firstLineChars="0" w:firstLine="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库区其他不安全行为：</w:t>
            </w:r>
          </w:p>
          <w:p w14:paraId="1D8B8348" w14:textId="77777777" w:rsidR="00667D96" w:rsidRDefault="00000000">
            <w:pPr>
              <w:pStyle w:val="a0"/>
              <w:numPr>
                <w:ilvl w:val="0"/>
                <w:numId w:val="2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库区内吸烟和使用明火；</w:t>
            </w:r>
          </w:p>
          <w:p w14:paraId="0C382D49" w14:textId="77777777" w:rsidR="00667D96" w:rsidRDefault="00000000">
            <w:pPr>
              <w:pStyle w:val="a0"/>
              <w:numPr>
                <w:ilvl w:val="0"/>
                <w:numId w:val="2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进入库区的人员未进行登记及安全告知；</w:t>
            </w:r>
          </w:p>
          <w:p w14:paraId="622E11F9" w14:textId="77777777" w:rsidR="00667D96" w:rsidRDefault="00000000">
            <w:pPr>
              <w:pStyle w:val="a0"/>
              <w:numPr>
                <w:ilvl w:val="0"/>
                <w:numId w:val="2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危险化学品储存作业前未先对仓库通风；</w:t>
            </w:r>
          </w:p>
          <w:p w14:paraId="1C74701A" w14:textId="77777777" w:rsidR="00667D96" w:rsidRDefault="00000000">
            <w:pPr>
              <w:pStyle w:val="a0"/>
              <w:numPr>
                <w:ilvl w:val="0"/>
                <w:numId w:val="2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进入储存爆炸物及其他对静电、火花敏感的危险化学</w:t>
            </w:r>
            <w:r>
              <w:rPr>
                <w:rFonts w:ascii="仿宋_GB2312" w:eastAsia="仿宋_GB2312" w:hAnsiTheme="minorEastAsia" w:cs="宋体" w:hint="eastAsia"/>
                <w:kern w:val="0"/>
                <w:sz w:val="20"/>
                <w:szCs w:val="20"/>
                <w:lang w:bidi="ar"/>
              </w:rPr>
              <w:lastRenderedPageBreak/>
              <w:t>品仓库时，未穿防静电工作服，或穿钉鞋；进入仓库前未消除人体静电；未使用具备防爆功能的通信工具，或使用易产生静电和火花的作业机具；</w:t>
            </w:r>
          </w:p>
          <w:p w14:paraId="39FD457A" w14:textId="77777777" w:rsidR="00667D96" w:rsidRDefault="00000000">
            <w:pPr>
              <w:pStyle w:val="a0"/>
              <w:numPr>
                <w:ilvl w:val="0"/>
                <w:numId w:val="2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储存仓库内进行开桶、分装、改装作业；</w:t>
            </w:r>
          </w:p>
          <w:p w14:paraId="445F1D5B" w14:textId="77777777" w:rsidR="00667D96" w:rsidRDefault="00000000">
            <w:pPr>
              <w:pStyle w:val="a0"/>
              <w:numPr>
                <w:ilvl w:val="0"/>
                <w:numId w:val="2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在恶劣天气进行装卸作业；</w:t>
            </w:r>
          </w:p>
          <w:p w14:paraId="0FF60334" w14:textId="77777777" w:rsidR="00667D96" w:rsidRDefault="00000000">
            <w:pPr>
              <w:pStyle w:val="a0"/>
              <w:numPr>
                <w:ilvl w:val="0"/>
                <w:numId w:val="2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进入库区的车辆未登记管理；</w:t>
            </w:r>
          </w:p>
          <w:p w14:paraId="6BE59EE1" w14:textId="77777777" w:rsidR="00667D96" w:rsidRDefault="00000000">
            <w:pPr>
              <w:pStyle w:val="a0"/>
              <w:numPr>
                <w:ilvl w:val="0"/>
                <w:numId w:val="24"/>
              </w:numPr>
              <w:adjustRightInd w:val="0"/>
              <w:snapToGrid w:val="0"/>
              <w:ind w:firstLineChars="0"/>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入库区的车辆采取防火措施。</w:t>
            </w:r>
          </w:p>
        </w:tc>
        <w:tc>
          <w:tcPr>
            <w:tcW w:w="5387" w:type="dxa"/>
            <w:tcBorders>
              <w:bottom w:val="single" w:sz="4" w:space="0" w:color="auto"/>
            </w:tcBorders>
            <w:shd w:val="clear" w:color="auto" w:fill="auto"/>
            <w:vAlign w:val="center"/>
          </w:tcPr>
          <w:p w14:paraId="630D1865" w14:textId="37544F9F"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GB 15603-2022《危险化学品仓库储存通则》第11.2.1</w:t>
            </w:r>
            <w:r w:rsidR="00FD7B6B">
              <w:rPr>
                <w:rFonts w:ascii="仿宋_GB2312" w:eastAsia="仿宋_GB2312" w:hAnsiTheme="minorEastAsia" w:hint="eastAsia"/>
                <w:sz w:val="20"/>
                <w:szCs w:val="20"/>
                <w:lang w:bidi="ar"/>
              </w:rPr>
              <w:t>条</w:t>
            </w:r>
            <w:r w:rsidRPr="00FD7B6B">
              <w:rPr>
                <w:rFonts w:ascii="Times New Roman" w:eastAsia="仿宋_GB2312" w:hAnsi="Times New Roman"/>
                <w:sz w:val="20"/>
                <w:szCs w:val="20"/>
                <w:lang w:bidi="ar"/>
              </w:rPr>
              <w:t>~</w:t>
            </w:r>
            <w:r w:rsidR="00FD7B6B">
              <w:rPr>
                <w:rFonts w:ascii="仿宋_GB2312" w:eastAsia="仿宋_GB2312" w:hAnsiTheme="minorEastAsia" w:hint="eastAsia"/>
                <w:sz w:val="20"/>
                <w:szCs w:val="20"/>
                <w:lang w:bidi="ar"/>
              </w:rPr>
              <w:t>第</w:t>
            </w:r>
            <w:r>
              <w:rPr>
                <w:rFonts w:ascii="仿宋_GB2312" w:eastAsia="仿宋_GB2312" w:hAnsiTheme="minorEastAsia" w:hint="eastAsia"/>
                <w:sz w:val="20"/>
                <w:szCs w:val="20"/>
                <w:lang w:bidi="ar"/>
              </w:rPr>
              <w:t>11.2.4条、第11.3节</w:t>
            </w:r>
            <w:r w:rsidR="00FD7B6B">
              <w:rPr>
                <w:rFonts w:ascii="仿宋_GB2312" w:eastAsia="仿宋_GB2312" w:hAnsiTheme="minorEastAsia" w:hint="eastAsia"/>
                <w:sz w:val="20"/>
                <w:szCs w:val="20"/>
                <w:lang w:bidi="ar"/>
              </w:rPr>
              <w:t>；</w:t>
            </w:r>
          </w:p>
          <w:p w14:paraId="086DC1DF" w14:textId="0CB2D960"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w:t>
            </w:r>
            <w:r w:rsidR="00FD7B6B">
              <w:rPr>
                <w:rFonts w:ascii="仿宋_GB2312" w:eastAsia="仿宋_GB2312" w:hAnsiTheme="minorEastAsia" w:hint="eastAsia"/>
                <w:sz w:val="20"/>
                <w:szCs w:val="20"/>
                <w:lang w:bidi="ar"/>
              </w:rPr>
              <w:t>第3</w:t>
            </w:r>
            <w:r w:rsidR="00FD7B6B">
              <w:rPr>
                <w:rFonts w:ascii="仿宋_GB2312" w:eastAsia="仿宋_GB2312" w:hAnsiTheme="minorEastAsia"/>
                <w:sz w:val="20"/>
                <w:szCs w:val="20"/>
                <w:lang w:bidi="ar"/>
              </w:rPr>
              <w:t>.9.</w:t>
            </w:r>
            <w:r w:rsidR="00FD7B6B">
              <w:rPr>
                <w:rFonts w:ascii="仿宋_GB2312" w:eastAsia="仿宋_GB2312" w:hAnsiTheme="minorEastAsia"/>
                <w:sz w:val="20"/>
                <w:szCs w:val="20"/>
                <w:lang w:bidi="ar"/>
              </w:rPr>
              <w:t>5</w:t>
            </w:r>
            <w:r w:rsidR="00FD7B6B">
              <w:rPr>
                <w:rFonts w:ascii="仿宋_GB2312" w:eastAsia="仿宋_GB2312" w:hAnsiTheme="minorEastAsia" w:hint="eastAsia"/>
                <w:sz w:val="20"/>
                <w:szCs w:val="20"/>
                <w:lang w:bidi="ar"/>
              </w:rPr>
              <w:t>条</w:t>
            </w:r>
            <w:r w:rsidR="00FD7B6B">
              <w:rPr>
                <w:rFonts w:ascii="仿宋_GB2312" w:eastAsia="仿宋_GB2312" w:hAnsiTheme="minorEastAsia" w:hint="eastAsia"/>
                <w:sz w:val="20"/>
                <w:szCs w:val="20"/>
                <w:lang w:bidi="ar"/>
              </w:rPr>
              <w:t>、第3</w:t>
            </w:r>
            <w:r w:rsidR="00FD7B6B">
              <w:rPr>
                <w:rFonts w:ascii="仿宋_GB2312" w:eastAsia="仿宋_GB2312" w:hAnsiTheme="minorEastAsia"/>
                <w:sz w:val="20"/>
                <w:szCs w:val="20"/>
                <w:lang w:bidi="ar"/>
              </w:rPr>
              <w:t>.9.7</w:t>
            </w:r>
            <w:r w:rsidR="00FD7B6B">
              <w:rPr>
                <w:rFonts w:ascii="仿宋_GB2312" w:eastAsia="仿宋_GB2312" w:hAnsiTheme="minorEastAsia" w:hint="eastAsia"/>
                <w:sz w:val="20"/>
                <w:szCs w:val="20"/>
                <w:lang w:bidi="ar"/>
              </w:rPr>
              <w:t>条</w:t>
            </w:r>
          </w:p>
        </w:tc>
        <w:tc>
          <w:tcPr>
            <w:tcW w:w="850" w:type="dxa"/>
            <w:tcBorders>
              <w:bottom w:val="single" w:sz="4" w:space="0" w:color="auto"/>
            </w:tcBorders>
            <w:shd w:val="clear" w:color="auto" w:fill="auto"/>
            <w:vAlign w:val="center"/>
          </w:tcPr>
          <w:p w14:paraId="75B3400E"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2C7F2034" w14:textId="77777777">
        <w:trPr>
          <w:jc w:val="center"/>
        </w:trPr>
        <w:tc>
          <w:tcPr>
            <w:tcW w:w="1772" w:type="dxa"/>
            <w:tcBorders>
              <w:top w:val="single" w:sz="4" w:space="0" w:color="auto"/>
            </w:tcBorders>
            <w:shd w:val="clear" w:color="auto" w:fill="auto"/>
            <w:vAlign w:val="center"/>
          </w:tcPr>
          <w:p w14:paraId="2C83C66D"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tcBorders>
              <w:top w:val="single" w:sz="4" w:space="0" w:color="auto"/>
            </w:tcBorders>
            <w:shd w:val="clear" w:color="auto" w:fill="auto"/>
            <w:vAlign w:val="center"/>
          </w:tcPr>
          <w:p w14:paraId="5660095B"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人员类</w:t>
            </w:r>
          </w:p>
        </w:tc>
        <w:tc>
          <w:tcPr>
            <w:tcW w:w="1134" w:type="dxa"/>
            <w:tcBorders>
              <w:top w:val="single" w:sz="4" w:space="0" w:color="auto"/>
            </w:tcBorders>
            <w:shd w:val="clear" w:color="auto" w:fill="auto"/>
            <w:vAlign w:val="center"/>
          </w:tcPr>
          <w:p w14:paraId="3D53C605"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bidi="ar"/>
              </w:rPr>
              <w:t>个体防护用品使用</w:t>
            </w:r>
            <w:r>
              <w:rPr>
                <w:rFonts w:ascii="仿宋_GB2312" w:eastAsia="仿宋_GB2312" w:hAnsiTheme="minorEastAsia" w:hint="eastAsia"/>
                <w:sz w:val="20"/>
                <w:szCs w:val="20"/>
                <w:lang w:eastAsia="zh-TW" w:bidi="ar"/>
              </w:rPr>
              <w:t>类</w:t>
            </w:r>
          </w:p>
        </w:tc>
        <w:tc>
          <w:tcPr>
            <w:tcW w:w="5159" w:type="dxa"/>
            <w:tcBorders>
              <w:top w:val="single" w:sz="4" w:space="0" w:color="auto"/>
            </w:tcBorders>
            <w:shd w:val="clear" w:color="auto" w:fill="auto"/>
            <w:vAlign w:val="center"/>
          </w:tcPr>
          <w:p w14:paraId="51E07F1D"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Theme="minorEastAsia" w:hint="eastAsia"/>
                <w:sz w:val="20"/>
                <w:szCs w:val="20"/>
                <w:lang w:bidi="ar"/>
              </w:rPr>
              <w:t>未根据本单位可能发生的生产安全事故的特点和危害，正确配备、穿戴必要的个人防护用品，配备应急救援器材、设备和物资，并进行经常性维护、保养，保证正常运转。</w:t>
            </w:r>
          </w:p>
        </w:tc>
        <w:tc>
          <w:tcPr>
            <w:tcW w:w="5387" w:type="dxa"/>
            <w:tcBorders>
              <w:top w:val="single" w:sz="4" w:space="0" w:color="auto"/>
            </w:tcBorders>
            <w:shd w:val="clear" w:color="auto" w:fill="auto"/>
            <w:vAlign w:val="center"/>
          </w:tcPr>
          <w:p w14:paraId="2C795873" w14:textId="77777777" w:rsidR="00667D96" w:rsidRDefault="00000000">
            <w:pPr>
              <w:pStyle w:val="a0"/>
              <w:adjustRightInd w:val="0"/>
              <w:snapToGrid w:val="0"/>
              <w:ind w:firstLineChars="0" w:firstLine="0"/>
              <w:rPr>
                <w:rFonts w:ascii="仿宋_GB2312" w:eastAsia="仿宋_GB2312" w:hAnsiTheme="minorEastAsia"/>
                <w:sz w:val="20"/>
                <w:szCs w:val="20"/>
              </w:rPr>
            </w:pPr>
            <w:r>
              <w:rPr>
                <w:rFonts w:ascii="仿宋_GB2312" w:eastAsia="仿宋_GB2312" w:hAnsiTheme="minorEastAsia" w:hint="eastAsia"/>
                <w:sz w:val="20"/>
                <w:szCs w:val="20"/>
              </w:rPr>
              <w:t>《生产安全事故应急条例》第十三条；</w:t>
            </w:r>
          </w:p>
          <w:p w14:paraId="4642F03F" w14:textId="4449F16C" w:rsidR="00667D96" w:rsidRDefault="00000000">
            <w:pPr>
              <w:pStyle w:val="a0"/>
              <w:adjustRightInd w:val="0"/>
              <w:snapToGrid w:val="0"/>
              <w:ind w:firstLineChars="0" w:firstLine="0"/>
              <w:rPr>
                <w:rFonts w:ascii="仿宋_GB2312" w:eastAsia="仿宋_GB2312" w:hAnsiTheme="minorEastAsia"/>
                <w:sz w:val="20"/>
                <w:szCs w:val="20"/>
              </w:rPr>
            </w:pPr>
            <w:r>
              <w:rPr>
                <w:rFonts w:ascii="仿宋_GB2312" w:eastAsia="仿宋_GB2312" w:hAnsiTheme="minorEastAsia" w:hint="eastAsia"/>
                <w:sz w:val="20"/>
                <w:szCs w:val="20"/>
              </w:rPr>
              <w:t>GB 18265-2019《危险化学品经营企业安全技术基本要求》第4.3.9条</w:t>
            </w:r>
            <w:r w:rsidR="00FD7B6B">
              <w:rPr>
                <w:rFonts w:ascii="仿宋_GB2312" w:eastAsia="仿宋_GB2312" w:hAnsiTheme="minorEastAsia" w:hint="eastAsia"/>
                <w:sz w:val="20"/>
                <w:szCs w:val="20"/>
              </w:rPr>
              <w:t>；</w:t>
            </w:r>
          </w:p>
          <w:p w14:paraId="11076AC5" w14:textId="77777777"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GB 15603-2022《危险化学品仓库储存通则》第10章</w:t>
            </w:r>
          </w:p>
        </w:tc>
        <w:tc>
          <w:tcPr>
            <w:tcW w:w="850" w:type="dxa"/>
            <w:tcBorders>
              <w:top w:val="single" w:sz="4" w:space="0" w:color="auto"/>
            </w:tcBorders>
            <w:shd w:val="clear" w:color="auto" w:fill="auto"/>
            <w:vAlign w:val="center"/>
          </w:tcPr>
          <w:p w14:paraId="6497BEC9"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E93CEDA" w14:textId="77777777">
        <w:trPr>
          <w:jc w:val="center"/>
        </w:trPr>
        <w:tc>
          <w:tcPr>
            <w:tcW w:w="1772" w:type="dxa"/>
            <w:shd w:val="clear" w:color="auto" w:fill="auto"/>
            <w:vAlign w:val="center"/>
          </w:tcPr>
          <w:p w14:paraId="2403360C"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2A3D24F4"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06BF8022"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kern w:val="0"/>
                <w:sz w:val="20"/>
                <w:szCs w:val="20"/>
              </w:rPr>
              <w:t>平面布置类</w:t>
            </w:r>
          </w:p>
        </w:tc>
        <w:tc>
          <w:tcPr>
            <w:tcW w:w="5159" w:type="dxa"/>
            <w:shd w:val="clear" w:color="auto" w:fill="auto"/>
            <w:vAlign w:val="center"/>
          </w:tcPr>
          <w:p w14:paraId="7BA34382"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危险化学品仓库、分装厂房的防火（安全）间距不足：</w:t>
            </w:r>
          </w:p>
          <w:p w14:paraId="4161C40B" w14:textId="77777777" w:rsidR="00667D96" w:rsidRDefault="00000000">
            <w:pPr>
              <w:pStyle w:val="ae"/>
              <w:widowControl/>
              <w:numPr>
                <w:ilvl w:val="0"/>
                <w:numId w:val="25"/>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爆炸物仓库与防护目标距离不足1000m；</w:t>
            </w:r>
          </w:p>
          <w:p w14:paraId="5EAAB089" w14:textId="77777777" w:rsidR="00667D96" w:rsidRDefault="00000000">
            <w:pPr>
              <w:pStyle w:val="ae"/>
              <w:widowControl/>
              <w:numPr>
                <w:ilvl w:val="0"/>
                <w:numId w:val="25"/>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库区围墙与库区内建筑的间距小于 5m；</w:t>
            </w:r>
          </w:p>
          <w:p w14:paraId="5543701A" w14:textId="77777777" w:rsidR="00667D96" w:rsidRDefault="00000000">
            <w:pPr>
              <w:pStyle w:val="ae"/>
              <w:widowControl/>
              <w:numPr>
                <w:ilvl w:val="0"/>
                <w:numId w:val="25"/>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危险化学品仓库的防火间距包括：甲类仓库之间及与其他建筑、明火或散发火花地点、铁路、道路等的防火间距；乙、丙类仓库之间及与民用建筑的防火间距；围墙两侧建筑的间距应满足相应建筑的防火间距；危险化学品仓库与架空电力线的最近水平距离。</w:t>
            </w:r>
          </w:p>
        </w:tc>
        <w:tc>
          <w:tcPr>
            <w:tcW w:w="5387" w:type="dxa"/>
            <w:shd w:val="clear" w:color="auto" w:fill="auto"/>
            <w:vAlign w:val="center"/>
          </w:tcPr>
          <w:p w14:paraId="17308AB6" w14:textId="77777777" w:rsidR="00667D96" w:rsidRDefault="00000000">
            <w:pPr>
              <w:widowControl/>
              <w:adjustRightInd w:val="0"/>
              <w:snapToGrid w:val="0"/>
              <w:jc w:val="left"/>
              <w:rPr>
                <w:rFonts w:ascii="仿宋_GB2312" w:eastAsia="仿宋_GB2312" w:hAnsiTheme="minorEastAsia"/>
                <w:sz w:val="20"/>
                <w:szCs w:val="20"/>
              </w:rPr>
            </w:pPr>
            <w:r>
              <w:rPr>
                <w:rFonts w:ascii="仿宋_GB2312" w:eastAsia="仿宋_GB2312" w:hAnsiTheme="minorEastAsia" w:hint="eastAsia"/>
                <w:sz w:val="20"/>
                <w:szCs w:val="20"/>
              </w:rPr>
              <w:t>GB 50016-2014《建筑设计防火规范》（2018年版）第</w:t>
            </w:r>
            <w:r>
              <w:rPr>
                <w:rFonts w:ascii="仿宋_GB2312" w:eastAsia="仿宋_GB2312" w:hAnsiTheme="minorEastAsia" w:hint="eastAsia"/>
                <w:sz w:val="20"/>
                <w:szCs w:val="20"/>
                <w:lang w:bidi="ar"/>
              </w:rPr>
              <w:t>3.2、 3.4条、</w:t>
            </w:r>
            <w:r>
              <w:rPr>
                <w:rFonts w:ascii="仿宋_GB2312" w:eastAsia="仿宋_GB2312" w:hAnsiTheme="minorEastAsia" w:hint="eastAsia"/>
                <w:sz w:val="20"/>
                <w:szCs w:val="20"/>
              </w:rPr>
              <w:t>第3.5.1条</w:t>
            </w:r>
            <w:r w:rsidRPr="00096288">
              <w:rPr>
                <w:rFonts w:ascii="Times New Roman" w:eastAsia="仿宋_GB2312" w:hAnsi="Times New Roman"/>
                <w:sz w:val="20"/>
                <w:szCs w:val="20"/>
              </w:rPr>
              <w:t>~</w:t>
            </w:r>
            <w:r>
              <w:rPr>
                <w:rFonts w:ascii="仿宋_GB2312" w:eastAsia="仿宋_GB2312" w:hAnsiTheme="minorEastAsia" w:hint="eastAsia"/>
                <w:sz w:val="20"/>
                <w:szCs w:val="20"/>
              </w:rPr>
              <w:t>3.5.2条（表3.5.1条和3.5.2）；</w:t>
            </w:r>
          </w:p>
          <w:p w14:paraId="3C4625DC" w14:textId="450D49AE"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18265-2019《危险化学品经营企业安全技术基本要求》第4.1.2条、第4.1.3条</w:t>
            </w:r>
            <w:r w:rsidR="00FD7B6B">
              <w:rPr>
                <w:rFonts w:ascii="仿宋_GB2312" w:eastAsia="仿宋_GB2312" w:hAnsiTheme="minorEastAsia" w:hint="eastAsia"/>
                <w:sz w:val="20"/>
                <w:szCs w:val="20"/>
                <w:lang w:bidi="ar"/>
              </w:rPr>
              <w:t>；</w:t>
            </w:r>
          </w:p>
          <w:p w14:paraId="6A27362C" w14:textId="29D084C9"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GB 15603-2022《危险化学品仓库储存通则》第5.6</w:t>
            </w:r>
            <w:r w:rsidRPr="00096288">
              <w:rPr>
                <w:rFonts w:ascii="Times New Roman" w:eastAsia="仿宋_GB2312" w:hAnsi="Times New Roman"/>
                <w:sz w:val="20"/>
                <w:szCs w:val="20"/>
                <w:lang w:bidi="ar"/>
              </w:rPr>
              <w:t>~</w:t>
            </w:r>
            <w:r>
              <w:rPr>
                <w:rFonts w:ascii="仿宋_GB2312" w:eastAsia="仿宋_GB2312" w:hAnsiTheme="minorEastAsia" w:hint="eastAsia"/>
                <w:sz w:val="20"/>
                <w:szCs w:val="20"/>
                <w:lang w:bidi="ar"/>
              </w:rPr>
              <w:t>5.8条</w:t>
            </w:r>
            <w:r w:rsidR="00FD7B6B">
              <w:rPr>
                <w:rFonts w:ascii="仿宋_GB2312" w:eastAsia="仿宋_GB2312" w:hAnsiTheme="minorEastAsia" w:hint="eastAsia"/>
                <w:sz w:val="20"/>
                <w:szCs w:val="20"/>
                <w:lang w:bidi="ar"/>
              </w:rPr>
              <w:t>；</w:t>
            </w:r>
          </w:p>
          <w:p w14:paraId="7D561A3C" w14:textId="3F82CE10"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1250-2015《危险化学品经营企业分装作业安全管理规范》第4.5条</w:t>
            </w:r>
            <w:r w:rsidR="00FD7B6B">
              <w:rPr>
                <w:rFonts w:ascii="仿宋_GB2312" w:eastAsia="仿宋_GB2312" w:hAnsiTheme="minorEastAsia" w:hint="eastAsia"/>
                <w:sz w:val="20"/>
                <w:szCs w:val="20"/>
                <w:lang w:bidi="ar"/>
              </w:rPr>
              <w:t>；</w:t>
            </w:r>
          </w:p>
          <w:p w14:paraId="6B397158" w14:textId="77777777"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5部分:危险化学品经营企业》第3.2.9条</w:t>
            </w:r>
          </w:p>
        </w:tc>
        <w:tc>
          <w:tcPr>
            <w:tcW w:w="850" w:type="dxa"/>
            <w:shd w:val="clear" w:color="auto" w:fill="auto"/>
            <w:vAlign w:val="center"/>
          </w:tcPr>
          <w:p w14:paraId="15BE3F6C"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2866E99" w14:textId="77777777">
        <w:trPr>
          <w:jc w:val="center"/>
        </w:trPr>
        <w:tc>
          <w:tcPr>
            <w:tcW w:w="1772" w:type="dxa"/>
            <w:shd w:val="clear" w:color="auto" w:fill="auto"/>
            <w:vAlign w:val="center"/>
          </w:tcPr>
          <w:p w14:paraId="47735903"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2F2A9D6F"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10E680E5"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平面布置类</w:t>
            </w:r>
          </w:p>
        </w:tc>
        <w:tc>
          <w:tcPr>
            <w:tcW w:w="5159" w:type="dxa"/>
            <w:shd w:val="clear" w:color="auto" w:fill="auto"/>
            <w:vAlign w:val="center"/>
          </w:tcPr>
          <w:p w14:paraId="75EB954C"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 xml:space="preserve">危险化学品仓库内部布局不规范： </w:t>
            </w:r>
          </w:p>
          <w:p w14:paraId="69CB8915" w14:textId="77777777" w:rsidR="00667D96" w:rsidRDefault="00000000">
            <w:pPr>
              <w:pStyle w:val="ae"/>
              <w:widowControl/>
              <w:numPr>
                <w:ilvl w:val="0"/>
                <w:numId w:val="26"/>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 xml:space="preserve">未根据危险化学品特性分区、分类、分库贮存（隔离、隔开、分离储存）； </w:t>
            </w:r>
          </w:p>
          <w:p w14:paraId="4056C9DD" w14:textId="77777777" w:rsidR="00667D96" w:rsidRDefault="00000000">
            <w:pPr>
              <w:pStyle w:val="ae"/>
              <w:widowControl/>
              <w:numPr>
                <w:ilvl w:val="0"/>
                <w:numId w:val="26"/>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混存危险化学品，货垛与货垛之间，未留有 1m以上的距离，或包装容器不完整，两种物品间发生接触；</w:t>
            </w:r>
          </w:p>
          <w:p w14:paraId="5C8AF7F4" w14:textId="77777777" w:rsidR="00667D96" w:rsidRDefault="00000000">
            <w:pPr>
              <w:pStyle w:val="ae"/>
              <w:widowControl/>
              <w:numPr>
                <w:ilvl w:val="0"/>
                <w:numId w:val="26"/>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易爆性危险化学品未储存于一级轻顶耐火建筑的库房内；</w:t>
            </w:r>
          </w:p>
          <w:p w14:paraId="5A572F38" w14:textId="77777777" w:rsidR="00667D96" w:rsidRDefault="00000000">
            <w:pPr>
              <w:pStyle w:val="ae"/>
              <w:widowControl/>
              <w:numPr>
                <w:ilvl w:val="0"/>
                <w:numId w:val="26"/>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 xml:space="preserve">易燃气体与助燃气体同库储存； </w:t>
            </w:r>
          </w:p>
          <w:p w14:paraId="5DBB608B" w14:textId="77777777" w:rsidR="00667D96" w:rsidRDefault="00000000">
            <w:pPr>
              <w:pStyle w:val="ae"/>
              <w:widowControl/>
              <w:numPr>
                <w:ilvl w:val="0"/>
                <w:numId w:val="26"/>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lastRenderedPageBreak/>
              <w:t xml:space="preserve">腐蚀性危险化学品被阳光直射、暴晒，未远离热源、电源、火源，在库区未设置洗眼器等应急处置设施； </w:t>
            </w:r>
          </w:p>
          <w:p w14:paraId="78738F3B" w14:textId="77777777" w:rsidR="00667D96" w:rsidRDefault="00000000">
            <w:pPr>
              <w:pStyle w:val="ae"/>
              <w:widowControl/>
              <w:numPr>
                <w:ilvl w:val="0"/>
                <w:numId w:val="26"/>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有毒危险化学品被阳光直射、暴晒，未远离热源、电源、火源；</w:t>
            </w:r>
          </w:p>
          <w:p w14:paraId="044AC95E" w14:textId="77777777" w:rsidR="00667D96" w:rsidRDefault="00000000">
            <w:pPr>
              <w:pStyle w:val="ae"/>
              <w:widowControl/>
              <w:numPr>
                <w:ilvl w:val="0"/>
                <w:numId w:val="26"/>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剧毒性商品未专库储存或存放在彼此间隔的单间内，未安装防盗报警器和监控系统；</w:t>
            </w:r>
          </w:p>
          <w:p w14:paraId="441BC33C" w14:textId="77777777" w:rsidR="00667D96" w:rsidRDefault="00000000">
            <w:pPr>
              <w:pStyle w:val="ae"/>
              <w:widowControl/>
              <w:numPr>
                <w:ilvl w:val="0"/>
                <w:numId w:val="26"/>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 xml:space="preserve">剧毒化学品,易燃气体,氧化性气体,急性毒性气体,遇水放出易燃气体的物质和混合物,氯酸盐,高锰酸盐,亚硝酸盐,过氧化钠,过氧化氢,溴素未分离储存。 </w:t>
            </w:r>
          </w:p>
        </w:tc>
        <w:tc>
          <w:tcPr>
            <w:tcW w:w="5387" w:type="dxa"/>
            <w:shd w:val="clear" w:color="auto" w:fill="auto"/>
            <w:vAlign w:val="center"/>
          </w:tcPr>
          <w:p w14:paraId="781DB574"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lastRenderedPageBreak/>
              <w:t>DB11/T 1322.5-2017《安全生产等级评定技术规范 第 5部分:危险化学品经营企业》第3.2.11条；</w:t>
            </w:r>
          </w:p>
          <w:p w14:paraId="26C7091F" w14:textId="18281AC0"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DB11/755-2010《危险化学品仓库建设及储存安全规范》第4.4.2条</w:t>
            </w:r>
            <w:r w:rsidR="00FD7B6B">
              <w:rPr>
                <w:rFonts w:ascii="仿宋_GB2312" w:eastAsia="仿宋_GB2312" w:hAnsiTheme="minorEastAsia" w:hint="eastAsia"/>
                <w:sz w:val="20"/>
                <w:szCs w:val="20"/>
                <w:lang w:bidi="ar"/>
              </w:rPr>
              <w:t>；</w:t>
            </w:r>
          </w:p>
          <w:p w14:paraId="1FAD5F1C" w14:textId="2F0C36B9" w:rsidR="00667D96" w:rsidRDefault="00000000" w:rsidP="00FD7B6B">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GB 15603-2022《危险化学品仓库储存通则》</w:t>
            </w:r>
            <w:r w:rsidR="00FD7B6B">
              <w:rPr>
                <w:rFonts w:ascii="仿宋_GB2312" w:eastAsia="仿宋_GB2312" w:hAnsiTheme="minorEastAsia" w:hint="eastAsia"/>
                <w:sz w:val="20"/>
                <w:szCs w:val="20"/>
                <w:lang w:bidi="ar"/>
              </w:rPr>
              <w:t>第</w:t>
            </w:r>
            <w:r>
              <w:rPr>
                <w:rFonts w:ascii="仿宋_GB2312" w:eastAsia="仿宋_GB2312" w:hAnsiTheme="minorEastAsia" w:hint="eastAsia"/>
                <w:sz w:val="20"/>
                <w:szCs w:val="20"/>
                <w:lang w:bidi="ar"/>
              </w:rPr>
              <w:t>5.1</w:t>
            </w:r>
            <w:r w:rsidRPr="00096288">
              <w:rPr>
                <w:rFonts w:ascii="Times New Roman" w:eastAsia="仿宋_GB2312" w:hAnsi="Times New Roman"/>
                <w:sz w:val="20"/>
                <w:szCs w:val="20"/>
                <w:lang w:bidi="ar"/>
              </w:rPr>
              <w:t>~</w:t>
            </w:r>
            <w:r>
              <w:rPr>
                <w:rFonts w:ascii="仿宋_GB2312" w:eastAsia="仿宋_GB2312" w:hAnsiTheme="minorEastAsia" w:hint="eastAsia"/>
                <w:sz w:val="20"/>
                <w:szCs w:val="20"/>
                <w:lang w:bidi="ar"/>
              </w:rPr>
              <w:t>5.2、5.9</w:t>
            </w:r>
            <w:r w:rsidR="00FD7B6B">
              <w:rPr>
                <w:rFonts w:ascii="仿宋_GB2312" w:eastAsia="仿宋_GB2312" w:hAnsiTheme="minorEastAsia" w:hint="eastAsia"/>
                <w:sz w:val="20"/>
                <w:szCs w:val="20"/>
                <w:lang w:bidi="ar"/>
              </w:rPr>
              <w:t>条。</w:t>
            </w:r>
          </w:p>
        </w:tc>
        <w:tc>
          <w:tcPr>
            <w:tcW w:w="850" w:type="dxa"/>
            <w:shd w:val="clear" w:color="auto" w:fill="auto"/>
            <w:vAlign w:val="center"/>
          </w:tcPr>
          <w:p w14:paraId="59266F3D"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w:t>
            </w:r>
          </w:p>
        </w:tc>
      </w:tr>
      <w:tr w:rsidR="00667D96" w14:paraId="4323A308" w14:textId="77777777">
        <w:trPr>
          <w:jc w:val="center"/>
        </w:trPr>
        <w:tc>
          <w:tcPr>
            <w:tcW w:w="1772" w:type="dxa"/>
            <w:shd w:val="clear" w:color="auto" w:fill="auto"/>
            <w:vAlign w:val="center"/>
          </w:tcPr>
          <w:p w14:paraId="6A4DAB96"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40BC88B0"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1BD490B2"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平面布局类</w:t>
            </w:r>
          </w:p>
        </w:tc>
        <w:tc>
          <w:tcPr>
            <w:tcW w:w="5159" w:type="dxa"/>
            <w:shd w:val="clear" w:color="auto" w:fill="auto"/>
            <w:vAlign w:val="center"/>
          </w:tcPr>
          <w:p w14:paraId="44BFBE73"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分装作业未设专用的分装场所；分装场所未与经营办公场所和生活区分开布置；分装场所设在建筑物的地下室或半地下室内；分装场所的建筑物有地下室或其他地下建筑，或设置办公室、休息室。</w:t>
            </w:r>
          </w:p>
        </w:tc>
        <w:tc>
          <w:tcPr>
            <w:tcW w:w="5387" w:type="dxa"/>
            <w:shd w:val="clear" w:color="auto" w:fill="auto"/>
            <w:vAlign w:val="center"/>
          </w:tcPr>
          <w:p w14:paraId="0AFA2E0D"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1250-2015《危险化学品经营企业分装作业安全管理规范》第4.1</w:t>
            </w:r>
            <w:r w:rsidRPr="00096288">
              <w:rPr>
                <w:rFonts w:ascii="Times New Roman" w:eastAsia="仿宋_GB2312" w:hAnsi="Times New Roman"/>
                <w:sz w:val="20"/>
                <w:szCs w:val="20"/>
                <w:lang w:bidi="ar"/>
              </w:rPr>
              <w:t>~</w:t>
            </w:r>
            <w:r>
              <w:rPr>
                <w:rFonts w:ascii="仿宋_GB2312" w:eastAsia="仿宋_GB2312" w:hAnsiTheme="minorEastAsia" w:hint="eastAsia"/>
                <w:sz w:val="20"/>
                <w:szCs w:val="20"/>
                <w:lang w:bidi="ar"/>
              </w:rPr>
              <w:t>4.3条</w:t>
            </w:r>
          </w:p>
        </w:tc>
        <w:tc>
          <w:tcPr>
            <w:tcW w:w="850" w:type="dxa"/>
            <w:shd w:val="clear" w:color="auto" w:fill="auto"/>
            <w:vAlign w:val="center"/>
          </w:tcPr>
          <w:p w14:paraId="3AC56E42"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2523F3F0" w14:textId="77777777">
        <w:trPr>
          <w:jc w:val="center"/>
        </w:trPr>
        <w:tc>
          <w:tcPr>
            <w:tcW w:w="1772" w:type="dxa"/>
            <w:shd w:val="clear" w:color="auto" w:fill="auto"/>
            <w:vAlign w:val="center"/>
          </w:tcPr>
          <w:p w14:paraId="49324791"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28F06177"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28D7D944"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平面布局类</w:t>
            </w:r>
          </w:p>
        </w:tc>
        <w:tc>
          <w:tcPr>
            <w:tcW w:w="5159" w:type="dxa"/>
            <w:shd w:val="clear" w:color="auto" w:fill="auto"/>
            <w:vAlign w:val="center"/>
          </w:tcPr>
          <w:p w14:paraId="7BB6C0AB"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储存、分装场所未设置消防车道，消防车道不符合规范要求。</w:t>
            </w:r>
          </w:p>
        </w:tc>
        <w:tc>
          <w:tcPr>
            <w:tcW w:w="5387" w:type="dxa"/>
            <w:shd w:val="clear" w:color="auto" w:fill="auto"/>
            <w:vAlign w:val="center"/>
          </w:tcPr>
          <w:p w14:paraId="2D0A5E74"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B11/T 1250-2015《危险化学品经营企业分装作业安全管理规范》第4.12条；</w:t>
            </w:r>
          </w:p>
          <w:p w14:paraId="01D64536"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50016-2014《建筑设计防火规范》第7.1.3条、 第7.1.8条</w:t>
            </w:r>
          </w:p>
        </w:tc>
        <w:tc>
          <w:tcPr>
            <w:tcW w:w="850" w:type="dxa"/>
            <w:shd w:val="clear" w:color="auto" w:fill="auto"/>
            <w:vAlign w:val="center"/>
          </w:tcPr>
          <w:p w14:paraId="1429DD85"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57A06D30" w14:textId="77777777">
        <w:trPr>
          <w:jc w:val="center"/>
        </w:trPr>
        <w:tc>
          <w:tcPr>
            <w:tcW w:w="1772" w:type="dxa"/>
            <w:shd w:val="clear" w:color="auto" w:fill="auto"/>
            <w:vAlign w:val="center"/>
          </w:tcPr>
          <w:p w14:paraId="6F5206A4"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38D5B438"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796F9EE2"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建（构）筑物结构类</w:t>
            </w:r>
          </w:p>
        </w:tc>
        <w:tc>
          <w:tcPr>
            <w:tcW w:w="5159" w:type="dxa"/>
            <w:shd w:val="clear" w:color="auto" w:fill="auto"/>
            <w:vAlign w:val="center"/>
          </w:tcPr>
          <w:p w14:paraId="4A2F3C70"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危险化学品专用仓库的墙体和结构不规范：</w:t>
            </w:r>
          </w:p>
          <w:p w14:paraId="112E63BD" w14:textId="77777777" w:rsidR="00667D96" w:rsidRDefault="00000000">
            <w:pPr>
              <w:pStyle w:val="ae"/>
              <w:widowControl/>
              <w:numPr>
                <w:ilvl w:val="0"/>
                <w:numId w:val="27"/>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危险化学品专用仓库的墙体未采用不燃烧材料的实体墙；</w:t>
            </w:r>
          </w:p>
          <w:p w14:paraId="3BB51557" w14:textId="77777777" w:rsidR="00667D96" w:rsidRDefault="00000000">
            <w:pPr>
              <w:pStyle w:val="ae"/>
              <w:widowControl/>
              <w:numPr>
                <w:ilvl w:val="0"/>
                <w:numId w:val="27"/>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危险化学品专用仓库的建筑物构架未根据危险化学品的类别和危险等级相应的采用木结构、钢结构或装配式钢筋混凝土结构。</w:t>
            </w:r>
          </w:p>
        </w:tc>
        <w:tc>
          <w:tcPr>
            <w:tcW w:w="5387" w:type="dxa"/>
            <w:shd w:val="clear" w:color="auto" w:fill="auto"/>
            <w:vAlign w:val="center"/>
          </w:tcPr>
          <w:p w14:paraId="2D006F9E"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5部分:危险化学品经营企业》第3.2.12条；</w:t>
            </w:r>
          </w:p>
          <w:p w14:paraId="04C6BF0B" w14:textId="029C2EBA"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DB11/755-2010《危险化学品仓库建设及储存安全规范》第4.1.1条</w:t>
            </w:r>
            <w:r w:rsidR="00FD7B6B">
              <w:rPr>
                <w:rFonts w:ascii="仿宋_GB2312" w:eastAsia="仿宋_GB2312" w:hAnsiTheme="minorEastAsia" w:hint="eastAsia"/>
                <w:sz w:val="20"/>
                <w:szCs w:val="20"/>
                <w:lang w:bidi="ar"/>
              </w:rPr>
              <w:t>；</w:t>
            </w:r>
          </w:p>
          <w:p w14:paraId="579BB6C7" w14:textId="77777777"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GB 18265-2019《危险化学品经营企业安全技术基本要求》第4.2.1条</w:t>
            </w:r>
          </w:p>
        </w:tc>
        <w:tc>
          <w:tcPr>
            <w:tcW w:w="850" w:type="dxa"/>
            <w:shd w:val="clear" w:color="auto" w:fill="auto"/>
            <w:vAlign w:val="center"/>
          </w:tcPr>
          <w:p w14:paraId="0BBFC976"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5E5522E7" w14:textId="77777777">
        <w:trPr>
          <w:jc w:val="center"/>
        </w:trPr>
        <w:tc>
          <w:tcPr>
            <w:tcW w:w="1772" w:type="dxa"/>
            <w:shd w:val="clear" w:color="auto" w:fill="auto"/>
            <w:vAlign w:val="center"/>
          </w:tcPr>
          <w:p w14:paraId="4089A28E"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7B2DEC70"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2BD47023"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建（构）筑物结构类</w:t>
            </w:r>
          </w:p>
        </w:tc>
        <w:tc>
          <w:tcPr>
            <w:tcW w:w="5159" w:type="dxa"/>
            <w:shd w:val="clear" w:color="auto" w:fill="auto"/>
            <w:vAlign w:val="center"/>
          </w:tcPr>
          <w:p w14:paraId="0FDEB47A"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危险化学品仓库窗户设置不规范：</w:t>
            </w:r>
          </w:p>
          <w:p w14:paraId="6DBE63EA" w14:textId="77777777" w:rsidR="00667D96" w:rsidRDefault="00000000">
            <w:pPr>
              <w:pStyle w:val="ae"/>
              <w:widowControl/>
              <w:numPr>
                <w:ilvl w:val="0"/>
                <w:numId w:val="28"/>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未设置高窗；</w:t>
            </w:r>
          </w:p>
          <w:p w14:paraId="3C0BFFAB" w14:textId="77777777" w:rsidR="00667D96" w:rsidRDefault="00000000">
            <w:pPr>
              <w:pStyle w:val="ae"/>
              <w:widowControl/>
              <w:numPr>
                <w:ilvl w:val="0"/>
                <w:numId w:val="28"/>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窗上未安装防护铁栏；</w:t>
            </w:r>
          </w:p>
          <w:p w14:paraId="335C201C" w14:textId="77777777" w:rsidR="00667D96" w:rsidRDefault="00000000">
            <w:pPr>
              <w:pStyle w:val="ae"/>
              <w:widowControl/>
              <w:numPr>
                <w:ilvl w:val="0"/>
                <w:numId w:val="28"/>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窗户未采取避光和防雨措施。</w:t>
            </w:r>
          </w:p>
        </w:tc>
        <w:tc>
          <w:tcPr>
            <w:tcW w:w="5387" w:type="dxa"/>
            <w:shd w:val="clear" w:color="auto" w:fill="auto"/>
            <w:vAlign w:val="center"/>
          </w:tcPr>
          <w:p w14:paraId="7048959B"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5部分:危险化学品经营企业》第3.2.13条；</w:t>
            </w:r>
          </w:p>
          <w:p w14:paraId="2BA0476F" w14:textId="77777777" w:rsidR="00667D96" w:rsidRDefault="00000000">
            <w:pPr>
              <w:widowControl/>
              <w:adjustRightInd w:val="0"/>
              <w:snapToGrid w:val="0"/>
              <w:jc w:val="left"/>
              <w:rPr>
                <w:rFonts w:ascii="仿宋_GB2312" w:eastAsia="仿宋_GB2312" w:hAnsiTheme="minorEastAsia"/>
                <w:sz w:val="20"/>
                <w:szCs w:val="20"/>
              </w:rPr>
            </w:pPr>
            <w:r>
              <w:rPr>
                <w:rFonts w:ascii="仿宋_GB2312" w:eastAsia="仿宋_GB2312" w:hAnsiTheme="minorEastAsia" w:hint="eastAsia"/>
                <w:sz w:val="20"/>
                <w:szCs w:val="20"/>
                <w:lang w:bidi="ar"/>
              </w:rPr>
              <w:t>DB11/755-2010《危险化学品仓库建设及储存安全规范》第4.1.2条</w:t>
            </w:r>
          </w:p>
        </w:tc>
        <w:tc>
          <w:tcPr>
            <w:tcW w:w="850" w:type="dxa"/>
            <w:shd w:val="clear" w:color="auto" w:fill="auto"/>
            <w:vAlign w:val="center"/>
          </w:tcPr>
          <w:p w14:paraId="3EE124FF"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C5B848C" w14:textId="77777777">
        <w:trPr>
          <w:jc w:val="center"/>
        </w:trPr>
        <w:tc>
          <w:tcPr>
            <w:tcW w:w="1772" w:type="dxa"/>
            <w:shd w:val="clear" w:color="auto" w:fill="auto"/>
            <w:vAlign w:val="center"/>
          </w:tcPr>
          <w:p w14:paraId="0328D0B6"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4FDB92F5"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35A1ADBA"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建（构）筑物结构类</w:t>
            </w:r>
          </w:p>
        </w:tc>
        <w:tc>
          <w:tcPr>
            <w:tcW w:w="5159" w:type="dxa"/>
            <w:shd w:val="clear" w:color="auto" w:fill="auto"/>
            <w:vAlign w:val="center"/>
          </w:tcPr>
          <w:p w14:paraId="1692988E"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危险化学品仓库设置不规范：</w:t>
            </w:r>
          </w:p>
          <w:p w14:paraId="10F34D37" w14:textId="77777777" w:rsidR="00667D96" w:rsidRDefault="00000000">
            <w:pPr>
              <w:pStyle w:val="ae"/>
              <w:widowControl/>
              <w:numPr>
                <w:ilvl w:val="0"/>
                <w:numId w:val="29"/>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地面不防潮、不平整、不坚实；</w:t>
            </w:r>
          </w:p>
          <w:p w14:paraId="60E5F159" w14:textId="77777777" w:rsidR="00667D96" w:rsidRDefault="00000000">
            <w:pPr>
              <w:pStyle w:val="ae"/>
              <w:widowControl/>
              <w:numPr>
                <w:ilvl w:val="0"/>
                <w:numId w:val="29"/>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可能释放可燃性气体或蒸气的房间地面未采用不发火花的地面；</w:t>
            </w:r>
          </w:p>
          <w:p w14:paraId="7068D046" w14:textId="77777777" w:rsidR="00667D96" w:rsidRDefault="00000000">
            <w:pPr>
              <w:pStyle w:val="ae"/>
              <w:widowControl/>
              <w:numPr>
                <w:ilvl w:val="0"/>
                <w:numId w:val="29"/>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储存腐蚀性危险化学品仓库的地面、踢脚不防腐。</w:t>
            </w:r>
          </w:p>
        </w:tc>
        <w:tc>
          <w:tcPr>
            <w:tcW w:w="5387" w:type="dxa"/>
            <w:shd w:val="clear" w:color="auto" w:fill="auto"/>
            <w:vAlign w:val="center"/>
          </w:tcPr>
          <w:p w14:paraId="000B11AF"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5部分:危险化学品经营企业》第3.2.15条；</w:t>
            </w:r>
          </w:p>
          <w:p w14:paraId="43B20A9D"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18265-2019《危险化学品经营企业安全技术基本要求》第4.2.3条；</w:t>
            </w:r>
          </w:p>
          <w:p w14:paraId="204E110A" w14:textId="77777777" w:rsidR="00667D96" w:rsidRDefault="00000000">
            <w:pPr>
              <w:widowControl/>
              <w:adjustRightInd w:val="0"/>
              <w:snapToGrid w:val="0"/>
              <w:jc w:val="left"/>
              <w:rPr>
                <w:rFonts w:ascii="仿宋_GB2312" w:eastAsia="仿宋_GB2312" w:hAnsiTheme="minorEastAsia"/>
                <w:sz w:val="20"/>
                <w:szCs w:val="20"/>
              </w:rPr>
            </w:pPr>
            <w:r>
              <w:rPr>
                <w:rFonts w:ascii="仿宋_GB2312" w:eastAsia="仿宋_GB2312" w:hAnsiTheme="minorEastAsia" w:hint="eastAsia"/>
                <w:sz w:val="20"/>
                <w:szCs w:val="20"/>
                <w:lang w:bidi="ar"/>
              </w:rPr>
              <w:t>DB11/755-2010《危险化学品仓库建设及储存安全规范》第4.3.8条</w:t>
            </w:r>
          </w:p>
        </w:tc>
        <w:tc>
          <w:tcPr>
            <w:tcW w:w="850" w:type="dxa"/>
            <w:shd w:val="clear" w:color="auto" w:fill="auto"/>
            <w:vAlign w:val="center"/>
          </w:tcPr>
          <w:p w14:paraId="6DF0723D"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742A04EA" w14:textId="77777777">
        <w:trPr>
          <w:jc w:val="center"/>
        </w:trPr>
        <w:tc>
          <w:tcPr>
            <w:tcW w:w="1772" w:type="dxa"/>
            <w:shd w:val="clear" w:color="auto" w:fill="auto"/>
            <w:vAlign w:val="center"/>
          </w:tcPr>
          <w:p w14:paraId="1DF8C867"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6C2CCD37"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0DC9A0DC"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建（构）筑物结构类</w:t>
            </w:r>
          </w:p>
        </w:tc>
        <w:tc>
          <w:tcPr>
            <w:tcW w:w="5159" w:type="dxa"/>
            <w:shd w:val="clear" w:color="auto" w:fill="auto"/>
            <w:vAlign w:val="center"/>
          </w:tcPr>
          <w:p w14:paraId="0B2CBE5D"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分装厂房的耐火等级不符合规范要求。</w:t>
            </w:r>
          </w:p>
        </w:tc>
        <w:tc>
          <w:tcPr>
            <w:tcW w:w="5387" w:type="dxa"/>
            <w:shd w:val="clear" w:color="auto" w:fill="auto"/>
            <w:vAlign w:val="center"/>
          </w:tcPr>
          <w:p w14:paraId="4E8FB03B"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1250-2015《危险化学品经营企业分装作业安全管理规范》第4.5条；</w:t>
            </w:r>
          </w:p>
          <w:p w14:paraId="796894FB" w14:textId="0096A219"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50016</w:t>
            </w:r>
            <w:r w:rsidR="00FD7B6B">
              <w:rPr>
                <w:rFonts w:ascii="仿宋_GB2312" w:eastAsia="仿宋_GB2312" w:hAnsiTheme="minorEastAsia" w:hint="eastAsia"/>
                <w:sz w:val="20"/>
                <w:szCs w:val="20"/>
                <w:lang w:bidi="ar"/>
              </w:rPr>
              <w:t>-</w:t>
            </w:r>
            <w:r>
              <w:rPr>
                <w:rFonts w:ascii="仿宋_GB2312" w:eastAsia="仿宋_GB2312" w:hAnsiTheme="minorEastAsia" w:hint="eastAsia"/>
                <w:sz w:val="20"/>
                <w:szCs w:val="20"/>
                <w:lang w:bidi="ar"/>
              </w:rPr>
              <w:t>2014《建筑设计防火规范》</w:t>
            </w:r>
            <w:r w:rsidR="00FD7B6B">
              <w:rPr>
                <w:rFonts w:ascii="仿宋_GB2312" w:eastAsia="仿宋_GB2312" w:hAnsiTheme="minorEastAsia" w:hint="eastAsia"/>
                <w:sz w:val="20"/>
                <w:szCs w:val="20"/>
                <w:lang w:bidi="ar"/>
              </w:rPr>
              <w:t>第</w:t>
            </w:r>
            <w:r>
              <w:rPr>
                <w:rFonts w:ascii="仿宋_GB2312" w:eastAsia="仿宋_GB2312" w:hAnsiTheme="minorEastAsia" w:hint="eastAsia"/>
                <w:sz w:val="20"/>
                <w:szCs w:val="20"/>
                <w:lang w:bidi="ar"/>
              </w:rPr>
              <w:t>3.2.7</w:t>
            </w:r>
            <w:r w:rsidR="00FD7B6B">
              <w:rPr>
                <w:rFonts w:ascii="仿宋_GB2312" w:eastAsia="仿宋_GB2312" w:hAnsiTheme="minorEastAsia" w:hint="eastAsia"/>
                <w:sz w:val="20"/>
                <w:szCs w:val="20"/>
                <w:lang w:bidi="ar"/>
              </w:rPr>
              <w:t>条</w:t>
            </w:r>
          </w:p>
        </w:tc>
        <w:tc>
          <w:tcPr>
            <w:tcW w:w="850" w:type="dxa"/>
            <w:shd w:val="clear" w:color="auto" w:fill="auto"/>
            <w:vAlign w:val="center"/>
          </w:tcPr>
          <w:p w14:paraId="3C286150"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77460110" w14:textId="77777777">
        <w:trPr>
          <w:jc w:val="center"/>
        </w:trPr>
        <w:tc>
          <w:tcPr>
            <w:tcW w:w="1772" w:type="dxa"/>
            <w:shd w:val="clear" w:color="auto" w:fill="auto"/>
            <w:vAlign w:val="center"/>
          </w:tcPr>
          <w:p w14:paraId="0B0B7075"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0E5FE43"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22582E4D"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建（构）筑物结构类</w:t>
            </w:r>
          </w:p>
        </w:tc>
        <w:tc>
          <w:tcPr>
            <w:tcW w:w="5159" w:type="dxa"/>
            <w:shd w:val="clear" w:color="auto" w:fill="auto"/>
            <w:vAlign w:val="center"/>
          </w:tcPr>
          <w:p w14:paraId="2BF51145"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危险化学品分装厂房设置不规范：</w:t>
            </w:r>
          </w:p>
          <w:p w14:paraId="73A460FA" w14:textId="77777777" w:rsidR="00667D96" w:rsidRDefault="00000000">
            <w:pPr>
              <w:pStyle w:val="ae"/>
              <w:widowControl/>
              <w:numPr>
                <w:ilvl w:val="0"/>
                <w:numId w:val="30"/>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有爆炸危险的甲、乙类分装厂房未独立设置，或未采用敞开式或半敞开式；</w:t>
            </w:r>
          </w:p>
          <w:p w14:paraId="042939A8" w14:textId="77777777" w:rsidR="00667D96" w:rsidRDefault="00000000">
            <w:pPr>
              <w:pStyle w:val="ae"/>
              <w:widowControl/>
              <w:numPr>
                <w:ilvl w:val="0"/>
                <w:numId w:val="30"/>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封闭式厂房未设置泄压设施；</w:t>
            </w:r>
          </w:p>
          <w:p w14:paraId="3C95859F" w14:textId="77777777" w:rsidR="00667D96" w:rsidRDefault="00000000">
            <w:pPr>
              <w:pStyle w:val="ae"/>
              <w:widowControl/>
              <w:numPr>
                <w:ilvl w:val="0"/>
                <w:numId w:val="30"/>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泄压设施未采用轻质屋面板、轻质墙体和易于泄压的门、窗等，未采用安全玻璃等在爆炸时不产生尖锐碎片的材料；</w:t>
            </w:r>
          </w:p>
          <w:p w14:paraId="4F340951" w14:textId="77777777" w:rsidR="00667D96" w:rsidRDefault="00000000">
            <w:pPr>
              <w:pStyle w:val="ae"/>
              <w:widowControl/>
              <w:numPr>
                <w:ilvl w:val="0"/>
                <w:numId w:val="30"/>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甲、乙类分装厂房未采用不发生火花的地面，地面不平整、不坚实；</w:t>
            </w:r>
          </w:p>
          <w:p w14:paraId="1A563920" w14:textId="77777777" w:rsidR="00667D96" w:rsidRDefault="00000000">
            <w:pPr>
              <w:pStyle w:val="ae"/>
              <w:widowControl/>
              <w:numPr>
                <w:ilvl w:val="0"/>
                <w:numId w:val="30"/>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腐蚀性化学品分装厂房的地面、踢脚不防腐。</w:t>
            </w:r>
          </w:p>
        </w:tc>
        <w:tc>
          <w:tcPr>
            <w:tcW w:w="5387" w:type="dxa"/>
            <w:shd w:val="clear" w:color="auto" w:fill="auto"/>
            <w:vAlign w:val="center"/>
          </w:tcPr>
          <w:p w14:paraId="78DA4C26"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1250-2015《危险化学品经营企业分装作业安全管理规范》第4.6条、第4.7条；</w:t>
            </w:r>
          </w:p>
          <w:p w14:paraId="69A8519A" w14:textId="3311B6F0"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18265-2019《危险化学品经营企业安全技术基本要求》</w:t>
            </w:r>
            <w:r w:rsidR="00096288">
              <w:rPr>
                <w:rFonts w:ascii="仿宋_GB2312" w:eastAsia="仿宋_GB2312" w:hAnsiTheme="minorEastAsia" w:hint="eastAsia"/>
                <w:sz w:val="20"/>
                <w:szCs w:val="20"/>
                <w:lang w:bidi="ar"/>
              </w:rPr>
              <w:t>第</w:t>
            </w:r>
            <w:r w:rsidR="00096288">
              <w:rPr>
                <w:rFonts w:ascii="仿宋_GB2312" w:eastAsia="仿宋_GB2312" w:hAnsiTheme="minorEastAsia"/>
                <w:sz w:val="20"/>
                <w:szCs w:val="20"/>
                <w:lang w:bidi="ar"/>
              </w:rPr>
              <w:t>5.2.4</w:t>
            </w:r>
            <w:r w:rsidR="00096288">
              <w:rPr>
                <w:rFonts w:ascii="仿宋_GB2312" w:eastAsia="仿宋_GB2312" w:hAnsiTheme="minorEastAsia" w:hint="eastAsia"/>
                <w:sz w:val="20"/>
                <w:szCs w:val="20"/>
                <w:lang w:bidi="ar"/>
              </w:rPr>
              <w:t>条</w:t>
            </w:r>
          </w:p>
        </w:tc>
        <w:tc>
          <w:tcPr>
            <w:tcW w:w="850" w:type="dxa"/>
            <w:shd w:val="clear" w:color="auto" w:fill="auto"/>
            <w:vAlign w:val="center"/>
          </w:tcPr>
          <w:p w14:paraId="794F6E43"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4D920026" w14:textId="77777777">
        <w:trPr>
          <w:jc w:val="center"/>
        </w:trPr>
        <w:tc>
          <w:tcPr>
            <w:tcW w:w="1772" w:type="dxa"/>
            <w:shd w:val="clear" w:color="auto" w:fill="auto"/>
            <w:vAlign w:val="center"/>
          </w:tcPr>
          <w:p w14:paraId="53A3C569"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4CD93E10"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452EBB63"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安全出口及疏散通道类</w:t>
            </w:r>
          </w:p>
        </w:tc>
        <w:tc>
          <w:tcPr>
            <w:tcW w:w="5159" w:type="dxa"/>
            <w:shd w:val="clear" w:color="auto" w:fill="auto"/>
            <w:vAlign w:val="center"/>
          </w:tcPr>
          <w:p w14:paraId="2CD79B0F"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危险化学品仓库的安全出口设置不规范：</w:t>
            </w:r>
          </w:p>
          <w:p w14:paraId="66645CF9" w14:textId="77777777" w:rsidR="00667D96" w:rsidRDefault="00000000">
            <w:pPr>
              <w:pStyle w:val="ae"/>
              <w:widowControl/>
              <w:numPr>
                <w:ilvl w:val="0"/>
                <w:numId w:val="3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仓库安全出口未分散布置，相邻两出口距离小于5m；</w:t>
            </w:r>
          </w:p>
          <w:p w14:paraId="334FA415" w14:textId="77777777" w:rsidR="00667D96" w:rsidRDefault="00000000">
            <w:pPr>
              <w:pStyle w:val="ae"/>
              <w:widowControl/>
              <w:numPr>
                <w:ilvl w:val="0"/>
                <w:numId w:val="3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 xml:space="preserve">每座仓库少于 2个（当一座仓2库的占地面积不大于 300 </w:t>
            </w:r>
            <w:r>
              <w:rPr>
                <w:rFonts w:ascii="Segoe UI Symbol" w:eastAsia="Segoe UI Symbol" w:hAnsi="Segoe UI Symbol" w:cs="Segoe UI Symbol" w:hint="eastAsia"/>
                <w:kern w:val="0"/>
                <w:sz w:val="20"/>
                <w:szCs w:val="20"/>
                <w:lang w:bidi="ar"/>
              </w:rPr>
              <w:t>㎡</w:t>
            </w:r>
            <w:r>
              <w:rPr>
                <w:rFonts w:ascii="仿宋_GB2312" w:eastAsia="仿宋_GB2312" w:hAnsi="仿宋_GB2312" w:cs="仿宋_GB2312" w:hint="eastAsia"/>
                <w:kern w:val="0"/>
                <w:sz w:val="20"/>
                <w:szCs w:val="20"/>
                <w:lang w:bidi="ar"/>
              </w:rPr>
              <w:t>时，可只设置一个安全出口）；</w:t>
            </w:r>
          </w:p>
          <w:p w14:paraId="11569B7D" w14:textId="77777777" w:rsidR="00667D96" w:rsidRDefault="00000000">
            <w:pPr>
              <w:pStyle w:val="ae"/>
              <w:widowControl/>
              <w:numPr>
                <w:ilvl w:val="0"/>
                <w:numId w:val="31"/>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 xml:space="preserve">仓库内每个防火分区通向疏散通道、楼梯或室外的出口少于 2个（当防火分区2的建筑面积不大于 100 </w:t>
            </w:r>
            <w:r>
              <w:rPr>
                <w:rFonts w:ascii="Segoe UI Symbol" w:eastAsia="Segoe UI Symbol" w:hAnsi="Segoe UI Symbol" w:cs="Segoe UI Symbol" w:hint="eastAsia"/>
                <w:kern w:val="0"/>
                <w:sz w:val="20"/>
                <w:szCs w:val="20"/>
                <w:lang w:bidi="ar"/>
              </w:rPr>
              <w:t>㎡</w:t>
            </w:r>
            <w:r>
              <w:rPr>
                <w:rFonts w:ascii="仿宋_GB2312" w:eastAsia="仿宋_GB2312" w:hAnsi="仿宋_GB2312" w:cs="仿宋_GB2312" w:hint="eastAsia"/>
                <w:kern w:val="0"/>
                <w:sz w:val="20"/>
                <w:szCs w:val="20"/>
                <w:lang w:bidi="ar"/>
              </w:rPr>
              <w:t>时，可设置</w:t>
            </w:r>
            <w:r>
              <w:rPr>
                <w:rFonts w:ascii="仿宋_GB2312" w:eastAsia="仿宋_GB2312" w:hAnsiTheme="minorEastAsia" w:cs="宋体" w:hint="eastAsia"/>
                <w:kern w:val="0"/>
                <w:sz w:val="20"/>
                <w:szCs w:val="20"/>
                <w:lang w:bidi="ar"/>
              </w:rPr>
              <w:t xml:space="preserve"> 1个出口。）</w:t>
            </w:r>
          </w:p>
        </w:tc>
        <w:tc>
          <w:tcPr>
            <w:tcW w:w="5387" w:type="dxa"/>
            <w:shd w:val="clear" w:color="auto" w:fill="auto"/>
            <w:vAlign w:val="center"/>
          </w:tcPr>
          <w:p w14:paraId="4297C66E" w14:textId="49A3E104"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5部分:危险化学品经营企业》第3.2.10条</w:t>
            </w:r>
            <w:r w:rsidR="00096288">
              <w:rPr>
                <w:rFonts w:ascii="仿宋_GB2312" w:eastAsia="仿宋_GB2312" w:hAnsiTheme="minorEastAsia" w:hint="eastAsia"/>
                <w:sz w:val="20"/>
                <w:szCs w:val="20"/>
                <w:lang w:bidi="ar"/>
              </w:rPr>
              <w:t>；</w:t>
            </w:r>
          </w:p>
          <w:p w14:paraId="53A43065" w14:textId="77777777"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GB 50016-2014《建筑设计防火规范》第3.8.1条、3.8.2条</w:t>
            </w:r>
          </w:p>
        </w:tc>
        <w:tc>
          <w:tcPr>
            <w:tcW w:w="850" w:type="dxa"/>
            <w:shd w:val="clear" w:color="auto" w:fill="auto"/>
            <w:vAlign w:val="center"/>
          </w:tcPr>
          <w:p w14:paraId="5CE162A3"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B23A454" w14:textId="77777777">
        <w:trPr>
          <w:jc w:val="center"/>
        </w:trPr>
        <w:tc>
          <w:tcPr>
            <w:tcW w:w="1772" w:type="dxa"/>
            <w:shd w:val="clear" w:color="auto" w:fill="auto"/>
            <w:vAlign w:val="center"/>
          </w:tcPr>
          <w:p w14:paraId="751C9216"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641D3F7D"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51199505"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安全出口及疏散通道类</w:t>
            </w:r>
          </w:p>
        </w:tc>
        <w:tc>
          <w:tcPr>
            <w:tcW w:w="5159" w:type="dxa"/>
            <w:shd w:val="clear" w:color="auto" w:fill="auto"/>
            <w:vAlign w:val="center"/>
          </w:tcPr>
          <w:p w14:paraId="5D76CF42"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危险化学品仓库门未根据化学品性质相应采取具有防火、防雷、防静电、防腐、不产生火花等功能的单一或复合材料制成，门未向疏散方向开启。</w:t>
            </w:r>
          </w:p>
        </w:tc>
        <w:tc>
          <w:tcPr>
            <w:tcW w:w="5387" w:type="dxa"/>
            <w:shd w:val="clear" w:color="auto" w:fill="auto"/>
            <w:vAlign w:val="center"/>
          </w:tcPr>
          <w:p w14:paraId="31FA0D24"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5部分:危险化学品经营企业》第3.2.14条；</w:t>
            </w:r>
          </w:p>
          <w:p w14:paraId="60D6E2B6"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DB11/755-2010《危险化学品仓库建设及储存安全规范》第4.1.3条</w:t>
            </w:r>
          </w:p>
        </w:tc>
        <w:tc>
          <w:tcPr>
            <w:tcW w:w="850" w:type="dxa"/>
            <w:shd w:val="clear" w:color="auto" w:fill="auto"/>
            <w:vAlign w:val="center"/>
          </w:tcPr>
          <w:p w14:paraId="2EC448A5"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60A6DFE1" w14:textId="77777777">
        <w:trPr>
          <w:jc w:val="center"/>
        </w:trPr>
        <w:tc>
          <w:tcPr>
            <w:tcW w:w="1772" w:type="dxa"/>
            <w:shd w:val="clear" w:color="auto" w:fill="auto"/>
            <w:vAlign w:val="center"/>
          </w:tcPr>
          <w:p w14:paraId="616401CE"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4A62D20"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061E170B"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安全出口及疏散通道类</w:t>
            </w:r>
          </w:p>
        </w:tc>
        <w:tc>
          <w:tcPr>
            <w:tcW w:w="5159" w:type="dxa"/>
            <w:shd w:val="clear" w:color="auto" w:fill="auto"/>
            <w:vAlign w:val="center"/>
          </w:tcPr>
          <w:p w14:paraId="4B66C27C"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分装厂房未设有符合紧急疏散要求、标志明显、保持畅通的出口。安全疏散门未向外开启。</w:t>
            </w:r>
          </w:p>
        </w:tc>
        <w:tc>
          <w:tcPr>
            <w:tcW w:w="5387" w:type="dxa"/>
            <w:shd w:val="clear" w:color="auto" w:fill="auto"/>
            <w:vAlign w:val="center"/>
          </w:tcPr>
          <w:p w14:paraId="403FDF72"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B11/T 1250-2015《危险化学品经营企业分装作业安全管理规范》第4.10条</w:t>
            </w:r>
          </w:p>
        </w:tc>
        <w:tc>
          <w:tcPr>
            <w:tcW w:w="850" w:type="dxa"/>
            <w:shd w:val="clear" w:color="auto" w:fill="auto"/>
            <w:vAlign w:val="center"/>
          </w:tcPr>
          <w:p w14:paraId="6D6BEE6E"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1A7BDAA8" w14:textId="77777777">
        <w:trPr>
          <w:jc w:val="center"/>
        </w:trPr>
        <w:tc>
          <w:tcPr>
            <w:tcW w:w="1772" w:type="dxa"/>
            <w:shd w:val="clear" w:color="auto" w:fill="auto"/>
            <w:vAlign w:val="center"/>
          </w:tcPr>
          <w:p w14:paraId="7CE7A68F"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5DEDA466"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00C8BEFD"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bidi="ar"/>
              </w:rPr>
              <w:t>安全出口及疏散通道类</w:t>
            </w:r>
          </w:p>
        </w:tc>
        <w:tc>
          <w:tcPr>
            <w:tcW w:w="5159" w:type="dxa"/>
            <w:shd w:val="clear" w:color="auto" w:fill="auto"/>
            <w:vAlign w:val="center"/>
          </w:tcPr>
          <w:p w14:paraId="3053B2E6"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生产经营场所和员工宿舍未设置符合紧急疏散要求、标志明显、保持畅通的出口、疏散通道。或者占用、锁闭、封堵生产经营场所或者员工宿舍的出口、疏散通道。</w:t>
            </w:r>
          </w:p>
        </w:tc>
        <w:tc>
          <w:tcPr>
            <w:tcW w:w="5387" w:type="dxa"/>
            <w:shd w:val="clear" w:color="auto" w:fill="auto"/>
            <w:vAlign w:val="center"/>
          </w:tcPr>
          <w:p w14:paraId="1602E3DF"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《中华人民共和国安全生产法》第四十二条；《中华人民共和国消防法》第十六条、第二十八条；</w:t>
            </w:r>
          </w:p>
        </w:tc>
        <w:tc>
          <w:tcPr>
            <w:tcW w:w="850" w:type="dxa"/>
            <w:shd w:val="clear" w:color="auto" w:fill="auto"/>
            <w:vAlign w:val="center"/>
          </w:tcPr>
          <w:p w14:paraId="07EC977A"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1AB36224" w14:textId="77777777">
        <w:trPr>
          <w:jc w:val="center"/>
        </w:trPr>
        <w:tc>
          <w:tcPr>
            <w:tcW w:w="1772" w:type="dxa"/>
            <w:shd w:val="clear" w:color="auto" w:fill="auto"/>
            <w:vAlign w:val="center"/>
          </w:tcPr>
          <w:p w14:paraId="1C802B20"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7C031C69"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1E65F008"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sz w:val="20"/>
                <w:szCs w:val="20"/>
                <w:lang w:bidi="ar"/>
              </w:rPr>
              <w:t>标志及标识类</w:t>
            </w:r>
          </w:p>
        </w:tc>
        <w:tc>
          <w:tcPr>
            <w:tcW w:w="5159" w:type="dxa"/>
            <w:shd w:val="clear" w:color="auto" w:fill="auto"/>
            <w:vAlign w:val="center"/>
          </w:tcPr>
          <w:p w14:paraId="47B612C9"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未在有较大危险因素的生产经营场所（危险化学品库房、作业场所）和有关设施、设备上，设置明显的安全警示标志。</w:t>
            </w:r>
          </w:p>
          <w:p w14:paraId="2EFB857B" w14:textId="77777777" w:rsidR="00667D96" w:rsidRDefault="00000000">
            <w:pPr>
              <w:pStyle w:val="ae"/>
              <w:widowControl/>
              <w:numPr>
                <w:ilvl w:val="0"/>
                <w:numId w:val="32"/>
              </w:numPr>
              <w:adjustRightInd w:val="0"/>
              <w:snapToGrid w:val="0"/>
              <w:ind w:firstLineChars="0"/>
              <w:jc w:val="left"/>
              <w:rPr>
                <w:rFonts w:ascii="仿宋_GB2312" w:eastAsia="仿宋_GB2312" w:hAnsiTheme="minorEastAsia" w:cs="宋体"/>
                <w:kern w:val="0"/>
                <w:sz w:val="20"/>
                <w:szCs w:val="20"/>
                <w:lang w:bidi="ar"/>
              </w:rPr>
            </w:pPr>
            <w:r>
              <w:rPr>
                <w:rFonts w:ascii="仿宋_GB2312" w:eastAsia="仿宋_GB2312" w:hAnsiTheme="minorEastAsia" w:cs="宋体" w:hint="eastAsia"/>
                <w:kern w:val="0"/>
                <w:sz w:val="20"/>
                <w:szCs w:val="20"/>
                <w:lang w:bidi="ar"/>
              </w:rPr>
              <w:t xml:space="preserve">重大危险源现场未设置明显的安全警示标志； </w:t>
            </w:r>
          </w:p>
          <w:p w14:paraId="165CE419" w14:textId="1FA3F520" w:rsidR="00614C81" w:rsidRPr="00614C81" w:rsidRDefault="00000000" w:rsidP="00614C81">
            <w:pPr>
              <w:pStyle w:val="ae"/>
              <w:widowControl/>
              <w:numPr>
                <w:ilvl w:val="0"/>
                <w:numId w:val="32"/>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危险化学品仓库未设置永久性“严禁烟火”“当心中毒”“当心腐蚀”等标志。</w:t>
            </w:r>
          </w:p>
          <w:p w14:paraId="6AAF31C7" w14:textId="33EFECD1" w:rsidR="00667D96" w:rsidRDefault="00000000" w:rsidP="00614C81">
            <w:pPr>
              <w:pStyle w:val="ae"/>
              <w:widowControl/>
              <w:numPr>
                <w:ilvl w:val="0"/>
                <w:numId w:val="32"/>
              </w:numPr>
              <w:adjustRightInd w:val="0"/>
              <w:snapToGrid w:val="0"/>
              <w:ind w:firstLineChars="0"/>
              <w:jc w:val="left"/>
              <w:rPr>
                <w:rFonts w:ascii="仿宋_GB2312" w:eastAsia="仿宋_GB2312" w:hAnsiTheme="minorEastAsia"/>
                <w:sz w:val="20"/>
                <w:szCs w:val="20"/>
                <w:lang w:bidi="ar"/>
              </w:rPr>
            </w:pPr>
            <w:r>
              <w:rPr>
                <w:rFonts w:ascii="仿宋_GB2312" w:eastAsia="仿宋_GB2312" w:hAnsiTheme="minorEastAsia" w:cs="宋体" w:hint="eastAsia"/>
                <w:kern w:val="0"/>
                <w:sz w:val="20"/>
                <w:szCs w:val="20"/>
                <w:lang w:bidi="ar"/>
              </w:rPr>
              <w:t>不能用水、泡沫等灭火的危险化学品库房未在库房外适当位置设置醒目标识。</w:t>
            </w:r>
          </w:p>
        </w:tc>
        <w:tc>
          <w:tcPr>
            <w:tcW w:w="5387" w:type="dxa"/>
            <w:shd w:val="clear" w:color="auto" w:fill="auto"/>
            <w:vAlign w:val="center"/>
          </w:tcPr>
          <w:p w14:paraId="5E15A0FF"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《中华人民共和国特种设备安全法》第第三十五条；</w:t>
            </w:r>
          </w:p>
          <w:p w14:paraId="7ECE3139"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DB11/T 1322.5-2017《安全生产等级评定技术规范 第 5部分:危险化学品经营企业》第3.2.16条；</w:t>
            </w:r>
          </w:p>
          <w:p w14:paraId="474348B3" w14:textId="2EFC2966"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18265-2019《危险化学品经营企业安全技术基本要求》第4.3.7条</w:t>
            </w:r>
            <w:r w:rsidR="00096288">
              <w:rPr>
                <w:rFonts w:ascii="仿宋_GB2312" w:eastAsia="仿宋_GB2312" w:hAnsiTheme="minorEastAsia" w:hint="eastAsia"/>
                <w:sz w:val="20"/>
                <w:szCs w:val="20"/>
                <w:lang w:bidi="ar"/>
              </w:rPr>
              <w:t>；</w:t>
            </w:r>
          </w:p>
          <w:p w14:paraId="7B48D191" w14:textId="77777777"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GB 15603-2022《危险化学品仓库储存通则》第11.2.1条</w:t>
            </w:r>
          </w:p>
        </w:tc>
        <w:tc>
          <w:tcPr>
            <w:tcW w:w="850" w:type="dxa"/>
            <w:shd w:val="clear" w:color="auto" w:fill="auto"/>
            <w:vAlign w:val="center"/>
          </w:tcPr>
          <w:p w14:paraId="339CA003"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4C15215F" w14:textId="77777777">
        <w:trPr>
          <w:jc w:val="center"/>
        </w:trPr>
        <w:tc>
          <w:tcPr>
            <w:tcW w:w="1772" w:type="dxa"/>
            <w:shd w:val="clear" w:color="auto" w:fill="auto"/>
            <w:vAlign w:val="center"/>
          </w:tcPr>
          <w:p w14:paraId="6EC8CAC1"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2817397D"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1E052F21"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hint="eastAsia"/>
                <w:kern w:val="0"/>
                <w:sz w:val="20"/>
                <w:szCs w:val="20"/>
              </w:rPr>
              <w:t>周边环境类</w:t>
            </w:r>
          </w:p>
        </w:tc>
        <w:tc>
          <w:tcPr>
            <w:tcW w:w="5159" w:type="dxa"/>
            <w:shd w:val="clear" w:color="auto" w:fill="auto"/>
            <w:vAlign w:val="center"/>
          </w:tcPr>
          <w:p w14:paraId="47EDB9BD"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甲、乙类库设置在地下或半地下建、构筑物内；员工宿舍设置在仓库内；办公室、休息室等设置在甲、乙类仓库内，或贴邻。</w:t>
            </w:r>
          </w:p>
        </w:tc>
        <w:tc>
          <w:tcPr>
            <w:tcW w:w="5387" w:type="dxa"/>
            <w:shd w:val="clear" w:color="auto" w:fill="auto"/>
            <w:vAlign w:val="center"/>
          </w:tcPr>
          <w:p w14:paraId="05FB5CB5" w14:textId="77777777" w:rsidR="00667D96" w:rsidRDefault="00000000">
            <w:pPr>
              <w:widowControl/>
              <w:adjustRightInd w:val="0"/>
              <w:snapToGrid w:val="0"/>
              <w:jc w:val="left"/>
              <w:rPr>
                <w:rFonts w:ascii="仿宋_GB2312" w:eastAsia="仿宋_GB2312" w:hAnsiTheme="minorEastAsia"/>
                <w:sz w:val="20"/>
                <w:szCs w:val="20"/>
              </w:rPr>
            </w:pPr>
            <w:r>
              <w:rPr>
                <w:rFonts w:ascii="仿宋_GB2312" w:eastAsia="仿宋_GB2312" w:hAnsiTheme="minorEastAsia" w:hint="eastAsia"/>
                <w:sz w:val="20"/>
                <w:szCs w:val="20"/>
                <w:lang w:bidi="ar"/>
              </w:rPr>
              <w:t>DB11/T 1322.5-2017《安全生产等级评定技术规范 第 5部分:危险化学品经营企业》第3.2.2条</w:t>
            </w:r>
          </w:p>
        </w:tc>
        <w:tc>
          <w:tcPr>
            <w:tcW w:w="850" w:type="dxa"/>
            <w:shd w:val="clear" w:color="auto" w:fill="auto"/>
            <w:vAlign w:val="center"/>
          </w:tcPr>
          <w:p w14:paraId="17204574"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3BE67228" w14:textId="77777777">
        <w:trPr>
          <w:jc w:val="center"/>
        </w:trPr>
        <w:tc>
          <w:tcPr>
            <w:tcW w:w="1772" w:type="dxa"/>
            <w:shd w:val="clear" w:color="auto" w:fill="auto"/>
            <w:vAlign w:val="center"/>
          </w:tcPr>
          <w:p w14:paraId="61AE161F"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6E939094"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2E1E7E7E" w14:textId="77777777" w:rsidR="00667D96" w:rsidRDefault="00000000">
            <w:pPr>
              <w:widowControl/>
              <w:adjustRightInd w:val="0"/>
              <w:snapToGrid w:val="0"/>
              <w:jc w:val="center"/>
              <w:rPr>
                <w:rFonts w:ascii="仿宋_GB2312" w:eastAsia="仿宋_GB2312" w:hAnsiTheme="minorEastAsia"/>
                <w:kern w:val="0"/>
                <w:sz w:val="20"/>
                <w:szCs w:val="20"/>
              </w:rPr>
            </w:pPr>
            <w:r>
              <w:rPr>
                <w:rFonts w:ascii="仿宋_GB2312" w:eastAsia="仿宋_GB2312" w:hAnsiTheme="minorEastAsia" w:cs="宋体" w:hint="eastAsia"/>
                <w:kern w:val="0"/>
                <w:sz w:val="20"/>
                <w:szCs w:val="20"/>
              </w:rPr>
              <w:t>周边环境类</w:t>
            </w:r>
          </w:p>
        </w:tc>
        <w:tc>
          <w:tcPr>
            <w:tcW w:w="5159" w:type="dxa"/>
            <w:shd w:val="clear" w:color="auto" w:fill="auto"/>
            <w:vAlign w:val="center"/>
          </w:tcPr>
          <w:p w14:paraId="62E78402"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分装场所上空有穿越架空电力线路。甲类分装厂房和甲、乙类液体灌装区与架空电力线的最近水平距离小于电杆（塔）高度的 1.5倍，丙类液体灌装区与架空电力线的最近水平距离小于电杆（塔）高度的 1.2倍。</w:t>
            </w:r>
          </w:p>
        </w:tc>
        <w:tc>
          <w:tcPr>
            <w:tcW w:w="5387" w:type="dxa"/>
            <w:shd w:val="clear" w:color="auto" w:fill="auto"/>
            <w:vAlign w:val="center"/>
          </w:tcPr>
          <w:p w14:paraId="66C03191"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B11/T 1250-2015《危险化学品经营企业分装作业安全管理规范》第4.11条</w:t>
            </w:r>
          </w:p>
        </w:tc>
        <w:tc>
          <w:tcPr>
            <w:tcW w:w="850" w:type="dxa"/>
            <w:shd w:val="clear" w:color="auto" w:fill="auto"/>
            <w:vAlign w:val="center"/>
          </w:tcPr>
          <w:p w14:paraId="763A76A4"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439220D7" w14:textId="77777777">
        <w:trPr>
          <w:jc w:val="center"/>
        </w:trPr>
        <w:tc>
          <w:tcPr>
            <w:tcW w:w="1772" w:type="dxa"/>
            <w:shd w:val="clear" w:color="auto" w:fill="auto"/>
            <w:vAlign w:val="center"/>
          </w:tcPr>
          <w:p w14:paraId="12B636AF" w14:textId="77777777" w:rsidR="00667D96" w:rsidRDefault="00667D96">
            <w:pPr>
              <w:pStyle w:val="ae"/>
              <w:widowControl/>
              <w:numPr>
                <w:ilvl w:val="0"/>
                <w:numId w:val="1"/>
              </w:numPr>
              <w:adjustRightInd w:val="0"/>
              <w:snapToGrid w:val="0"/>
              <w:ind w:firstLineChars="0"/>
              <w:jc w:val="center"/>
              <w:rPr>
                <w:rFonts w:ascii="仿宋_GB2312" w:eastAsia="仿宋_GB2312" w:hAnsiTheme="minorEastAsia"/>
                <w:sz w:val="20"/>
                <w:szCs w:val="20"/>
              </w:rPr>
            </w:pPr>
          </w:p>
        </w:tc>
        <w:tc>
          <w:tcPr>
            <w:tcW w:w="992" w:type="dxa"/>
            <w:shd w:val="clear" w:color="auto" w:fill="auto"/>
            <w:vAlign w:val="center"/>
          </w:tcPr>
          <w:p w14:paraId="735C9C5B" w14:textId="77777777" w:rsidR="00667D96" w:rsidRDefault="00000000">
            <w:pPr>
              <w:widowControl/>
              <w:adjustRightInd w:val="0"/>
              <w:snapToGrid w:val="0"/>
              <w:jc w:val="center"/>
              <w:rPr>
                <w:rFonts w:ascii="仿宋_GB2312" w:eastAsia="仿宋_GB2312" w:hAnsiTheme="minorEastAsia"/>
                <w:sz w:val="20"/>
                <w:szCs w:val="20"/>
                <w:lang w:eastAsia="zh-TW" w:bidi="ar"/>
              </w:rPr>
            </w:pPr>
            <w:r>
              <w:rPr>
                <w:rFonts w:ascii="仿宋_GB2312" w:eastAsia="仿宋_GB2312" w:hAnsiTheme="minorEastAsia" w:hint="eastAsia"/>
                <w:sz w:val="20"/>
                <w:szCs w:val="20"/>
                <w:lang w:eastAsia="zh-TW" w:bidi="ar"/>
              </w:rPr>
              <w:t>场所环境类</w:t>
            </w:r>
          </w:p>
        </w:tc>
        <w:tc>
          <w:tcPr>
            <w:tcW w:w="1134" w:type="dxa"/>
            <w:shd w:val="clear" w:color="auto" w:fill="auto"/>
            <w:vAlign w:val="center"/>
          </w:tcPr>
          <w:p w14:paraId="42E74585" w14:textId="77777777" w:rsidR="00667D96" w:rsidRDefault="00000000">
            <w:pPr>
              <w:widowControl/>
              <w:adjustRightInd w:val="0"/>
              <w:snapToGrid w:val="0"/>
              <w:jc w:val="center"/>
              <w:rPr>
                <w:rFonts w:ascii="仿宋_GB2312" w:eastAsia="仿宋_GB2312" w:hAnsiTheme="minorEastAsia"/>
                <w:sz w:val="20"/>
                <w:szCs w:val="20"/>
                <w:lang w:bidi="ar"/>
              </w:rPr>
            </w:pPr>
            <w:r>
              <w:rPr>
                <w:rFonts w:ascii="仿宋_GB2312" w:eastAsia="仿宋_GB2312" w:hAnsiTheme="minorEastAsia" w:hint="eastAsia"/>
                <w:sz w:val="20"/>
                <w:szCs w:val="20"/>
                <w:lang w:bidi="ar"/>
              </w:rPr>
              <w:t>周边环境类</w:t>
            </w:r>
          </w:p>
        </w:tc>
        <w:tc>
          <w:tcPr>
            <w:tcW w:w="5159" w:type="dxa"/>
            <w:shd w:val="clear" w:color="auto" w:fill="auto"/>
            <w:vAlign w:val="center"/>
          </w:tcPr>
          <w:p w14:paraId="3D62DFE6"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储存、经营易燃易爆危险品场所与居住场所设置在同一建筑物内(“三合一”场所)；</w:t>
            </w:r>
          </w:p>
          <w:p w14:paraId="15345991"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储存、经营其他物品的场所与居住场所设置在同一建筑物内，未采取实体墙进行防火分隔且无独立疏散设施(“三合一”场所)。</w:t>
            </w:r>
          </w:p>
        </w:tc>
        <w:tc>
          <w:tcPr>
            <w:tcW w:w="5387" w:type="dxa"/>
            <w:shd w:val="clear" w:color="auto" w:fill="auto"/>
            <w:vAlign w:val="center"/>
          </w:tcPr>
          <w:p w14:paraId="145CCF71" w14:textId="1ACD0AD2" w:rsidR="00667D96" w:rsidRDefault="00000000">
            <w:pPr>
              <w:widowControl/>
              <w:adjustRightInd w:val="0"/>
              <w:snapToGrid w:val="0"/>
              <w:ind w:rightChars="40" w:right="84"/>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《中华人民共和国消防法》第十九条第一款</w:t>
            </w:r>
            <w:r w:rsidR="00096288">
              <w:rPr>
                <w:rFonts w:ascii="仿宋_GB2312" w:eastAsia="仿宋_GB2312" w:hAnsiTheme="minorEastAsia" w:hint="eastAsia"/>
                <w:sz w:val="20"/>
                <w:szCs w:val="20"/>
                <w:lang w:bidi="ar"/>
              </w:rPr>
              <w:t>；</w:t>
            </w:r>
          </w:p>
          <w:p w14:paraId="478EEBA1" w14:textId="4724C8D2"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《重大火灾隐患判定方法》第6.2条</w:t>
            </w:r>
            <w:r w:rsidR="00096288">
              <w:rPr>
                <w:rFonts w:ascii="仿宋_GB2312" w:eastAsia="仿宋_GB2312" w:hAnsiTheme="minorEastAsia" w:hint="eastAsia"/>
                <w:sz w:val="20"/>
                <w:szCs w:val="20"/>
                <w:lang w:bidi="ar"/>
              </w:rPr>
              <w:t>；</w:t>
            </w:r>
          </w:p>
          <w:p w14:paraId="50F26790" w14:textId="6938F269" w:rsidR="00667D96" w:rsidRDefault="00000000">
            <w:pPr>
              <w:pStyle w:val="a0"/>
              <w:adjustRightInd w:val="0"/>
              <w:snapToGrid w:val="0"/>
              <w:ind w:firstLineChars="0" w:firstLine="0"/>
              <w:rPr>
                <w:rFonts w:ascii="仿宋_GB2312" w:eastAsia="仿宋_GB2312" w:hAnsiTheme="minorEastAsia"/>
                <w:sz w:val="20"/>
                <w:szCs w:val="20"/>
                <w:lang w:bidi="ar"/>
              </w:rPr>
            </w:pPr>
            <w:r>
              <w:rPr>
                <w:rFonts w:ascii="仿宋_GB2312" w:eastAsia="仿宋_GB2312" w:hAnsiTheme="minorEastAsia" w:hint="eastAsia"/>
                <w:sz w:val="20"/>
                <w:szCs w:val="20"/>
                <w:lang w:bidi="ar"/>
              </w:rPr>
              <w:t>《北京市生产经营单位安全生产主体责任规定》第二十条</w:t>
            </w:r>
            <w:r w:rsidR="00096288">
              <w:rPr>
                <w:rFonts w:ascii="仿宋_GB2312" w:eastAsia="仿宋_GB2312" w:hAnsiTheme="minorEastAsia" w:hint="eastAsia"/>
                <w:sz w:val="20"/>
                <w:szCs w:val="20"/>
                <w:lang w:bidi="ar"/>
              </w:rPr>
              <w:t>；</w:t>
            </w:r>
          </w:p>
          <w:p w14:paraId="7E7BE49D" w14:textId="77777777" w:rsidR="00667D96" w:rsidRDefault="00000000">
            <w:pPr>
              <w:widowControl/>
              <w:adjustRightInd w:val="0"/>
              <w:snapToGrid w:val="0"/>
              <w:jc w:val="left"/>
              <w:rPr>
                <w:rFonts w:ascii="仿宋_GB2312" w:eastAsia="仿宋_GB2312" w:hAnsiTheme="minorEastAsia"/>
                <w:sz w:val="20"/>
                <w:szCs w:val="20"/>
                <w:lang w:bidi="ar"/>
              </w:rPr>
            </w:pPr>
            <w:r>
              <w:rPr>
                <w:rFonts w:ascii="仿宋_GB2312" w:eastAsia="仿宋_GB2312" w:hAnsiTheme="minorEastAsia" w:hint="eastAsia"/>
                <w:sz w:val="20"/>
                <w:szCs w:val="20"/>
                <w:lang w:bidi="ar"/>
              </w:rPr>
              <w:t>GB 50016-2014《建筑设计防火规范》第3.3.9条</w:t>
            </w:r>
          </w:p>
        </w:tc>
        <w:tc>
          <w:tcPr>
            <w:tcW w:w="850" w:type="dxa"/>
            <w:shd w:val="clear" w:color="auto" w:fill="auto"/>
            <w:vAlign w:val="center"/>
          </w:tcPr>
          <w:p w14:paraId="71FE4B0D" w14:textId="77777777" w:rsidR="00667D96" w:rsidRDefault="00667D96">
            <w:pPr>
              <w:widowControl/>
              <w:adjustRightInd w:val="0"/>
              <w:snapToGrid w:val="0"/>
              <w:jc w:val="center"/>
              <w:rPr>
                <w:rFonts w:ascii="仿宋_GB2312" w:eastAsia="仿宋_GB2312" w:hAnsiTheme="minorEastAsia"/>
                <w:kern w:val="0"/>
                <w:sz w:val="20"/>
                <w:szCs w:val="20"/>
              </w:rPr>
            </w:pPr>
          </w:p>
        </w:tc>
      </w:tr>
      <w:tr w:rsidR="00667D96" w14:paraId="7C9949C1" w14:textId="77777777">
        <w:trPr>
          <w:jc w:val="center"/>
        </w:trPr>
        <w:tc>
          <w:tcPr>
            <w:tcW w:w="15294" w:type="dxa"/>
            <w:gridSpan w:val="6"/>
            <w:shd w:val="clear" w:color="auto" w:fill="auto"/>
            <w:vAlign w:val="center"/>
          </w:tcPr>
          <w:p w14:paraId="5802C054" w14:textId="77777777" w:rsidR="00667D96" w:rsidRDefault="00000000">
            <w:pPr>
              <w:widowControl/>
              <w:adjustRightInd w:val="0"/>
              <w:snapToGrid w:val="0"/>
              <w:jc w:val="left"/>
              <w:rPr>
                <w:rFonts w:ascii="仿宋_GB2312" w:eastAsia="仿宋_GB2312" w:hAnsiTheme="minorEastAsia"/>
                <w:kern w:val="0"/>
                <w:sz w:val="20"/>
                <w:szCs w:val="20"/>
              </w:rPr>
            </w:pPr>
            <w:r>
              <w:rPr>
                <w:rFonts w:ascii="仿宋_GB2312" w:eastAsia="仿宋_GB2312" w:hAnsi="等线" w:cs="宋体" w:hint="eastAsia"/>
                <w:color w:val="000000" w:themeColor="text1"/>
                <w:kern w:val="0"/>
                <w:sz w:val="20"/>
                <w:szCs w:val="20"/>
              </w:rPr>
              <w:t>注：加★为化工和危险化学品生产经营单位重大生产安全事故隐患。</w:t>
            </w:r>
          </w:p>
        </w:tc>
      </w:tr>
    </w:tbl>
    <w:p w14:paraId="1FAF58E4" w14:textId="77777777" w:rsidR="00667D96" w:rsidRDefault="00667D96"/>
    <w:sectPr w:rsidR="00667D96">
      <w:footerReference w:type="default" r:id="rId8"/>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AA23" w14:textId="77777777" w:rsidR="00D90554" w:rsidRDefault="00D90554">
      <w:r>
        <w:separator/>
      </w:r>
    </w:p>
  </w:endnote>
  <w:endnote w:type="continuationSeparator" w:id="0">
    <w:p w14:paraId="5443D2E7" w14:textId="77777777" w:rsidR="00D90554" w:rsidRDefault="00D9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Symbol">
    <w:altName w:val="Noto Sans"/>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95905"/>
    </w:sdtPr>
    <w:sdtContent>
      <w:p w14:paraId="50563219" w14:textId="77777777" w:rsidR="00667D96" w:rsidRDefault="00000000">
        <w:pPr>
          <w:pStyle w:val="a6"/>
          <w:jc w:val="center"/>
        </w:pPr>
        <w:r>
          <w:fldChar w:fldCharType="begin"/>
        </w:r>
        <w:r>
          <w:instrText>PAGE   \* MERGEFORMAT</w:instrText>
        </w:r>
        <w:r>
          <w:fldChar w:fldCharType="separate"/>
        </w:r>
        <w:r>
          <w:rPr>
            <w:lang w:val="zh-CN"/>
          </w:rPr>
          <w:t>2</w:t>
        </w:r>
        <w:r>
          <w:fldChar w:fldCharType="end"/>
        </w:r>
      </w:p>
    </w:sdtContent>
  </w:sdt>
  <w:p w14:paraId="15CCC000" w14:textId="77777777" w:rsidR="00667D96" w:rsidRDefault="00667D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0C6D" w14:textId="77777777" w:rsidR="00D90554" w:rsidRDefault="00D90554">
      <w:r>
        <w:separator/>
      </w:r>
    </w:p>
  </w:footnote>
  <w:footnote w:type="continuationSeparator" w:id="0">
    <w:p w14:paraId="63A81D62" w14:textId="77777777" w:rsidR="00D90554" w:rsidRDefault="00D90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261"/>
    <w:multiLevelType w:val="multilevel"/>
    <w:tmpl w:val="07FA2261"/>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08182421"/>
    <w:multiLevelType w:val="multilevel"/>
    <w:tmpl w:val="08182421"/>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085C6608"/>
    <w:multiLevelType w:val="multilevel"/>
    <w:tmpl w:val="085C6608"/>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09A4064E"/>
    <w:multiLevelType w:val="multilevel"/>
    <w:tmpl w:val="09A4064E"/>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15:restartNumberingAfterBreak="0">
    <w:nsid w:val="09E36C5D"/>
    <w:multiLevelType w:val="multilevel"/>
    <w:tmpl w:val="09E36C5D"/>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0F456B67"/>
    <w:multiLevelType w:val="multilevel"/>
    <w:tmpl w:val="0F456B67"/>
    <w:lvl w:ilvl="0">
      <w:start w:val="1"/>
      <mc:AlternateContent>
        <mc:Choice Requires="w14">
          <w:numFmt w:val="custom" w:format="001, 002, 003, ..."/>
        </mc:Choice>
        <mc:Fallback>
          <w:numFmt w:val="decimal"/>
        </mc:Fallback>
      </mc:AlternateContent>
      <w:lvlText w:val="2023.001.05.%1"/>
      <w:lvlJc w:val="left"/>
      <w:pPr>
        <w:ind w:left="0" w:firstLine="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17055524"/>
    <w:multiLevelType w:val="multilevel"/>
    <w:tmpl w:val="17055524"/>
    <w:lvl w:ilvl="0">
      <w:start w:val="1"/>
      <w:numFmt w:val="decimal"/>
      <w:lvlText w:val="%1）"/>
      <w:lvlJc w:val="left"/>
      <w:pPr>
        <w:ind w:left="360" w:hanging="360"/>
      </w:pPr>
      <w:rPr>
        <w:rFonts w:hint="default"/>
        <w:color w:val="auto"/>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7" w15:restartNumberingAfterBreak="0">
    <w:nsid w:val="1DA16AC2"/>
    <w:multiLevelType w:val="multilevel"/>
    <w:tmpl w:val="1DA16AC2"/>
    <w:lvl w:ilvl="0">
      <w:start w:val="1"/>
      <w:numFmt w:val="decimal"/>
      <w:lvlText w:val="%1）"/>
      <w:lvlJc w:val="left"/>
      <w:pPr>
        <w:ind w:left="360" w:hanging="360"/>
      </w:pPr>
      <w:rPr>
        <w:rFonts w:hint="default"/>
        <w:b/>
        <w:bCs/>
        <w:color w:val="auto"/>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8" w15:restartNumberingAfterBreak="0">
    <w:nsid w:val="266C2601"/>
    <w:multiLevelType w:val="multilevel"/>
    <w:tmpl w:val="266C2601"/>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 w15:restartNumberingAfterBreak="0">
    <w:nsid w:val="2A832DB9"/>
    <w:multiLevelType w:val="multilevel"/>
    <w:tmpl w:val="2A832DB9"/>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0" w15:restartNumberingAfterBreak="0">
    <w:nsid w:val="2EC90010"/>
    <w:multiLevelType w:val="multilevel"/>
    <w:tmpl w:val="2EC90010"/>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33417354"/>
    <w:multiLevelType w:val="multilevel"/>
    <w:tmpl w:val="33417354"/>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2" w15:restartNumberingAfterBreak="0">
    <w:nsid w:val="3D260EF4"/>
    <w:multiLevelType w:val="multilevel"/>
    <w:tmpl w:val="3D260EF4"/>
    <w:lvl w:ilvl="0">
      <w:start w:val="1"/>
      <w:numFmt w:val="decimal"/>
      <w:lvlText w:val="%1）"/>
      <w:lvlJc w:val="left"/>
      <w:pPr>
        <w:ind w:left="360" w:hanging="360"/>
      </w:pPr>
      <w:rPr>
        <w:rFonts w:hint="default"/>
        <w:b/>
        <w:bCs/>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3" w15:restartNumberingAfterBreak="0">
    <w:nsid w:val="4A9448F0"/>
    <w:multiLevelType w:val="multilevel"/>
    <w:tmpl w:val="4A9448F0"/>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4" w15:restartNumberingAfterBreak="0">
    <w:nsid w:val="4B35051D"/>
    <w:multiLevelType w:val="multilevel"/>
    <w:tmpl w:val="4B35051D"/>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4DD112D0"/>
    <w:multiLevelType w:val="multilevel"/>
    <w:tmpl w:val="4DD112D0"/>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6" w15:restartNumberingAfterBreak="0">
    <w:nsid w:val="52972D60"/>
    <w:multiLevelType w:val="multilevel"/>
    <w:tmpl w:val="52972D60"/>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7" w15:restartNumberingAfterBreak="0">
    <w:nsid w:val="565713BA"/>
    <w:multiLevelType w:val="multilevel"/>
    <w:tmpl w:val="565713BA"/>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8" w15:restartNumberingAfterBreak="0">
    <w:nsid w:val="5B836D3A"/>
    <w:multiLevelType w:val="multilevel"/>
    <w:tmpl w:val="5B836D3A"/>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 w15:restartNumberingAfterBreak="0">
    <w:nsid w:val="5DAA0C3D"/>
    <w:multiLevelType w:val="multilevel"/>
    <w:tmpl w:val="5DAA0C3D"/>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0" w15:restartNumberingAfterBreak="0">
    <w:nsid w:val="66952602"/>
    <w:multiLevelType w:val="multilevel"/>
    <w:tmpl w:val="6695260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1" w15:restartNumberingAfterBreak="0">
    <w:nsid w:val="6AF22574"/>
    <w:multiLevelType w:val="hybridMultilevel"/>
    <w:tmpl w:val="C930F38A"/>
    <w:lvl w:ilvl="0" w:tplc="8704045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6D117DEC"/>
    <w:multiLevelType w:val="multilevel"/>
    <w:tmpl w:val="6D117DE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3" w15:restartNumberingAfterBreak="0">
    <w:nsid w:val="6DB16242"/>
    <w:multiLevelType w:val="multilevel"/>
    <w:tmpl w:val="6DB16242"/>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4" w15:restartNumberingAfterBreak="0">
    <w:nsid w:val="6EBF5BB8"/>
    <w:multiLevelType w:val="multilevel"/>
    <w:tmpl w:val="6EBF5BB8"/>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5" w15:restartNumberingAfterBreak="0">
    <w:nsid w:val="70F83630"/>
    <w:multiLevelType w:val="multilevel"/>
    <w:tmpl w:val="70F83630"/>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6" w15:restartNumberingAfterBreak="0">
    <w:nsid w:val="72B435B3"/>
    <w:multiLevelType w:val="multilevel"/>
    <w:tmpl w:val="72B435B3"/>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7" w15:restartNumberingAfterBreak="0">
    <w:nsid w:val="73DC0B0B"/>
    <w:multiLevelType w:val="multilevel"/>
    <w:tmpl w:val="73DC0B0B"/>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8" w15:restartNumberingAfterBreak="0">
    <w:nsid w:val="7719428A"/>
    <w:multiLevelType w:val="multilevel"/>
    <w:tmpl w:val="7719428A"/>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9" w15:restartNumberingAfterBreak="0">
    <w:nsid w:val="77803D61"/>
    <w:multiLevelType w:val="multilevel"/>
    <w:tmpl w:val="77803D61"/>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0" w15:restartNumberingAfterBreak="0">
    <w:nsid w:val="787D12C4"/>
    <w:multiLevelType w:val="multilevel"/>
    <w:tmpl w:val="787D12C4"/>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1" w15:restartNumberingAfterBreak="0">
    <w:nsid w:val="7C91201F"/>
    <w:multiLevelType w:val="multilevel"/>
    <w:tmpl w:val="7C91201F"/>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2" w15:restartNumberingAfterBreak="0">
    <w:nsid w:val="7FA117FD"/>
    <w:multiLevelType w:val="multilevel"/>
    <w:tmpl w:val="7FA117FD"/>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166507901">
    <w:abstractNumId w:val="5"/>
  </w:num>
  <w:num w:numId="2" w16cid:durableId="293290052">
    <w:abstractNumId w:val="11"/>
  </w:num>
  <w:num w:numId="3" w16cid:durableId="2076856595">
    <w:abstractNumId w:val="25"/>
  </w:num>
  <w:num w:numId="4" w16cid:durableId="154540398">
    <w:abstractNumId w:val="23"/>
  </w:num>
  <w:num w:numId="5" w16cid:durableId="1814255857">
    <w:abstractNumId w:val="8"/>
  </w:num>
  <w:num w:numId="6" w16cid:durableId="1511677363">
    <w:abstractNumId w:val="12"/>
  </w:num>
  <w:num w:numId="7" w16cid:durableId="1845509059">
    <w:abstractNumId w:val="14"/>
  </w:num>
  <w:num w:numId="8" w16cid:durableId="547377536">
    <w:abstractNumId w:val="30"/>
  </w:num>
  <w:num w:numId="9" w16cid:durableId="425854355">
    <w:abstractNumId w:val="2"/>
  </w:num>
  <w:num w:numId="10" w16cid:durableId="543909540">
    <w:abstractNumId w:val="22"/>
  </w:num>
  <w:num w:numId="11" w16cid:durableId="914902239">
    <w:abstractNumId w:val="1"/>
  </w:num>
  <w:num w:numId="12" w16cid:durableId="157963403">
    <w:abstractNumId w:val="10"/>
  </w:num>
  <w:num w:numId="13" w16cid:durableId="881286924">
    <w:abstractNumId w:val="0"/>
  </w:num>
  <w:num w:numId="14" w16cid:durableId="543752664">
    <w:abstractNumId w:val="16"/>
  </w:num>
  <w:num w:numId="15" w16cid:durableId="761267861">
    <w:abstractNumId w:val="26"/>
  </w:num>
  <w:num w:numId="16" w16cid:durableId="1734545561">
    <w:abstractNumId w:val="15"/>
  </w:num>
  <w:num w:numId="17" w16cid:durableId="653340840">
    <w:abstractNumId w:val="9"/>
  </w:num>
  <w:num w:numId="18" w16cid:durableId="970938519">
    <w:abstractNumId w:val="17"/>
  </w:num>
  <w:num w:numId="19" w16cid:durableId="7755025">
    <w:abstractNumId w:val="19"/>
  </w:num>
  <w:num w:numId="20" w16cid:durableId="772555400">
    <w:abstractNumId w:val="7"/>
  </w:num>
  <w:num w:numId="21" w16cid:durableId="481242800">
    <w:abstractNumId w:val="20"/>
  </w:num>
  <w:num w:numId="22" w16cid:durableId="799105953">
    <w:abstractNumId w:val="6"/>
  </w:num>
  <w:num w:numId="23" w16cid:durableId="1308514869">
    <w:abstractNumId w:val="24"/>
  </w:num>
  <w:num w:numId="24" w16cid:durableId="805271587">
    <w:abstractNumId w:val="32"/>
  </w:num>
  <w:num w:numId="25" w16cid:durableId="2066492407">
    <w:abstractNumId w:val="18"/>
  </w:num>
  <w:num w:numId="26" w16cid:durableId="1955673804">
    <w:abstractNumId w:val="29"/>
  </w:num>
  <w:num w:numId="27" w16cid:durableId="270208061">
    <w:abstractNumId w:val="27"/>
  </w:num>
  <w:num w:numId="28" w16cid:durableId="535848916">
    <w:abstractNumId w:val="3"/>
  </w:num>
  <w:num w:numId="29" w16cid:durableId="534391074">
    <w:abstractNumId w:val="31"/>
  </w:num>
  <w:num w:numId="30" w16cid:durableId="681971749">
    <w:abstractNumId w:val="13"/>
  </w:num>
  <w:num w:numId="31" w16cid:durableId="743381762">
    <w:abstractNumId w:val="4"/>
  </w:num>
  <w:num w:numId="32" w16cid:durableId="1998417109">
    <w:abstractNumId w:val="28"/>
  </w:num>
  <w:num w:numId="33" w16cid:durableId="5997978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7F"/>
    <w:rsid w:val="8FBEA84E"/>
    <w:rsid w:val="FCDF2A0A"/>
    <w:rsid w:val="000059C4"/>
    <w:rsid w:val="00010802"/>
    <w:rsid w:val="00010B91"/>
    <w:rsid w:val="00020815"/>
    <w:rsid w:val="00033840"/>
    <w:rsid w:val="00054181"/>
    <w:rsid w:val="00096288"/>
    <w:rsid w:val="000A2449"/>
    <w:rsid w:val="000A33FC"/>
    <w:rsid w:val="000B2F16"/>
    <w:rsid w:val="000B798C"/>
    <w:rsid w:val="000E25C6"/>
    <w:rsid w:val="000F18F7"/>
    <w:rsid w:val="00140509"/>
    <w:rsid w:val="00147E97"/>
    <w:rsid w:val="00155E55"/>
    <w:rsid w:val="001D75F5"/>
    <w:rsid w:val="001F6FB4"/>
    <w:rsid w:val="001F7AC6"/>
    <w:rsid w:val="002279E3"/>
    <w:rsid w:val="00242448"/>
    <w:rsid w:val="002871AF"/>
    <w:rsid w:val="00295804"/>
    <w:rsid w:val="002E02D4"/>
    <w:rsid w:val="002F76DA"/>
    <w:rsid w:val="0031436B"/>
    <w:rsid w:val="00316E7F"/>
    <w:rsid w:val="003B78D3"/>
    <w:rsid w:val="003B7D4B"/>
    <w:rsid w:val="003C16AA"/>
    <w:rsid w:val="00425863"/>
    <w:rsid w:val="00464F04"/>
    <w:rsid w:val="00476999"/>
    <w:rsid w:val="004A0948"/>
    <w:rsid w:val="004A30CB"/>
    <w:rsid w:val="004B0973"/>
    <w:rsid w:val="004B5399"/>
    <w:rsid w:val="004B77B7"/>
    <w:rsid w:val="004C0ABD"/>
    <w:rsid w:val="004C3DFD"/>
    <w:rsid w:val="00510AD0"/>
    <w:rsid w:val="00515F2D"/>
    <w:rsid w:val="0052269A"/>
    <w:rsid w:val="0053035F"/>
    <w:rsid w:val="00530BCB"/>
    <w:rsid w:val="005451E7"/>
    <w:rsid w:val="005526F7"/>
    <w:rsid w:val="00557F70"/>
    <w:rsid w:val="005A1E49"/>
    <w:rsid w:val="005A4F84"/>
    <w:rsid w:val="005C7713"/>
    <w:rsid w:val="006076D9"/>
    <w:rsid w:val="006105AE"/>
    <w:rsid w:val="00614C81"/>
    <w:rsid w:val="006324ED"/>
    <w:rsid w:val="00642005"/>
    <w:rsid w:val="00665E68"/>
    <w:rsid w:val="00667D96"/>
    <w:rsid w:val="006779BC"/>
    <w:rsid w:val="00680166"/>
    <w:rsid w:val="00681A73"/>
    <w:rsid w:val="00690F82"/>
    <w:rsid w:val="006B52D2"/>
    <w:rsid w:val="006B6229"/>
    <w:rsid w:val="006C0083"/>
    <w:rsid w:val="006C592B"/>
    <w:rsid w:val="006E615D"/>
    <w:rsid w:val="006F3C88"/>
    <w:rsid w:val="006F3E52"/>
    <w:rsid w:val="006F72F7"/>
    <w:rsid w:val="00700FC0"/>
    <w:rsid w:val="00705270"/>
    <w:rsid w:val="007068C9"/>
    <w:rsid w:val="00720DB8"/>
    <w:rsid w:val="0075098A"/>
    <w:rsid w:val="00773463"/>
    <w:rsid w:val="007A0CCF"/>
    <w:rsid w:val="007B6DD0"/>
    <w:rsid w:val="007F59D0"/>
    <w:rsid w:val="00810573"/>
    <w:rsid w:val="00816996"/>
    <w:rsid w:val="0084162C"/>
    <w:rsid w:val="00841FC0"/>
    <w:rsid w:val="008A6E5C"/>
    <w:rsid w:val="00910C2F"/>
    <w:rsid w:val="00927E1B"/>
    <w:rsid w:val="009A292C"/>
    <w:rsid w:val="009A64A9"/>
    <w:rsid w:val="009B04C0"/>
    <w:rsid w:val="009B3D17"/>
    <w:rsid w:val="009B568B"/>
    <w:rsid w:val="009E1F31"/>
    <w:rsid w:val="009E5FFB"/>
    <w:rsid w:val="00A1574B"/>
    <w:rsid w:val="00A233A4"/>
    <w:rsid w:val="00A27EDE"/>
    <w:rsid w:val="00A334F5"/>
    <w:rsid w:val="00A34B4C"/>
    <w:rsid w:val="00A52E7F"/>
    <w:rsid w:val="00A54C1B"/>
    <w:rsid w:val="00A772DC"/>
    <w:rsid w:val="00AA173D"/>
    <w:rsid w:val="00AA1B1B"/>
    <w:rsid w:val="00AD0629"/>
    <w:rsid w:val="00AD33C9"/>
    <w:rsid w:val="00AE3A9E"/>
    <w:rsid w:val="00AF1D6C"/>
    <w:rsid w:val="00B164CF"/>
    <w:rsid w:val="00B1793D"/>
    <w:rsid w:val="00B444A1"/>
    <w:rsid w:val="00B52368"/>
    <w:rsid w:val="00B61467"/>
    <w:rsid w:val="00B865FB"/>
    <w:rsid w:val="00C06AF1"/>
    <w:rsid w:val="00C13DDE"/>
    <w:rsid w:val="00C331D1"/>
    <w:rsid w:val="00C50CE8"/>
    <w:rsid w:val="00C72ED4"/>
    <w:rsid w:val="00CC1293"/>
    <w:rsid w:val="00CC4D84"/>
    <w:rsid w:val="00CD630E"/>
    <w:rsid w:val="00CE112F"/>
    <w:rsid w:val="00CE190B"/>
    <w:rsid w:val="00CE498B"/>
    <w:rsid w:val="00CE71B7"/>
    <w:rsid w:val="00CF16EC"/>
    <w:rsid w:val="00D1278D"/>
    <w:rsid w:val="00D14A27"/>
    <w:rsid w:val="00D54104"/>
    <w:rsid w:val="00D6671C"/>
    <w:rsid w:val="00D839CF"/>
    <w:rsid w:val="00D90554"/>
    <w:rsid w:val="00D90D49"/>
    <w:rsid w:val="00DD14D0"/>
    <w:rsid w:val="00DD3935"/>
    <w:rsid w:val="00DE4C7B"/>
    <w:rsid w:val="00DF3862"/>
    <w:rsid w:val="00E06222"/>
    <w:rsid w:val="00E1070C"/>
    <w:rsid w:val="00E143A9"/>
    <w:rsid w:val="00E3231E"/>
    <w:rsid w:val="00E36CC2"/>
    <w:rsid w:val="00E806F6"/>
    <w:rsid w:val="00E9489D"/>
    <w:rsid w:val="00EA6FB6"/>
    <w:rsid w:val="00EA79EA"/>
    <w:rsid w:val="00ED4C7C"/>
    <w:rsid w:val="00EE3107"/>
    <w:rsid w:val="00EF6A55"/>
    <w:rsid w:val="00F043B5"/>
    <w:rsid w:val="00F32C50"/>
    <w:rsid w:val="00F4683C"/>
    <w:rsid w:val="00F54D99"/>
    <w:rsid w:val="00F672A8"/>
    <w:rsid w:val="00F778F0"/>
    <w:rsid w:val="00FC03C0"/>
    <w:rsid w:val="00FD7B6B"/>
    <w:rsid w:val="00FF1EB1"/>
    <w:rsid w:val="00FF31ED"/>
    <w:rsid w:val="00FF6931"/>
    <w:rsid w:val="0E5C3C91"/>
    <w:rsid w:val="1B97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55B8"/>
  <w15:docId w15:val="{110F2CB5-335F-45D1-BFEB-B9923B1E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spacing w:before="120" w:after="120"/>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annotation text"/>
    <w:basedOn w:val="a"/>
    <w:link w:val="a5"/>
    <w:uiPriority w:val="99"/>
    <w:semiHidden/>
    <w:unhideWhenUsed/>
    <w:qFormat/>
    <w:pPr>
      <w:jc w:val="left"/>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4"/>
    <w:next w:val="a4"/>
    <w:link w:val="ac"/>
    <w:uiPriority w:val="99"/>
    <w:semiHidden/>
    <w:unhideWhenUsed/>
    <w:qFormat/>
    <w:rPr>
      <w:b/>
      <w:bCs/>
    </w:rPr>
  </w:style>
  <w:style w:type="character" w:styleId="ad">
    <w:name w:val="annotation reference"/>
    <w:basedOn w:val="a1"/>
    <w:uiPriority w:val="99"/>
    <w:semiHidden/>
    <w:unhideWhenUsed/>
    <w:qFormat/>
    <w:rPr>
      <w:sz w:val="21"/>
      <w:szCs w:val="21"/>
    </w:rPr>
  </w:style>
  <w:style w:type="character" w:customStyle="1" w:styleId="10">
    <w:name w:val="标题 1 字符"/>
    <w:basedOn w:val="a1"/>
    <w:link w:val="1"/>
    <w:uiPriority w:val="9"/>
    <w:qFormat/>
    <w:rPr>
      <w:rFonts w:eastAsia="仿宋_GB2312"/>
      <w:b/>
      <w:bCs/>
      <w:kern w:val="44"/>
      <w:sz w:val="44"/>
      <w:szCs w:val="44"/>
    </w:rPr>
  </w:style>
  <w:style w:type="character" w:customStyle="1" w:styleId="a5">
    <w:name w:val="批注文字 字符"/>
    <w:basedOn w:val="a1"/>
    <w:link w:val="a4"/>
    <w:uiPriority w:val="99"/>
    <w:semiHidden/>
    <w:qFormat/>
    <w:rPr>
      <w:rFonts w:ascii="Calibri" w:eastAsia="宋体" w:hAnsi="Calibri" w:cs="Times New Roman"/>
    </w:rPr>
  </w:style>
  <w:style w:type="character" w:customStyle="1" w:styleId="ac">
    <w:name w:val="批注主题 字符"/>
    <w:basedOn w:val="a5"/>
    <w:link w:val="ab"/>
    <w:uiPriority w:val="99"/>
    <w:semiHidden/>
    <w:qFormat/>
    <w:rPr>
      <w:rFonts w:ascii="Calibri" w:eastAsia="宋体" w:hAnsi="Calibri" w:cs="Times New Roman"/>
      <w:b/>
      <w:bCs/>
    </w:rPr>
  </w:style>
  <w:style w:type="paragraph" w:styleId="ae">
    <w:name w:val="List Paragraph"/>
    <w:basedOn w:val="a"/>
    <w:uiPriority w:val="34"/>
    <w:qFormat/>
    <w:pPr>
      <w:ind w:firstLineChars="200" w:firstLine="420"/>
    </w:pPr>
  </w:style>
  <w:style w:type="character" w:customStyle="1" w:styleId="a9">
    <w:name w:val="页眉 字符"/>
    <w:basedOn w:val="a1"/>
    <w:link w:val="a8"/>
    <w:uiPriority w:val="99"/>
    <w:qFormat/>
    <w:rPr>
      <w:rFonts w:ascii="Calibri" w:eastAsia="宋体" w:hAnsi="Calibri" w:cs="Times New Roman"/>
      <w:kern w:val="2"/>
      <w:sz w:val="18"/>
      <w:szCs w:val="18"/>
    </w:rPr>
  </w:style>
  <w:style w:type="character" w:customStyle="1" w:styleId="a7">
    <w:name w:val="页脚 字符"/>
    <w:basedOn w:val="a1"/>
    <w:link w:val="a6"/>
    <w:uiPriority w:val="99"/>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2448</Words>
  <Characters>13957</Characters>
  <Application>Microsoft Office Word</Application>
  <DocSecurity>0</DocSecurity>
  <Lines>116</Lines>
  <Paragraphs>32</Paragraphs>
  <ScaleCrop>false</ScaleCrop>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 yq</dc:creator>
  <cp:lastModifiedBy>Lv Judy</cp:lastModifiedBy>
  <cp:revision>6</cp:revision>
  <dcterms:created xsi:type="dcterms:W3CDTF">2023-05-09T00:56:00Z</dcterms:created>
  <dcterms:modified xsi:type="dcterms:W3CDTF">2023-05-09T07:30:00Z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