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7BF77" w14:textId="77777777" w:rsidR="0045599B" w:rsidRDefault="00000000">
      <w:pPr>
        <w:rPr>
          <w:rFonts w:ascii="仿宋_GB2312" w:hAnsi="仿宋_GB2312" w:cs="仿宋_GB2312"/>
          <w:b/>
          <w:bCs/>
        </w:rPr>
      </w:pPr>
      <w:r>
        <w:rPr>
          <w:rFonts w:ascii="仿宋_GB2312" w:hAnsi="仿宋_GB2312" w:cs="仿宋_GB2312" w:hint="eastAsia"/>
          <w:szCs w:val="32"/>
        </w:rPr>
        <w:t>3.</w:t>
      </w:r>
      <w:r>
        <w:rPr>
          <w:rFonts w:hint="eastAsia"/>
          <w:szCs w:val="32"/>
        </w:rPr>
        <w:t>北京市危险化学品经营企业（加油站）生产安全事故隐患目</w:t>
      </w:r>
      <w:r>
        <w:rPr>
          <w:rFonts w:ascii="仿宋_GB2312" w:hAnsi="仿宋_GB2312" w:cs="仿宋_GB2312" w:hint="eastAsia"/>
          <w:szCs w:val="32"/>
        </w:rPr>
        <w:t>录（2023年度）</w:t>
      </w:r>
    </w:p>
    <w:tbl>
      <w:tblPr>
        <w:tblStyle w:val="a8"/>
        <w:tblW w:w="0" w:type="auto"/>
        <w:jc w:val="center"/>
        <w:tblLook w:val="04A0" w:firstRow="1" w:lastRow="0" w:firstColumn="1" w:lastColumn="0" w:noHBand="0" w:noVBand="1"/>
      </w:tblPr>
      <w:tblGrid>
        <w:gridCol w:w="1657"/>
        <w:gridCol w:w="992"/>
        <w:gridCol w:w="992"/>
        <w:gridCol w:w="4253"/>
        <w:gridCol w:w="5562"/>
        <w:gridCol w:w="696"/>
      </w:tblGrid>
      <w:tr w:rsidR="0045599B" w14:paraId="28111B59" w14:textId="77777777">
        <w:trPr>
          <w:jc w:val="center"/>
        </w:trPr>
        <w:tc>
          <w:tcPr>
            <w:tcW w:w="1657" w:type="dxa"/>
            <w:vMerge w:val="restart"/>
            <w:shd w:val="clear" w:color="auto" w:fill="EEECE1" w:themeFill="background2"/>
            <w:vAlign w:val="center"/>
          </w:tcPr>
          <w:p w14:paraId="3BB92840" w14:textId="77777777" w:rsidR="0045599B" w:rsidRDefault="00000000">
            <w:pPr>
              <w:adjustRightInd w:val="0"/>
              <w:snapToGrid w:val="0"/>
              <w:spacing w:line="240" w:lineRule="auto"/>
              <w:jc w:val="center"/>
              <w:rPr>
                <w:rFonts w:ascii="仿宋_GB2312" w:hAnsi="Times New Roman" w:cs="Times New Roman"/>
                <w:b/>
                <w:bCs/>
                <w:sz w:val="20"/>
                <w:szCs w:val="20"/>
              </w:rPr>
            </w:pPr>
            <w:r>
              <w:rPr>
                <w:rFonts w:ascii="仿宋_GB2312" w:hAnsi="Times New Roman" w:cs="Times New Roman" w:hint="eastAsia"/>
                <w:b/>
                <w:bCs/>
                <w:sz w:val="20"/>
                <w:szCs w:val="20"/>
              </w:rPr>
              <w:t>编号</w:t>
            </w:r>
          </w:p>
        </w:tc>
        <w:tc>
          <w:tcPr>
            <w:tcW w:w="1984" w:type="dxa"/>
            <w:gridSpan w:val="2"/>
            <w:shd w:val="clear" w:color="auto" w:fill="EEECE1" w:themeFill="background2"/>
            <w:vAlign w:val="center"/>
          </w:tcPr>
          <w:p w14:paraId="4949E801" w14:textId="77777777" w:rsidR="0045599B" w:rsidRDefault="00000000">
            <w:pPr>
              <w:adjustRightInd w:val="0"/>
              <w:snapToGrid w:val="0"/>
              <w:spacing w:line="240" w:lineRule="auto"/>
              <w:jc w:val="center"/>
              <w:rPr>
                <w:rFonts w:ascii="仿宋_GB2312" w:hAnsi="Times New Roman" w:cs="Times New Roman"/>
                <w:b/>
                <w:bCs/>
                <w:sz w:val="20"/>
                <w:szCs w:val="20"/>
              </w:rPr>
            </w:pPr>
            <w:r>
              <w:rPr>
                <w:rFonts w:ascii="仿宋_GB2312" w:hAnsi="Times New Roman" w:cs="Times New Roman" w:hint="eastAsia"/>
                <w:b/>
                <w:bCs/>
                <w:sz w:val="20"/>
                <w:szCs w:val="20"/>
              </w:rPr>
              <w:t>隐患分类</w:t>
            </w:r>
          </w:p>
        </w:tc>
        <w:tc>
          <w:tcPr>
            <w:tcW w:w="4253" w:type="dxa"/>
            <w:vMerge w:val="restart"/>
            <w:shd w:val="clear" w:color="auto" w:fill="EEECE1" w:themeFill="background2"/>
            <w:vAlign w:val="center"/>
          </w:tcPr>
          <w:p w14:paraId="33565684" w14:textId="77777777" w:rsidR="0045599B" w:rsidRDefault="00000000">
            <w:pPr>
              <w:adjustRightInd w:val="0"/>
              <w:snapToGrid w:val="0"/>
              <w:spacing w:line="240" w:lineRule="auto"/>
              <w:jc w:val="center"/>
              <w:rPr>
                <w:rFonts w:ascii="仿宋_GB2312" w:hAnsi="Times New Roman" w:cs="Times New Roman"/>
                <w:b/>
                <w:bCs/>
                <w:sz w:val="20"/>
                <w:szCs w:val="20"/>
              </w:rPr>
            </w:pPr>
            <w:r>
              <w:rPr>
                <w:rFonts w:ascii="仿宋_GB2312" w:hAnsi="Times New Roman" w:cs="Times New Roman" w:hint="eastAsia"/>
                <w:b/>
                <w:bCs/>
                <w:sz w:val="20"/>
                <w:szCs w:val="20"/>
              </w:rPr>
              <w:t>隐患内容</w:t>
            </w:r>
          </w:p>
        </w:tc>
        <w:tc>
          <w:tcPr>
            <w:tcW w:w="5562" w:type="dxa"/>
            <w:vMerge w:val="restart"/>
            <w:shd w:val="clear" w:color="auto" w:fill="EEECE1" w:themeFill="background2"/>
            <w:vAlign w:val="center"/>
          </w:tcPr>
          <w:p w14:paraId="1241CBDD" w14:textId="77777777" w:rsidR="0045599B" w:rsidRDefault="00000000">
            <w:pPr>
              <w:adjustRightInd w:val="0"/>
              <w:snapToGrid w:val="0"/>
              <w:spacing w:line="240" w:lineRule="auto"/>
              <w:jc w:val="center"/>
              <w:rPr>
                <w:rFonts w:ascii="仿宋_GB2312" w:hAnsi="Times New Roman" w:cs="Times New Roman"/>
                <w:b/>
                <w:bCs/>
                <w:sz w:val="20"/>
                <w:szCs w:val="20"/>
              </w:rPr>
            </w:pPr>
            <w:r>
              <w:rPr>
                <w:rFonts w:ascii="仿宋_GB2312" w:hAnsi="Times New Roman" w:cs="Times New Roman" w:hint="eastAsia"/>
                <w:b/>
                <w:bCs/>
                <w:sz w:val="20"/>
                <w:szCs w:val="20"/>
              </w:rPr>
              <w:t>依据</w:t>
            </w:r>
          </w:p>
        </w:tc>
        <w:tc>
          <w:tcPr>
            <w:tcW w:w="696" w:type="dxa"/>
            <w:vMerge w:val="restart"/>
            <w:shd w:val="clear" w:color="auto" w:fill="EEECE1" w:themeFill="background2"/>
            <w:vAlign w:val="center"/>
          </w:tcPr>
          <w:p w14:paraId="0136A2D3" w14:textId="77777777" w:rsidR="0045599B" w:rsidRDefault="00000000">
            <w:pPr>
              <w:adjustRightInd w:val="0"/>
              <w:snapToGrid w:val="0"/>
              <w:spacing w:line="240" w:lineRule="auto"/>
              <w:jc w:val="center"/>
              <w:rPr>
                <w:rFonts w:ascii="仿宋_GB2312" w:hAnsi="Times New Roman" w:cs="Times New Roman"/>
                <w:b/>
                <w:bCs/>
                <w:sz w:val="20"/>
                <w:szCs w:val="20"/>
              </w:rPr>
            </w:pPr>
            <w:r>
              <w:rPr>
                <w:rFonts w:ascii="仿宋_GB2312" w:hAnsi="Times New Roman" w:cs="Times New Roman" w:hint="eastAsia"/>
                <w:b/>
                <w:bCs/>
                <w:sz w:val="20"/>
                <w:szCs w:val="20"/>
              </w:rPr>
              <w:t>备注</w:t>
            </w:r>
          </w:p>
        </w:tc>
      </w:tr>
      <w:tr w:rsidR="0045599B" w14:paraId="050F5A8C" w14:textId="77777777">
        <w:trPr>
          <w:jc w:val="center"/>
        </w:trPr>
        <w:tc>
          <w:tcPr>
            <w:tcW w:w="1657" w:type="dxa"/>
            <w:vMerge/>
            <w:shd w:val="clear" w:color="auto" w:fill="EEECE1" w:themeFill="background2"/>
            <w:vAlign w:val="center"/>
          </w:tcPr>
          <w:p w14:paraId="3352DCA2" w14:textId="77777777" w:rsidR="0045599B" w:rsidRDefault="0045599B">
            <w:pPr>
              <w:adjustRightInd w:val="0"/>
              <w:snapToGrid w:val="0"/>
              <w:spacing w:line="240" w:lineRule="auto"/>
              <w:jc w:val="center"/>
              <w:rPr>
                <w:rFonts w:ascii="仿宋_GB2312" w:hAnsi="Times New Roman" w:cs="Times New Roman"/>
                <w:sz w:val="20"/>
                <w:szCs w:val="20"/>
              </w:rPr>
            </w:pPr>
          </w:p>
        </w:tc>
        <w:tc>
          <w:tcPr>
            <w:tcW w:w="992" w:type="dxa"/>
            <w:shd w:val="clear" w:color="auto" w:fill="EEECE1" w:themeFill="background2"/>
            <w:vAlign w:val="center"/>
          </w:tcPr>
          <w:p w14:paraId="0CE6F3C8" w14:textId="77777777" w:rsidR="0045599B" w:rsidRDefault="00000000">
            <w:pPr>
              <w:adjustRightInd w:val="0"/>
              <w:snapToGrid w:val="0"/>
              <w:spacing w:line="240" w:lineRule="auto"/>
              <w:jc w:val="center"/>
              <w:rPr>
                <w:rFonts w:ascii="仿宋_GB2312" w:hAnsi="Times New Roman" w:cs="Times New Roman"/>
                <w:b/>
                <w:bCs/>
                <w:sz w:val="20"/>
                <w:szCs w:val="20"/>
              </w:rPr>
            </w:pPr>
            <w:r>
              <w:rPr>
                <w:rFonts w:ascii="仿宋_GB2312" w:hAnsi="Times New Roman" w:cs="Times New Roman" w:hint="eastAsia"/>
                <w:b/>
                <w:bCs/>
                <w:sz w:val="20"/>
                <w:szCs w:val="20"/>
              </w:rPr>
              <w:t>一类</w:t>
            </w:r>
          </w:p>
        </w:tc>
        <w:tc>
          <w:tcPr>
            <w:tcW w:w="992" w:type="dxa"/>
            <w:shd w:val="clear" w:color="auto" w:fill="EEECE1" w:themeFill="background2"/>
            <w:vAlign w:val="center"/>
          </w:tcPr>
          <w:p w14:paraId="1322EEFA" w14:textId="77777777" w:rsidR="0045599B" w:rsidRDefault="00000000">
            <w:pPr>
              <w:adjustRightInd w:val="0"/>
              <w:snapToGrid w:val="0"/>
              <w:spacing w:line="240" w:lineRule="auto"/>
              <w:jc w:val="center"/>
              <w:rPr>
                <w:rFonts w:ascii="仿宋_GB2312" w:hAnsi="Times New Roman" w:cs="Times New Roman"/>
                <w:b/>
                <w:bCs/>
                <w:sz w:val="20"/>
                <w:szCs w:val="20"/>
              </w:rPr>
            </w:pPr>
            <w:r>
              <w:rPr>
                <w:rFonts w:ascii="仿宋_GB2312" w:hAnsi="Times New Roman" w:cs="Times New Roman" w:hint="eastAsia"/>
                <w:b/>
                <w:bCs/>
                <w:sz w:val="20"/>
                <w:szCs w:val="20"/>
              </w:rPr>
              <w:t>二类</w:t>
            </w:r>
          </w:p>
        </w:tc>
        <w:tc>
          <w:tcPr>
            <w:tcW w:w="4253" w:type="dxa"/>
            <w:vMerge/>
            <w:shd w:val="clear" w:color="auto" w:fill="EEECE1" w:themeFill="background2"/>
            <w:vAlign w:val="center"/>
          </w:tcPr>
          <w:p w14:paraId="3E36A834" w14:textId="77777777" w:rsidR="0045599B" w:rsidRDefault="0045599B">
            <w:pPr>
              <w:adjustRightInd w:val="0"/>
              <w:snapToGrid w:val="0"/>
              <w:spacing w:line="240" w:lineRule="auto"/>
              <w:rPr>
                <w:rFonts w:ascii="仿宋_GB2312" w:hAnsi="Times New Roman" w:cs="Times New Roman"/>
                <w:sz w:val="20"/>
                <w:szCs w:val="20"/>
              </w:rPr>
            </w:pPr>
          </w:p>
        </w:tc>
        <w:tc>
          <w:tcPr>
            <w:tcW w:w="5562" w:type="dxa"/>
            <w:vMerge/>
            <w:shd w:val="clear" w:color="auto" w:fill="EEECE1" w:themeFill="background2"/>
            <w:vAlign w:val="center"/>
          </w:tcPr>
          <w:p w14:paraId="51DF97A3" w14:textId="77777777" w:rsidR="0045599B" w:rsidRDefault="0045599B">
            <w:pPr>
              <w:adjustRightInd w:val="0"/>
              <w:snapToGrid w:val="0"/>
              <w:spacing w:line="240" w:lineRule="auto"/>
              <w:rPr>
                <w:rFonts w:ascii="仿宋_GB2312" w:hAnsi="Times New Roman" w:cs="Times New Roman"/>
                <w:sz w:val="20"/>
                <w:szCs w:val="20"/>
              </w:rPr>
            </w:pPr>
          </w:p>
        </w:tc>
        <w:tc>
          <w:tcPr>
            <w:tcW w:w="696" w:type="dxa"/>
            <w:vMerge/>
            <w:shd w:val="clear" w:color="auto" w:fill="EEECE1" w:themeFill="background2"/>
            <w:vAlign w:val="center"/>
          </w:tcPr>
          <w:p w14:paraId="09C927FA"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57CDE942" w14:textId="77777777">
        <w:trPr>
          <w:jc w:val="center"/>
        </w:trPr>
        <w:tc>
          <w:tcPr>
            <w:tcW w:w="1657" w:type="dxa"/>
            <w:vAlign w:val="center"/>
          </w:tcPr>
          <w:p w14:paraId="39114D3B"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67CC95E4"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基础资料类</w:t>
            </w:r>
          </w:p>
        </w:tc>
        <w:tc>
          <w:tcPr>
            <w:tcW w:w="992" w:type="dxa"/>
            <w:vAlign w:val="center"/>
          </w:tcPr>
          <w:p w14:paraId="2E9F3448"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机构及人员配备类</w:t>
            </w:r>
          </w:p>
        </w:tc>
        <w:tc>
          <w:tcPr>
            <w:tcW w:w="4253" w:type="dxa"/>
            <w:vAlign w:val="center"/>
          </w:tcPr>
          <w:p w14:paraId="2CA56993"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未设置安全生产管理机构或者配备专职安全生产管理人员</w:t>
            </w:r>
            <w:r w:rsidR="004F7864">
              <w:rPr>
                <w:rFonts w:ascii="仿宋_GB2312" w:hAnsi="Times New Roman" w:cs="Times New Roman" w:hint="eastAsia"/>
                <w:sz w:val="20"/>
                <w:szCs w:val="20"/>
              </w:rPr>
              <w:t>。</w:t>
            </w:r>
            <w:r>
              <w:rPr>
                <w:rFonts w:ascii="仿宋_GB2312" w:hAnsi="Times New Roman" w:cs="Times New Roman" w:hint="eastAsia"/>
                <w:sz w:val="20"/>
                <w:szCs w:val="20"/>
              </w:rPr>
              <w:t>从业人员总数超过 100 人的，</w:t>
            </w:r>
            <w:r w:rsidR="004F7864">
              <w:rPr>
                <w:rFonts w:ascii="仿宋_GB2312" w:hAnsi="Times New Roman" w:cs="Times New Roman" w:hint="eastAsia"/>
                <w:sz w:val="20"/>
                <w:szCs w:val="20"/>
              </w:rPr>
              <w:t>未</w:t>
            </w:r>
            <w:r>
              <w:rPr>
                <w:rFonts w:ascii="仿宋_GB2312" w:hAnsi="Times New Roman" w:cs="Times New Roman" w:hint="eastAsia"/>
                <w:sz w:val="20"/>
                <w:szCs w:val="20"/>
              </w:rPr>
              <w:t>设置安全生产管理机构；100 人以下的，</w:t>
            </w:r>
            <w:r w:rsidR="004F7864">
              <w:rPr>
                <w:rFonts w:ascii="仿宋_GB2312" w:hAnsi="Times New Roman" w:cs="Times New Roman" w:hint="eastAsia"/>
                <w:sz w:val="20"/>
                <w:szCs w:val="20"/>
              </w:rPr>
              <w:t>未</w:t>
            </w:r>
            <w:r>
              <w:rPr>
                <w:rFonts w:ascii="仿宋_GB2312" w:hAnsi="Times New Roman" w:cs="Times New Roman" w:hint="eastAsia"/>
                <w:sz w:val="20"/>
                <w:szCs w:val="20"/>
              </w:rPr>
              <w:t>配备专职安全生产管理人员。</w:t>
            </w:r>
          </w:p>
        </w:tc>
        <w:tc>
          <w:tcPr>
            <w:tcW w:w="5562" w:type="dxa"/>
            <w:vAlign w:val="center"/>
          </w:tcPr>
          <w:p w14:paraId="60D007D0"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 xml:space="preserve">《中华人民共和国安全生产法》第二十四条；《北京市安全生产条例》第十九条；《北京市生产经营单位安全生产主体责任规定》第十一条；DB11/T 1322.2-2017《安全生产等级评定技术规范 第2部分：安全生产通用要求》第3.1.4条： </w:t>
            </w:r>
          </w:p>
        </w:tc>
        <w:tc>
          <w:tcPr>
            <w:tcW w:w="696" w:type="dxa"/>
            <w:vAlign w:val="center"/>
          </w:tcPr>
          <w:p w14:paraId="27C8A77B"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宋体" w:cs="宋体" w:hint="eastAsia"/>
                <w:color w:val="000000"/>
                <w:kern w:val="0"/>
                <w:sz w:val="20"/>
                <w:szCs w:val="20"/>
              </w:rPr>
              <w:t>★</w:t>
            </w:r>
          </w:p>
        </w:tc>
      </w:tr>
      <w:tr w:rsidR="0045599B" w14:paraId="2997F6EF" w14:textId="77777777">
        <w:trPr>
          <w:jc w:val="center"/>
        </w:trPr>
        <w:tc>
          <w:tcPr>
            <w:tcW w:w="1657" w:type="dxa"/>
            <w:vAlign w:val="center"/>
          </w:tcPr>
          <w:p w14:paraId="117A5F13"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1E9E0411"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基础资料类</w:t>
            </w:r>
          </w:p>
        </w:tc>
        <w:tc>
          <w:tcPr>
            <w:tcW w:w="992" w:type="dxa"/>
            <w:vAlign w:val="center"/>
          </w:tcPr>
          <w:p w14:paraId="2F0EC171"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责任制类</w:t>
            </w:r>
          </w:p>
        </w:tc>
        <w:tc>
          <w:tcPr>
            <w:tcW w:w="4253" w:type="dxa"/>
            <w:vAlign w:val="center"/>
          </w:tcPr>
          <w:p w14:paraId="641FC78B"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heme="minorEastAsia" w:hint="eastAsia"/>
                <w:sz w:val="20"/>
                <w:szCs w:val="20"/>
                <w:lang w:bidi="ar"/>
              </w:rPr>
              <w:t>未制定各岗位安全职责，未层层签订安全生产责任书；未制定主要负责人或实际控制人安全职责，未明确规定主要负责人或实际控制人是安全生产第一责任人；未制定分管安全生产负责人的安全职责。</w:t>
            </w:r>
          </w:p>
        </w:tc>
        <w:tc>
          <w:tcPr>
            <w:tcW w:w="5562" w:type="dxa"/>
            <w:vAlign w:val="center"/>
          </w:tcPr>
          <w:p w14:paraId="323701E1"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heme="minorEastAsia" w:hint="eastAsia"/>
                <w:kern w:val="0"/>
                <w:sz w:val="20"/>
                <w:szCs w:val="20"/>
                <w:lang w:bidi="ar"/>
              </w:rPr>
              <w:t>《中华人民共和国安全生产法》第四条；《北京市安全生产条例》第四条；《北京市生产经营单位安全生产主体责任规定》第三、六条；</w:t>
            </w:r>
          </w:p>
        </w:tc>
        <w:tc>
          <w:tcPr>
            <w:tcW w:w="696" w:type="dxa"/>
            <w:vAlign w:val="center"/>
          </w:tcPr>
          <w:p w14:paraId="034FDB2D"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宋体" w:cs="宋体" w:hint="eastAsia"/>
                <w:color w:val="000000"/>
                <w:kern w:val="0"/>
                <w:sz w:val="20"/>
                <w:szCs w:val="20"/>
              </w:rPr>
              <w:t>★</w:t>
            </w:r>
          </w:p>
        </w:tc>
      </w:tr>
      <w:tr w:rsidR="00857BF6" w14:paraId="3DE6FC44" w14:textId="77777777">
        <w:trPr>
          <w:jc w:val="center"/>
        </w:trPr>
        <w:tc>
          <w:tcPr>
            <w:tcW w:w="1657" w:type="dxa"/>
            <w:vAlign w:val="center"/>
          </w:tcPr>
          <w:p w14:paraId="45E90166" w14:textId="77777777" w:rsidR="00857BF6" w:rsidRDefault="00857BF6" w:rsidP="00857BF6">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16E776FB" w14:textId="77777777" w:rsidR="00857BF6" w:rsidRDefault="00857BF6" w:rsidP="00857BF6">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基础资料类</w:t>
            </w:r>
          </w:p>
        </w:tc>
        <w:tc>
          <w:tcPr>
            <w:tcW w:w="992" w:type="dxa"/>
            <w:vAlign w:val="center"/>
          </w:tcPr>
          <w:p w14:paraId="48CC3541" w14:textId="77777777" w:rsidR="00857BF6" w:rsidRDefault="00857BF6" w:rsidP="00857BF6">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制度类</w:t>
            </w:r>
          </w:p>
        </w:tc>
        <w:tc>
          <w:tcPr>
            <w:tcW w:w="4253" w:type="dxa"/>
            <w:vAlign w:val="center"/>
          </w:tcPr>
          <w:p w14:paraId="5D23CFAF" w14:textId="77777777" w:rsidR="00857BF6" w:rsidRDefault="00857BF6" w:rsidP="00857BF6">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 xml:space="preserve">未结合企业实际制定相关安全生产规章制度或制度内容不全。 </w:t>
            </w:r>
          </w:p>
          <w:p w14:paraId="41E35AF2" w14:textId="77777777" w:rsidR="00857BF6" w:rsidRDefault="00857BF6" w:rsidP="00857BF6">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未包括如下安全生产管理制度：</w:t>
            </w:r>
          </w:p>
          <w:p w14:paraId="4A24BEBE" w14:textId="77777777" w:rsidR="00857BF6" w:rsidRDefault="00857BF6" w:rsidP="00857BF6">
            <w:pPr>
              <w:pStyle w:val="a9"/>
              <w:numPr>
                <w:ilvl w:val="0"/>
                <w:numId w:val="23"/>
              </w:numPr>
              <w:adjustRightInd w:val="0"/>
              <w:snapToGrid w:val="0"/>
              <w:spacing w:line="240" w:lineRule="auto"/>
              <w:ind w:left="300" w:hangingChars="150" w:hanging="300"/>
              <w:rPr>
                <w:rFonts w:ascii="仿宋_GB2312" w:hAnsi="Times New Roman" w:cs="Times New Roman"/>
                <w:sz w:val="20"/>
                <w:szCs w:val="20"/>
              </w:rPr>
            </w:pPr>
            <w:r>
              <w:rPr>
                <w:rFonts w:ascii="仿宋_GB2312" w:hAnsi="Times New Roman" w:cs="Times New Roman" w:hint="eastAsia"/>
                <w:sz w:val="20"/>
                <w:szCs w:val="20"/>
              </w:rPr>
              <w:t>安全生产教育和培训制度；</w:t>
            </w:r>
          </w:p>
          <w:p w14:paraId="7EB66E23" w14:textId="77777777" w:rsidR="00857BF6" w:rsidRDefault="00857BF6" w:rsidP="00857BF6">
            <w:pPr>
              <w:pStyle w:val="a9"/>
              <w:numPr>
                <w:ilvl w:val="0"/>
                <w:numId w:val="23"/>
              </w:numPr>
              <w:adjustRightInd w:val="0"/>
              <w:snapToGrid w:val="0"/>
              <w:spacing w:line="240" w:lineRule="auto"/>
              <w:ind w:left="300" w:hangingChars="150" w:hanging="300"/>
              <w:rPr>
                <w:rFonts w:ascii="仿宋_GB2312" w:hAnsi="Times New Roman" w:cs="Times New Roman"/>
                <w:sz w:val="20"/>
                <w:szCs w:val="20"/>
              </w:rPr>
            </w:pPr>
            <w:r>
              <w:rPr>
                <w:rFonts w:ascii="仿宋_GB2312" w:hAnsi="Times New Roman" w:cs="Times New Roman" w:hint="eastAsia"/>
                <w:sz w:val="20"/>
                <w:szCs w:val="20"/>
              </w:rPr>
              <w:t>安全生产检查制度；</w:t>
            </w:r>
          </w:p>
          <w:p w14:paraId="37AC433B" w14:textId="77777777" w:rsidR="00857BF6" w:rsidRDefault="00857BF6" w:rsidP="00857BF6">
            <w:pPr>
              <w:pStyle w:val="a9"/>
              <w:numPr>
                <w:ilvl w:val="0"/>
                <w:numId w:val="23"/>
              </w:numPr>
              <w:adjustRightInd w:val="0"/>
              <w:snapToGrid w:val="0"/>
              <w:spacing w:line="240" w:lineRule="auto"/>
              <w:ind w:left="300" w:hangingChars="150" w:hanging="300"/>
              <w:rPr>
                <w:rFonts w:ascii="仿宋_GB2312" w:hAnsi="Times New Roman" w:cs="Times New Roman"/>
                <w:sz w:val="20"/>
                <w:szCs w:val="20"/>
              </w:rPr>
            </w:pPr>
            <w:r>
              <w:rPr>
                <w:rFonts w:ascii="仿宋_GB2312" w:hAnsi="Times New Roman" w:cs="Times New Roman" w:hint="eastAsia"/>
                <w:sz w:val="20"/>
                <w:szCs w:val="20"/>
              </w:rPr>
              <w:t>生产安全事故隐患排查和治理制度；</w:t>
            </w:r>
          </w:p>
          <w:p w14:paraId="669BF47D" w14:textId="77777777" w:rsidR="00857BF6" w:rsidRDefault="00857BF6" w:rsidP="00857BF6">
            <w:pPr>
              <w:pStyle w:val="a9"/>
              <w:numPr>
                <w:ilvl w:val="0"/>
                <w:numId w:val="23"/>
              </w:numPr>
              <w:adjustRightInd w:val="0"/>
              <w:snapToGrid w:val="0"/>
              <w:spacing w:line="240" w:lineRule="auto"/>
              <w:ind w:left="300" w:hangingChars="150" w:hanging="300"/>
              <w:rPr>
                <w:rFonts w:ascii="仿宋_GB2312" w:hAnsi="Times New Roman" w:cs="Times New Roman"/>
                <w:sz w:val="20"/>
                <w:szCs w:val="20"/>
              </w:rPr>
            </w:pPr>
            <w:r>
              <w:rPr>
                <w:rFonts w:ascii="仿宋_GB2312" w:hAnsi="Times New Roman" w:cs="Times New Roman" w:hint="eastAsia"/>
                <w:sz w:val="20"/>
                <w:szCs w:val="20"/>
              </w:rPr>
              <w:t>具有较大危险因素的生产经营场所、设备和设施的安全管理制度；</w:t>
            </w:r>
          </w:p>
          <w:p w14:paraId="07FF593F" w14:textId="77777777" w:rsidR="00857BF6" w:rsidRDefault="00857BF6" w:rsidP="00857BF6">
            <w:pPr>
              <w:pStyle w:val="a9"/>
              <w:numPr>
                <w:ilvl w:val="0"/>
                <w:numId w:val="23"/>
              </w:numPr>
              <w:adjustRightInd w:val="0"/>
              <w:snapToGrid w:val="0"/>
              <w:spacing w:line="240" w:lineRule="auto"/>
              <w:ind w:left="300" w:hangingChars="150" w:hanging="300"/>
              <w:rPr>
                <w:rFonts w:ascii="仿宋_GB2312" w:hAnsi="Times New Roman" w:cs="Times New Roman"/>
                <w:sz w:val="20"/>
                <w:szCs w:val="20"/>
              </w:rPr>
            </w:pPr>
            <w:r>
              <w:rPr>
                <w:rFonts w:ascii="仿宋_GB2312" w:hAnsi="Times New Roman" w:cs="Times New Roman" w:hint="eastAsia"/>
                <w:sz w:val="20"/>
                <w:szCs w:val="20"/>
              </w:rPr>
              <w:t>安全生产资金投入或者安全生产费用提取、使用和管理制度；</w:t>
            </w:r>
          </w:p>
          <w:p w14:paraId="6A0F86B3" w14:textId="77777777" w:rsidR="00857BF6" w:rsidRDefault="00857BF6" w:rsidP="00857BF6">
            <w:pPr>
              <w:pStyle w:val="a9"/>
              <w:numPr>
                <w:ilvl w:val="0"/>
                <w:numId w:val="23"/>
              </w:numPr>
              <w:adjustRightInd w:val="0"/>
              <w:snapToGrid w:val="0"/>
              <w:spacing w:line="240" w:lineRule="auto"/>
              <w:ind w:left="300" w:hangingChars="150" w:hanging="300"/>
              <w:rPr>
                <w:rFonts w:ascii="仿宋_GB2312" w:hAnsi="Times New Roman" w:cs="Times New Roman"/>
                <w:sz w:val="20"/>
                <w:szCs w:val="20"/>
              </w:rPr>
            </w:pPr>
            <w:r>
              <w:rPr>
                <w:rFonts w:ascii="仿宋_GB2312" w:hAnsi="Times New Roman" w:cs="Times New Roman" w:hint="eastAsia"/>
                <w:sz w:val="20"/>
                <w:szCs w:val="20"/>
              </w:rPr>
              <w:t>危险作业管理制度；</w:t>
            </w:r>
          </w:p>
          <w:p w14:paraId="70AF5F6F" w14:textId="77777777" w:rsidR="00857BF6" w:rsidRDefault="00857BF6" w:rsidP="00857BF6">
            <w:pPr>
              <w:pStyle w:val="a9"/>
              <w:numPr>
                <w:ilvl w:val="0"/>
                <w:numId w:val="23"/>
              </w:numPr>
              <w:adjustRightInd w:val="0"/>
              <w:snapToGrid w:val="0"/>
              <w:spacing w:line="240" w:lineRule="auto"/>
              <w:ind w:left="300" w:hangingChars="150" w:hanging="300"/>
              <w:rPr>
                <w:rFonts w:ascii="仿宋_GB2312" w:hAnsi="Times New Roman" w:cs="Times New Roman"/>
                <w:sz w:val="20"/>
                <w:szCs w:val="20"/>
              </w:rPr>
            </w:pPr>
            <w:r>
              <w:rPr>
                <w:rFonts w:ascii="仿宋_GB2312" w:hAnsi="Times New Roman" w:cs="Times New Roman" w:hint="eastAsia"/>
                <w:sz w:val="20"/>
                <w:szCs w:val="20"/>
              </w:rPr>
              <w:t>特种作业人员管理制度；</w:t>
            </w:r>
          </w:p>
          <w:p w14:paraId="12ED206F" w14:textId="77777777" w:rsidR="00857BF6" w:rsidRDefault="00857BF6" w:rsidP="00857BF6">
            <w:pPr>
              <w:pStyle w:val="a9"/>
              <w:numPr>
                <w:ilvl w:val="0"/>
                <w:numId w:val="23"/>
              </w:numPr>
              <w:adjustRightInd w:val="0"/>
              <w:snapToGrid w:val="0"/>
              <w:spacing w:line="240" w:lineRule="auto"/>
              <w:ind w:left="300" w:hangingChars="150" w:hanging="300"/>
              <w:rPr>
                <w:rFonts w:ascii="仿宋_GB2312" w:hAnsi="Times New Roman" w:cs="Times New Roman"/>
                <w:sz w:val="20"/>
                <w:szCs w:val="20"/>
              </w:rPr>
            </w:pPr>
            <w:r>
              <w:rPr>
                <w:rFonts w:ascii="仿宋_GB2312" w:hAnsi="Times New Roman" w:cs="Times New Roman" w:hint="eastAsia"/>
                <w:sz w:val="20"/>
                <w:szCs w:val="20"/>
              </w:rPr>
              <w:t>劳动防护用品配备和使用制度；</w:t>
            </w:r>
          </w:p>
          <w:p w14:paraId="2E020696" w14:textId="77777777" w:rsidR="00857BF6" w:rsidRDefault="00857BF6" w:rsidP="00857BF6">
            <w:pPr>
              <w:pStyle w:val="a9"/>
              <w:numPr>
                <w:ilvl w:val="0"/>
                <w:numId w:val="23"/>
              </w:numPr>
              <w:adjustRightInd w:val="0"/>
              <w:snapToGrid w:val="0"/>
              <w:spacing w:line="240" w:lineRule="auto"/>
              <w:ind w:left="300" w:hangingChars="150" w:hanging="300"/>
              <w:rPr>
                <w:rFonts w:ascii="仿宋_GB2312" w:hAnsi="Times New Roman" w:cs="Times New Roman"/>
                <w:sz w:val="20"/>
                <w:szCs w:val="20"/>
              </w:rPr>
            </w:pPr>
            <w:r>
              <w:rPr>
                <w:rFonts w:ascii="仿宋_GB2312" w:hAnsi="Times New Roman" w:cs="Times New Roman" w:hint="eastAsia"/>
                <w:sz w:val="20"/>
                <w:szCs w:val="20"/>
              </w:rPr>
              <w:t>安全生产奖励和惩罚制度；</w:t>
            </w:r>
          </w:p>
          <w:p w14:paraId="1EC36E2E" w14:textId="77777777" w:rsidR="00857BF6" w:rsidRDefault="00857BF6" w:rsidP="00857BF6">
            <w:pPr>
              <w:pStyle w:val="a9"/>
              <w:numPr>
                <w:ilvl w:val="0"/>
                <w:numId w:val="23"/>
              </w:numPr>
              <w:adjustRightInd w:val="0"/>
              <w:snapToGrid w:val="0"/>
              <w:spacing w:line="240" w:lineRule="auto"/>
              <w:ind w:left="300" w:hangingChars="150" w:hanging="300"/>
              <w:rPr>
                <w:rFonts w:ascii="仿宋_GB2312" w:hAnsi="Times New Roman" w:cs="Times New Roman"/>
                <w:sz w:val="20"/>
                <w:szCs w:val="20"/>
              </w:rPr>
            </w:pPr>
            <w:r>
              <w:rPr>
                <w:rFonts w:ascii="仿宋_GB2312" w:hAnsi="Times New Roman" w:cs="Times New Roman" w:hint="eastAsia"/>
                <w:sz w:val="20"/>
                <w:szCs w:val="20"/>
              </w:rPr>
              <w:t>生产安全事故报告和调查处理制度；</w:t>
            </w:r>
          </w:p>
          <w:p w14:paraId="4A668B57" w14:textId="77777777" w:rsidR="00857BF6" w:rsidRDefault="00857BF6" w:rsidP="00857BF6">
            <w:pPr>
              <w:pStyle w:val="a9"/>
              <w:numPr>
                <w:ilvl w:val="0"/>
                <w:numId w:val="23"/>
              </w:numPr>
              <w:adjustRightInd w:val="0"/>
              <w:snapToGrid w:val="0"/>
              <w:spacing w:line="240" w:lineRule="auto"/>
              <w:ind w:left="300" w:hangingChars="150" w:hanging="300"/>
              <w:rPr>
                <w:rFonts w:ascii="仿宋_GB2312" w:hAnsi="Times New Roman" w:cs="Times New Roman"/>
                <w:sz w:val="20"/>
                <w:szCs w:val="20"/>
              </w:rPr>
            </w:pPr>
            <w:r>
              <w:rPr>
                <w:rFonts w:ascii="仿宋_GB2312" w:hAnsi="Times New Roman" w:cs="Times New Roman" w:hint="eastAsia"/>
                <w:sz w:val="20"/>
                <w:szCs w:val="20"/>
              </w:rPr>
              <w:t>风险评价管理制度；</w:t>
            </w:r>
          </w:p>
          <w:p w14:paraId="5AFC5E06" w14:textId="77777777" w:rsidR="00857BF6" w:rsidRDefault="00857BF6" w:rsidP="00857BF6">
            <w:pPr>
              <w:pStyle w:val="a9"/>
              <w:numPr>
                <w:ilvl w:val="0"/>
                <w:numId w:val="23"/>
              </w:numPr>
              <w:adjustRightInd w:val="0"/>
              <w:snapToGrid w:val="0"/>
              <w:spacing w:line="240" w:lineRule="auto"/>
              <w:ind w:left="300" w:hangingChars="150" w:hanging="300"/>
              <w:rPr>
                <w:rFonts w:ascii="仿宋_GB2312" w:hAnsi="Times New Roman" w:cs="Times New Roman"/>
                <w:sz w:val="20"/>
                <w:szCs w:val="20"/>
              </w:rPr>
            </w:pPr>
            <w:r>
              <w:rPr>
                <w:rFonts w:ascii="仿宋_GB2312" w:hAnsi="Times New Roman" w:cs="Times New Roman" w:hint="eastAsia"/>
                <w:sz w:val="20"/>
                <w:szCs w:val="20"/>
              </w:rPr>
              <w:t>变更管理制度；</w:t>
            </w:r>
          </w:p>
          <w:p w14:paraId="1EAFE8B8" w14:textId="77777777" w:rsidR="00857BF6" w:rsidRDefault="00857BF6" w:rsidP="00857BF6">
            <w:pPr>
              <w:pStyle w:val="a9"/>
              <w:numPr>
                <w:ilvl w:val="0"/>
                <w:numId w:val="23"/>
              </w:numPr>
              <w:adjustRightInd w:val="0"/>
              <w:snapToGrid w:val="0"/>
              <w:spacing w:line="240" w:lineRule="auto"/>
              <w:ind w:left="300" w:hangingChars="150" w:hanging="300"/>
              <w:rPr>
                <w:rFonts w:ascii="仿宋_GB2312" w:hAnsi="Times New Roman" w:cs="Times New Roman"/>
                <w:sz w:val="20"/>
                <w:szCs w:val="20"/>
              </w:rPr>
            </w:pPr>
            <w:r>
              <w:rPr>
                <w:rFonts w:ascii="仿宋_GB2312" w:hAnsi="Times New Roman" w:cs="Times New Roman" w:hint="eastAsia"/>
                <w:sz w:val="20"/>
                <w:szCs w:val="20"/>
              </w:rPr>
              <w:t>防泄漏管理制度；</w:t>
            </w:r>
          </w:p>
          <w:p w14:paraId="5D7F9AD5" w14:textId="77777777" w:rsidR="00857BF6" w:rsidRDefault="00857BF6" w:rsidP="00857BF6">
            <w:pPr>
              <w:pStyle w:val="a9"/>
              <w:numPr>
                <w:ilvl w:val="0"/>
                <w:numId w:val="23"/>
              </w:numPr>
              <w:adjustRightInd w:val="0"/>
              <w:snapToGrid w:val="0"/>
              <w:spacing w:line="240" w:lineRule="auto"/>
              <w:ind w:left="300" w:hangingChars="150" w:hanging="300"/>
              <w:rPr>
                <w:rFonts w:ascii="仿宋_GB2312" w:hAnsi="Times New Roman" w:cs="Times New Roman"/>
                <w:sz w:val="20"/>
                <w:szCs w:val="20"/>
              </w:rPr>
            </w:pPr>
            <w:r>
              <w:rPr>
                <w:rFonts w:ascii="仿宋_GB2312" w:hAnsi="Times New Roman" w:cs="Times New Roman" w:hint="eastAsia"/>
                <w:sz w:val="20"/>
                <w:szCs w:val="20"/>
              </w:rPr>
              <w:lastRenderedPageBreak/>
              <w:t>应急管理制度；</w:t>
            </w:r>
          </w:p>
          <w:p w14:paraId="0363BBDE" w14:textId="77777777" w:rsidR="00857BF6" w:rsidRDefault="00857BF6" w:rsidP="00857BF6">
            <w:pPr>
              <w:pStyle w:val="a9"/>
              <w:numPr>
                <w:ilvl w:val="0"/>
                <w:numId w:val="23"/>
              </w:numPr>
              <w:adjustRightInd w:val="0"/>
              <w:snapToGrid w:val="0"/>
              <w:spacing w:line="240" w:lineRule="auto"/>
              <w:ind w:left="300" w:hangingChars="150" w:hanging="300"/>
              <w:rPr>
                <w:rFonts w:ascii="仿宋_GB2312" w:hAnsi="Times New Roman" w:cs="Times New Roman"/>
                <w:sz w:val="20"/>
                <w:szCs w:val="20"/>
              </w:rPr>
            </w:pPr>
            <w:r>
              <w:rPr>
                <w:rFonts w:ascii="仿宋_GB2312" w:hAnsi="Times New Roman" w:cs="Times New Roman" w:hint="eastAsia"/>
                <w:sz w:val="20"/>
                <w:szCs w:val="20"/>
              </w:rPr>
              <w:t>法律、法规、规章规定的其他安全生产制度。</w:t>
            </w:r>
          </w:p>
        </w:tc>
        <w:tc>
          <w:tcPr>
            <w:tcW w:w="5562" w:type="dxa"/>
            <w:vAlign w:val="center"/>
          </w:tcPr>
          <w:p w14:paraId="242AE900" w14:textId="77777777" w:rsidR="00857BF6" w:rsidRDefault="00857BF6" w:rsidP="00857BF6">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lastRenderedPageBreak/>
              <w:t>《中华人民共和国安全生产法》第四条、第二十一条、第四十一条;《北京市安全生产条例》第十五条、第二十七条;《北京市生产经营单位安全生产主体责任规定》第七条；《生产安全事故应急预案管理办法》第三十五条；DB11/T 1322.3-2017《安全生产等级评定技术规范 第3部分：加油站》第3.1.2条</w:t>
            </w:r>
          </w:p>
        </w:tc>
        <w:tc>
          <w:tcPr>
            <w:tcW w:w="696" w:type="dxa"/>
            <w:vAlign w:val="center"/>
          </w:tcPr>
          <w:p w14:paraId="1D396511" w14:textId="77777777" w:rsidR="00857BF6" w:rsidRDefault="00857BF6" w:rsidP="00857BF6">
            <w:pPr>
              <w:adjustRightInd w:val="0"/>
              <w:snapToGrid w:val="0"/>
              <w:spacing w:line="240" w:lineRule="auto"/>
              <w:rPr>
                <w:rFonts w:ascii="仿宋_GB2312" w:hAnsi="Times New Roman" w:cs="Times New Roman"/>
                <w:sz w:val="20"/>
                <w:szCs w:val="20"/>
              </w:rPr>
            </w:pPr>
          </w:p>
        </w:tc>
      </w:tr>
      <w:tr w:rsidR="00857BF6" w14:paraId="0582E825" w14:textId="77777777">
        <w:trPr>
          <w:jc w:val="center"/>
        </w:trPr>
        <w:tc>
          <w:tcPr>
            <w:tcW w:w="1657" w:type="dxa"/>
            <w:vAlign w:val="center"/>
          </w:tcPr>
          <w:p w14:paraId="6168944B" w14:textId="77777777" w:rsidR="00857BF6" w:rsidRDefault="00857BF6" w:rsidP="00857BF6">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040DE80D" w14:textId="77777777" w:rsidR="00857BF6" w:rsidRDefault="00857BF6" w:rsidP="00857BF6">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基础资料类</w:t>
            </w:r>
          </w:p>
        </w:tc>
        <w:tc>
          <w:tcPr>
            <w:tcW w:w="992" w:type="dxa"/>
            <w:vAlign w:val="center"/>
          </w:tcPr>
          <w:p w14:paraId="248BF64B" w14:textId="77777777" w:rsidR="00857BF6" w:rsidRDefault="00857BF6" w:rsidP="00857BF6">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操作规程类</w:t>
            </w:r>
          </w:p>
        </w:tc>
        <w:tc>
          <w:tcPr>
            <w:tcW w:w="4253" w:type="dxa"/>
            <w:vAlign w:val="center"/>
          </w:tcPr>
          <w:p w14:paraId="28745E3C" w14:textId="77777777" w:rsidR="00857BF6" w:rsidRDefault="00857BF6" w:rsidP="00857BF6">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未编制岗位操作规程或操作规程内容不全。</w:t>
            </w:r>
          </w:p>
        </w:tc>
        <w:tc>
          <w:tcPr>
            <w:tcW w:w="5562" w:type="dxa"/>
            <w:vAlign w:val="center"/>
          </w:tcPr>
          <w:p w14:paraId="134FE61D" w14:textId="77777777" w:rsidR="00857BF6" w:rsidRDefault="00857BF6" w:rsidP="00857BF6">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《中华人民共和国安全生产法》第二十一、二十五条；《北京市安全生产条例》第十五条；《北京市生产经营单位安全生产主体责任规定》第八条；DB11/T 1322.3-2017《安全生产等级评定技术规范 第3部分：加油站》附录B第1.3.1、1.3.2条：</w:t>
            </w:r>
          </w:p>
          <w:p w14:paraId="7B3B907E" w14:textId="77777777" w:rsidR="00857BF6" w:rsidRDefault="00857BF6" w:rsidP="00857BF6">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1) 安全操作规程应当覆盖本单位生产经营活动的全过程，内容至少包括：</w:t>
            </w:r>
          </w:p>
          <w:p w14:paraId="37232730" w14:textId="77777777" w:rsidR="00857BF6" w:rsidRDefault="00857BF6" w:rsidP="00857BF6">
            <w:pPr>
              <w:pStyle w:val="a9"/>
              <w:adjustRightInd w:val="0"/>
              <w:snapToGrid w:val="0"/>
              <w:spacing w:line="240" w:lineRule="auto"/>
              <w:ind w:left="360" w:firstLineChars="0" w:firstLine="0"/>
              <w:rPr>
                <w:rFonts w:ascii="仿宋_GB2312" w:hAnsi="Times New Roman" w:cs="Times New Roman"/>
                <w:sz w:val="20"/>
                <w:szCs w:val="20"/>
              </w:rPr>
            </w:pPr>
            <w:r>
              <w:rPr>
                <w:rFonts w:ascii="仿宋_GB2312" w:hAnsi="Times New Roman" w:cs="Times New Roman" w:hint="eastAsia"/>
                <w:sz w:val="20"/>
                <w:szCs w:val="20"/>
              </w:rPr>
              <w:t>a）加油操作规程；</w:t>
            </w:r>
          </w:p>
          <w:p w14:paraId="5AA32830" w14:textId="77777777" w:rsidR="00857BF6" w:rsidRDefault="00857BF6" w:rsidP="00857BF6">
            <w:pPr>
              <w:pStyle w:val="a9"/>
              <w:adjustRightInd w:val="0"/>
              <w:snapToGrid w:val="0"/>
              <w:spacing w:line="240" w:lineRule="auto"/>
              <w:ind w:left="360" w:firstLineChars="0" w:firstLine="0"/>
              <w:rPr>
                <w:rFonts w:ascii="仿宋_GB2312" w:hAnsi="Times New Roman" w:cs="Times New Roman"/>
                <w:sz w:val="20"/>
                <w:szCs w:val="20"/>
              </w:rPr>
            </w:pPr>
            <w:r>
              <w:rPr>
                <w:rFonts w:ascii="仿宋_GB2312" w:hAnsi="Times New Roman" w:cs="Times New Roman" w:hint="eastAsia"/>
                <w:sz w:val="20"/>
                <w:szCs w:val="20"/>
              </w:rPr>
              <w:t>b）计量操作规程；</w:t>
            </w:r>
          </w:p>
          <w:p w14:paraId="4049ABC7" w14:textId="77777777" w:rsidR="00857BF6" w:rsidRDefault="00857BF6" w:rsidP="00857BF6">
            <w:pPr>
              <w:pStyle w:val="a9"/>
              <w:adjustRightInd w:val="0"/>
              <w:snapToGrid w:val="0"/>
              <w:spacing w:line="240" w:lineRule="auto"/>
              <w:ind w:left="360" w:firstLineChars="0" w:firstLine="0"/>
              <w:rPr>
                <w:rFonts w:ascii="仿宋_GB2312" w:hAnsi="Times New Roman" w:cs="Times New Roman"/>
                <w:sz w:val="20"/>
                <w:szCs w:val="20"/>
              </w:rPr>
            </w:pPr>
            <w:r>
              <w:rPr>
                <w:rFonts w:ascii="仿宋_GB2312" w:hAnsi="Times New Roman" w:cs="Times New Roman" w:hint="eastAsia"/>
                <w:sz w:val="20"/>
                <w:szCs w:val="20"/>
              </w:rPr>
              <w:t>c）卸油操作规程；</w:t>
            </w:r>
          </w:p>
          <w:p w14:paraId="654FD22C" w14:textId="77777777" w:rsidR="00857BF6" w:rsidRDefault="00857BF6" w:rsidP="00857BF6">
            <w:pPr>
              <w:pStyle w:val="a9"/>
              <w:adjustRightInd w:val="0"/>
              <w:snapToGrid w:val="0"/>
              <w:spacing w:line="240" w:lineRule="auto"/>
              <w:ind w:left="360" w:firstLineChars="0" w:firstLine="0"/>
              <w:rPr>
                <w:rFonts w:ascii="仿宋_GB2312" w:hAnsi="Times New Roman" w:cs="Times New Roman"/>
                <w:sz w:val="20"/>
                <w:szCs w:val="20"/>
              </w:rPr>
            </w:pPr>
            <w:r>
              <w:rPr>
                <w:rFonts w:ascii="仿宋_GB2312" w:hAnsi="Times New Roman" w:cs="Times New Roman" w:hint="eastAsia"/>
                <w:sz w:val="20"/>
                <w:szCs w:val="20"/>
              </w:rPr>
              <w:t>d）油气回收设备操作规程；</w:t>
            </w:r>
          </w:p>
          <w:p w14:paraId="423EDCDE" w14:textId="77777777" w:rsidR="00857BF6" w:rsidRDefault="00857BF6" w:rsidP="00857BF6">
            <w:pPr>
              <w:pStyle w:val="a9"/>
              <w:adjustRightInd w:val="0"/>
              <w:snapToGrid w:val="0"/>
              <w:spacing w:line="240" w:lineRule="auto"/>
              <w:ind w:left="360" w:firstLineChars="0" w:firstLine="0"/>
              <w:rPr>
                <w:rFonts w:ascii="仿宋_GB2312" w:hAnsi="Times New Roman" w:cs="Times New Roman"/>
                <w:sz w:val="20"/>
                <w:szCs w:val="20"/>
              </w:rPr>
            </w:pPr>
            <w:r>
              <w:rPr>
                <w:rFonts w:ascii="仿宋_GB2312" w:hAnsi="Times New Roman" w:cs="Times New Roman" w:hint="eastAsia"/>
                <w:sz w:val="20"/>
                <w:szCs w:val="20"/>
              </w:rPr>
              <w:t>e）监测设施操作规程。</w:t>
            </w:r>
          </w:p>
          <w:p w14:paraId="00AC064C" w14:textId="77777777" w:rsidR="00857BF6" w:rsidRDefault="00857BF6" w:rsidP="00857BF6">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2）安全操作规程应当包括：适用范围、岗位存在的主要危险源及控制要求、设备使用方法或作业程序、个体防护要求、禁止事项、紧急情况现场处置措施等内容。</w:t>
            </w:r>
          </w:p>
        </w:tc>
        <w:tc>
          <w:tcPr>
            <w:tcW w:w="696" w:type="dxa"/>
            <w:vAlign w:val="center"/>
          </w:tcPr>
          <w:p w14:paraId="627A3653" w14:textId="77777777" w:rsidR="00857BF6" w:rsidRDefault="00857BF6" w:rsidP="00857BF6">
            <w:pPr>
              <w:adjustRightInd w:val="0"/>
              <w:snapToGrid w:val="0"/>
              <w:spacing w:line="240" w:lineRule="auto"/>
              <w:rPr>
                <w:rFonts w:ascii="仿宋_GB2312" w:hAnsi="Times New Roman" w:cs="Times New Roman"/>
                <w:sz w:val="20"/>
                <w:szCs w:val="20"/>
              </w:rPr>
            </w:pPr>
          </w:p>
        </w:tc>
      </w:tr>
      <w:tr w:rsidR="0045599B" w14:paraId="05CAC8B9" w14:textId="77777777">
        <w:trPr>
          <w:jc w:val="center"/>
        </w:trPr>
        <w:tc>
          <w:tcPr>
            <w:tcW w:w="1657" w:type="dxa"/>
            <w:vAlign w:val="center"/>
          </w:tcPr>
          <w:p w14:paraId="0A109827"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39A9D94C"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基础资料类</w:t>
            </w:r>
          </w:p>
        </w:tc>
        <w:tc>
          <w:tcPr>
            <w:tcW w:w="992" w:type="dxa"/>
            <w:vAlign w:val="center"/>
          </w:tcPr>
          <w:p w14:paraId="44021D3D"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记录档案类</w:t>
            </w:r>
          </w:p>
        </w:tc>
        <w:tc>
          <w:tcPr>
            <w:tcW w:w="4253" w:type="dxa"/>
            <w:vAlign w:val="center"/>
          </w:tcPr>
          <w:p w14:paraId="202884D4"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未落实负责人带班（值班）制度，或值班记录不完整。</w:t>
            </w:r>
          </w:p>
        </w:tc>
        <w:tc>
          <w:tcPr>
            <w:tcW w:w="5562" w:type="dxa"/>
            <w:vAlign w:val="center"/>
          </w:tcPr>
          <w:p w14:paraId="4D7C806C"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《关于危险化学品企业贯彻落实&lt;国务院关于进一步加强企业安全生产工作的通知&gt;的实施意见 》第四条；DB11/T 1322.3-2017《安全生产等级评定技术规范 第3部分：加油站》附录B 第1.4.1条</w:t>
            </w:r>
          </w:p>
        </w:tc>
        <w:tc>
          <w:tcPr>
            <w:tcW w:w="696" w:type="dxa"/>
            <w:vAlign w:val="center"/>
          </w:tcPr>
          <w:p w14:paraId="3C578D0C" w14:textId="77777777" w:rsidR="0045599B" w:rsidRDefault="0045599B">
            <w:pPr>
              <w:adjustRightInd w:val="0"/>
              <w:snapToGrid w:val="0"/>
              <w:spacing w:line="240" w:lineRule="auto"/>
              <w:rPr>
                <w:rFonts w:ascii="仿宋_GB2312" w:hAnsi="Times New Roman" w:cs="Times New Roman"/>
                <w:sz w:val="20"/>
                <w:szCs w:val="20"/>
              </w:rPr>
            </w:pPr>
          </w:p>
        </w:tc>
      </w:tr>
      <w:tr w:rsidR="00857BF6" w14:paraId="69649A64" w14:textId="77777777">
        <w:trPr>
          <w:jc w:val="center"/>
        </w:trPr>
        <w:tc>
          <w:tcPr>
            <w:tcW w:w="1657" w:type="dxa"/>
            <w:vAlign w:val="center"/>
          </w:tcPr>
          <w:p w14:paraId="4F831FFF" w14:textId="77777777" w:rsidR="00857BF6" w:rsidRDefault="00857BF6" w:rsidP="00857BF6">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746F5BB7" w14:textId="77777777" w:rsidR="00857BF6" w:rsidRDefault="00857BF6" w:rsidP="00857BF6">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基础资料类</w:t>
            </w:r>
          </w:p>
        </w:tc>
        <w:tc>
          <w:tcPr>
            <w:tcW w:w="992" w:type="dxa"/>
            <w:vAlign w:val="center"/>
          </w:tcPr>
          <w:p w14:paraId="6F1E72C4" w14:textId="77777777" w:rsidR="00857BF6" w:rsidRDefault="00857BF6" w:rsidP="00857BF6">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记录档案类</w:t>
            </w:r>
          </w:p>
        </w:tc>
        <w:tc>
          <w:tcPr>
            <w:tcW w:w="4253" w:type="dxa"/>
            <w:vAlign w:val="center"/>
          </w:tcPr>
          <w:p w14:paraId="7E25A9A2" w14:textId="77777777" w:rsidR="00857BF6" w:rsidRDefault="00857BF6" w:rsidP="00857BF6">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未制定并实施本单位安全培训计划，并建立“安全生产教育培训档案”。</w:t>
            </w:r>
          </w:p>
        </w:tc>
        <w:tc>
          <w:tcPr>
            <w:tcW w:w="5562" w:type="dxa"/>
            <w:vAlign w:val="center"/>
          </w:tcPr>
          <w:p w14:paraId="05E9A35E" w14:textId="77777777" w:rsidR="00857BF6" w:rsidRDefault="00857BF6" w:rsidP="00857BF6">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《生产经营单位安全培训规定》第二十一条；《中华人民共和国安全生产法》第二十八条；《北京市生产经营单位安全生产主体责任规定》第十八条：DB11/T 1322.3-2017《安全生产等级评定技术规范 第3部分：加油站》附录B 第1.5.1条、第1.5.5条</w:t>
            </w:r>
          </w:p>
          <w:p w14:paraId="6F2CF5D5" w14:textId="77777777" w:rsidR="00857BF6" w:rsidRDefault="00857BF6" w:rsidP="00857BF6">
            <w:pPr>
              <w:adjustRightInd w:val="0"/>
              <w:snapToGrid w:val="0"/>
              <w:spacing w:line="240" w:lineRule="auto"/>
              <w:ind w:firstLineChars="200" w:firstLine="400"/>
              <w:rPr>
                <w:rFonts w:ascii="仿宋_GB2312" w:hAnsi="Times New Roman" w:cs="Times New Roman"/>
                <w:sz w:val="20"/>
                <w:szCs w:val="20"/>
              </w:rPr>
            </w:pPr>
            <w:r>
              <w:rPr>
                <w:rFonts w:ascii="仿宋_GB2312" w:hAnsi="Times New Roman" w:cs="Times New Roman" w:hint="eastAsia"/>
                <w:sz w:val="20"/>
                <w:szCs w:val="20"/>
              </w:rPr>
              <w:t>教育和培训档案应包括教育和培训的内容或者影像资料、教育和培训的签到表和培训学时记录、考试试卷或者从业人员本人签名的考核记录。</w:t>
            </w:r>
          </w:p>
        </w:tc>
        <w:tc>
          <w:tcPr>
            <w:tcW w:w="696" w:type="dxa"/>
            <w:vAlign w:val="center"/>
          </w:tcPr>
          <w:p w14:paraId="2ADFDE6C" w14:textId="77777777" w:rsidR="00857BF6" w:rsidRDefault="00857BF6" w:rsidP="00857BF6">
            <w:pPr>
              <w:adjustRightInd w:val="0"/>
              <w:snapToGrid w:val="0"/>
              <w:spacing w:line="240" w:lineRule="auto"/>
              <w:rPr>
                <w:rFonts w:ascii="仿宋_GB2312" w:hAnsi="Times New Roman" w:cs="Times New Roman"/>
                <w:sz w:val="20"/>
                <w:szCs w:val="20"/>
              </w:rPr>
            </w:pPr>
          </w:p>
        </w:tc>
      </w:tr>
      <w:tr w:rsidR="0045599B" w14:paraId="176AAE89" w14:textId="77777777">
        <w:trPr>
          <w:jc w:val="center"/>
        </w:trPr>
        <w:tc>
          <w:tcPr>
            <w:tcW w:w="1657" w:type="dxa"/>
            <w:vAlign w:val="center"/>
          </w:tcPr>
          <w:p w14:paraId="5383E144"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0565DFF9"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基础资料类</w:t>
            </w:r>
          </w:p>
        </w:tc>
        <w:tc>
          <w:tcPr>
            <w:tcW w:w="992" w:type="dxa"/>
            <w:vAlign w:val="center"/>
          </w:tcPr>
          <w:p w14:paraId="304E0702"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记录档案类</w:t>
            </w:r>
          </w:p>
        </w:tc>
        <w:tc>
          <w:tcPr>
            <w:tcW w:w="4253" w:type="dxa"/>
            <w:vAlign w:val="center"/>
          </w:tcPr>
          <w:p w14:paraId="3C6FB05E"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主要负责人、安全生产管理人员或其他从业人员培训学时不足。</w:t>
            </w:r>
          </w:p>
        </w:tc>
        <w:tc>
          <w:tcPr>
            <w:tcW w:w="5562" w:type="dxa"/>
            <w:vAlign w:val="center"/>
          </w:tcPr>
          <w:p w14:paraId="23CDDB6B"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《生产经营单位安全培训规定》（安监总局令第80号）第二十一条；DB11/T 1322.3-2017《安全生产等级评定技术规范 第</w:t>
            </w:r>
            <w:r>
              <w:rPr>
                <w:rFonts w:ascii="仿宋_GB2312" w:hAnsi="Times New Roman" w:cs="Times New Roman" w:hint="eastAsia"/>
                <w:sz w:val="20"/>
                <w:szCs w:val="20"/>
              </w:rPr>
              <w:lastRenderedPageBreak/>
              <w:t>3部分：加油站》附录B 第1.5.3条：</w:t>
            </w:r>
          </w:p>
          <w:p w14:paraId="2B676679"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1）主要负责人和安全生产管理人员初次安全培训时间不应少于 48 学时，每年再培训时间不应少于 16 学时，并应培训考试合格后上岗；</w:t>
            </w:r>
          </w:p>
          <w:p w14:paraId="38D2F830"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2）主要负责人和职业卫生管理人员初次职业卫生培训不应少于 16 学时，每年继续教育不应少于 8 学时；</w:t>
            </w:r>
          </w:p>
          <w:p w14:paraId="1088272D"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3）新上岗的从业人员应进行三级安全培训教育，安全培训时间不应少于 72 学时，每年再培训时间不应少于 20学时。每级安全培训教育应有授课人员和培训人员的签字；</w:t>
            </w:r>
          </w:p>
          <w:p w14:paraId="5253A5BD"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4）特种作业人员应取得相应作业操作资格证书，并按期进行复训和复审。</w:t>
            </w:r>
          </w:p>
        </w:tc>
        <w:tc>
          <w:tcPr>
            <w:tcW w:w="696" w:type="dxa"/>
            <w:vAlign w:val="center"/>
          </w:tcPr>
          <w:p w14:paraId="6E0A2CEF"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5F54B76C" w14:textId="77777777">
        <w:trPr>
          <w:jc w:val="center"/>
        </w:trPr>
        <w:tc>
          <w:tcPr>
            <w:tcW w:w="1657" w:type="dxa"/>
            <w:vAlign w:val="center"/>
          </w:tcPr>
          <w:p w14:paraId="72B66BD9"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5B5458DE"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基础资料类</w:t>
            </w:r>
          </w:p>
        </w:tc>
        <w:tc>
          <w:tcPr>
            <w:tcW w:w="992" w:type="dxa"/>
            <w:vAlign w:val="center"/>
          </w:tcPr>
          <w:p w14:paraId="4DE2325C"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记录档案类</w:t>
            </w:r>
          </w:p>
        </w:tc>
        <w:tc>
          <w:tcPr>
            <w:tcW w:w="4253" w:type="dxa"/>
            <w:vAlign w:val="center"/>
          </w:tcPr>
          <w:p w14:paraId="79B2DAF8"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未建立安全设备（防火、防爆、通风等设备设施）维护、保养、检测记录。</w:t>
            </w:r>
          </w:p>
        </w:tc>
        <w:tc>
          <w:tcPr>
            <w:tcW w:w="5562" w:type="dxa"/>
            <w:vAlign w:val="center"/>
          </w:tcPr>
          <w:p w14:paraId="5D875D58"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《中华人民共和国安全生产法》第三十七条；AQ3010-2022《加油站作业安全规范》第8.4 条；DB11/T 1322.3-2017《安全生产等级评定技术规范 第3部分：加油站》 第3.6.1条：</w:t>
            </w:r>
          </w:p>
          <w:p w14:paraId="2D14DF8C"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1）安全附件的检验报告；</w:t>
            </w:r>
          </w:p>
          <w:p w14:paraId="14D0CAE3"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2）防雷防静电装置检测报告（每半年至少一次）；</w:t>
            </w:r>
          </w:p>
          <w:p w14:paraId="290435D1"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3）可燃气体浓度检测报警装置检定报告（每年至少一次）。</w:t>
            </w:r>
          </w:p>
        </w:tc>
        <w:tc>
          <w:tcPr>
            <w:tcW w:w="696" w:type="dxa"/>
            <w:vAlign w:val="center"/>
          </w:tcPr>
          <w:p w14:paraId="2191541E"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7B063833" w14:textId="77777777">
        <w:trPr>
          <w:jc w:val="center"/>
        </w:trPr>
        <w:tc>
          <w:tcPr>
            <w:tcW w:w="1657" w:type="dxa"/>
            <w:vAlign w:val="center"/>
          </w:tcPr>
          <w:p w14:paraId="500D90BC"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337668B8"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基础资料类</w:t>
            </w:r>
          </w:p>
        </w:tc>
        <w:tc>
          <w:tcPr>
            <w:tcW w:w="992" w:type="dxa"/>
            <w:vAlign w:val="center"/>
          </w:tcPr>
          <w:p w14:paraId="609C2E50"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记录档案类</w:t>
            </w:r>
          </w:p>
        </w:tc>
        <w:tc>
          <w:tcPr>
            <w:tcW w:w="4253" w:type="dxa"/>
            <w:vAlign w:val="center"/>
          </w:tcPr>
          <w:p w14:paraId="62A99A3D"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未建立事故隐患排查治理记录、安全检查及发现问题处理记录。</w:t>
            </w:r>
          </w:p>
        </w:tc>
        <w:tc>
          <w:tcPr>
            <w:tcW w:w="5562" w:type="dxa"/>
            <w:vAlign w:val="center"/>
          </w:tcPr>
          <w:p w14:paraId="1F8EF492"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《中华人民共和国安全生产法》第四十一条、第四十六条；《安全生产事故隐患排查治理暂行规定》第十条；《北京市生产经营单位安全生产主体责任规定》第二十九条</w:t>
            </w:r>
          </w:p>
        </w:tc>
        <w:tc>
          <w:tcPr>
            <w:tcW w:w="696" w:type="dxa"/>
            <w:vAlign w:val="center"/>
          </w:tcPr>
          <w:p w14:paraId="4A4959C8"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0775EAA0" w14:textId="77777777">
        <w:trPr>
          <w:jc w:val="center"/>
        </w:trPr>
        <w:tc>
          <w:tcPr>
            <w:tcW w:w="1657" w:type="dxa"/>
            <w:vAlign w:val="center"/>
          </w:tcPr>
          <w:p w14:paraId="38A707F8"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7AE99047"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基础资料类</w:t>
            </w:r>
          </w:p>
        </w:tc>
        <w:tc>
          <w:tcPr>
            <w:tcW w:w="992" w:type="dxa"/>
            <w:vAlign w:val="center"/>
          </w:tcPr>
          <w:p w14:paraId="6D50F62A"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记录档案类</w:t>
            </w:r>
          </w:p>
        </w:tc>
        <w:tc>
          <w:tcPr>
            <w:tcW w:w="4253" w:type="dxa"/>
            <w:vAlign w:val="center"/>
          </w:tcPr>
          <w:p w14:paraId="5600AB8F"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未按要求开展风险评估并落实风险分级管控责任。</w:t>
            </w:r>
          </w:p>
        </w:tc>
        <w:tc>
          <w:tcPr>
            <w:tcW w:w="5562" w:type="dxa"/>
            <w:vAlign w:val="center"/>
          </w:tcPr>
          <w:p w14:paraId="72C261FD"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生产安全事故应急预案管理办法》第十条；《北京市安全生产条例》第二十七条；《北京市生产经营单位安全生产主体责任规定》第二十九条：小型或者微型企业等规模较小的生产经营单位，应当至少排查治理用火、用电、用气等方面的生产安全事故隐患</w:t>
            </w:r>
          </w:p>
        </w:tc>
        <w:tc>
          <w:tcPr>
            <w:tcW w:w="696" w:type="dxa"/>
            <w:vAlign w:val="center"/>
          </w:tcPr>
          <w:p w14:paraId="26362D55"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2DB5FA7E" w14:textId="77777777">
        <w:trPr>
          <w:jc w:val="center"/>
        </w:trPr>
        <w:tc>
          <w:tcPr>
            <w:tcW w:w="1657" w:type="dxa"/>
            <w:vAlign w:val="center"/>
          </w:tcPr>
          <w:p w14:paraId="51B6C04F"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6AFC7BC6"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基础资料类</w:t>
            </w:r>
          </w:p>
        </w:tc>
        <w:tc>
          <w:tcPr>
            <w:tcW w:w="992" w:type="dxa"/>
            <w:vAlign w:val="center"/>
          </w:tcPr>
          <w:p w14:paraId="73255C67"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记录档案类</w:t>
            </w:r>
          </w:p>
        </w:tc>
        <w:tc>
          <w:tcPr>
            <w:tcW w:w="4253" w:type="dxa"/>
            <w:vAlign w:val="center"/>
          </w:tcPr>
          <w:p w14:paraId="7B56D6D2"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未依照规定对其安全生产条件定期进行安全评价。</w:t>
            </w:r>
          </w:p>
        </w:tc>
        <w:tc>
          <w:tcPr>
            <w:tcW w:w="5562" w:type="dxa"/>
            <w:vAlign w:val="center"/>
          </w:tcPr>
          <w:p w14:paraId="4D7C3CC9"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《危险化学品安全管理条例》第二十二条</w:t>
            </w:r>
          </w:p>
        </w:tc>
        <w:tc>
          <w:tcPr>
            <w:tcW w:w="696" w:type="dxa"/>
            <w:vAlign w:val="center"/>
          </w:tcPr>
          <w:p w14:paraId="3234C6A8"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007516E1" w14:textId="77777777">
        <w:trPr>
          <w:jc w:val="center"/>
        </w:trPr>
        <w:tc>
          <w:tcPr>
            <w:tcW w:w="1657" w:type="dxa"/>
            <w:vAlign w:val="center"/>
          </w:tcPr>
          <w:p w14:paraId="395776FC"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6B7C78C3"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基础资料类</w:t>
            </w:r>
          </w:p>
        </w:tc>
        <w:tc>
          <w:tcPr>
            <w:tcW w:w="992" w:type="dxa"/>
            <w:vAlign w:val="center"/>
          </w:tcPr>
          <w:p w14:paraId="2131BB2A"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记录档案类</w:t>
            </w:r>
          </w:p>
        </w:tc>
        <w:tc>
          <w:tcPr>
            <w:tcW w:w="4253" w:type="dxa"/>
            <w:vAlign w:val="center"/>
          </w:tcPr>
          <w:p w14:paraId="0BE60A82"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未建立有限空间管理台账。</w:t>
            </w:r>
          </w:p>
        </w:tc>
        <w:tc>
          <w:tcPr>
            <w:tcW w:w="5562" w:type="dxa"/>
            <w:vAlign w:val="center"/>
          </w:tcPr>
          <w:p w14:paraId="132DE550"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《北京市安全生产委员会办公室关于进一步加强有限空间作业安全生产工作的通知》（京安办发〔2018〕13号）；《工贸企业有限空间作业安全管理与监督暂行规定》第七条；DB11/T 852-2019《有限空间作业安全技术规范》第7.2.1条、</w:t>
            </w:r>
            <w:r>
              <w:rPr>
                <w:rFonts w:ascii="仿宋_GB2312" w:hAnsi="Times New Roman" w:cs="Times New Roman" w:hint="eastAsia"/>
                <w:sz w:val="20"/>
                <w:szCs w:val="20"/>
              </w:rPr>
              <w:lastRenderedPageBreak/>
              <w:t>第7.2.2条：</w:t>
            </w:r>
          </w:p>
          <w:p w14:paraId="62C2D77F" w14:textId="77777777" w:rsidR="0045599B" w:rsidRDefault="00000000">
            <w:pPr>
              <w:adjustRightInd w:val="0"/>
              <w:snapToGrid w:val="0"/>
              <w:spacing w:line="240" w:lineRule="auto"/>
              <w:ind w:firstLineChars="200" w:firstLine="400"/>
              <w:rPr>
                <w:rFonts w:ascii="仿宋_GB2312" w:hAnsi="Times New Roman" w:cs="Times New Roman"/>
                <w:sz w:val="20"/>
                <w:szCs w:val="20"/>
              </w:rPr>
            </w:pPr>
            <w:r>
              <w:rPr>
                <w:rFonts w:ascii="仿宋_GB2312" w:hAnsi="Times New Roman" w:cs="Times New Roman" w:hint="eastAsia"/>
                <w:sz w:val="20"/>
                <w:szCs w:val="20"/>
              </w:rPr>
              <w:t>有限空间管理台账应包括有限空间位置、名称、主要危险有害因素、可能事故后果、防护要求、作业形式、审批责任人和现场责任人等。</w:t>
            </w:r>
          </w:p>
        </w:tc>
        <w:tc>
          <w:tcPr>
            <w:tcW w:w="696" w:type="dxa"/>
            <w:vAlign w:val="center"/>
          </w:tcPr>
          <w:p w14:paraId="67D20E22"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1B25B571" w14:textId="77777777">
        <w:trPr>
          <w:jc w:val="center"/>
        </w:trPr>
        <w:tc>
          <w:tcPr>
            <w:tcW w:w="1657" w:type="dxa"/>
            <w:vAlign w:val="center"/>
          </w:tcPr>
          <w:p w14:paraId="26FB7820"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183C3AEC"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基础资料类</w:t>
            </w:r>
          </w:p>
        </w:tc>
        <w:tc>
          <w:tcPr>
            <w:tcW w:w="992" w:type="dxa"/>
            <w:vAlign w:val="center"/>
          </w:tcPr>
          <w:p w14:paraId="59AD1FCD"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记录档案类</w:t>
            </w:r>
          </w:p>
        </w:tc>
        <w:tc>
          <w:tcPr>
            <w:tcW w:w="4253" w:type="dxa"/>
            <w:vAlign w:val="center"/>
          </w:tcPr>
          <w:p w14:paraId="61A9D62C"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未建立劳动防护用品购买、验收和发放记录。</w:t>
            </w:r>
          </w:p>
        </w:tc>
        <w:tc>
          <w:tcPr>
            <w:tcW w:w="5562" w:type="dxa"/>
            <w:vAlign w:val="center"/>
          </w:tcPr>
          <w:p w14:paraId="4B8A3E49"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《北京市生产经营单位安全生产主体责任规定》第二十八条；DB11/T 1322.3-2017《安全生产等级评定技术规范 第3部分：加油站》第3.8.2条</w:t>
            </w:r>
          </w:p>
        </w:tc>
        <w:tc>
          <w:tcPr>
            <w:tcW w:w="696" w:type="dxa"/>
            <w:vAlign w:val="center"/>
          </w:tcPr>
          <w:p w14:paraId="11844A5E"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698FF263" w14:textId="77777777">
        <w:trPr>
          <w:jc w:val="center"/>
        </w:trPr>
        <w:tc>
          <w:tcPr>
            <w:tcW w:w="1657" w:type="dxa"/>
            <w:vAlign w:val="center"/>
          </w:tcPr>
          <w:p w14:paraId="10AE79DC"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10859D2E"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基础资料类</w:t>
            </w:r>
          </w:p>
        </w:tc>
        <w:tc>
          <w:tcPr>
            <w:tcW w:w="992" w:type="dxa"/>
            <w:vAlign w:val="center"/>
          </w:tcPr>
          <w:p w14:paraId="70EBA049"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记录档案类</w:t>
            </w:r>
          </w:p>
        </w:tc>
        <w:tc>
          <w:tcPr>
            <w:tcW w:w="4253" w:type="dxa"/>
            <w:vAlign w:val="center"/>
          </w:tcPr>
          <w:p w14:paraId="1A7101AA"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未编制年度安全费用提取和使用计划，未建立安全费用提取和使用记录。</w:t>
            </w:r>
          </w:p>
        </w:tc>
        <w:tc>
          <w:tcPr>
            <w:tcW w:w="5562" w:type="dxa"/>
            <w:vAlign w:val="center"/>
          </w:tcPr>
          <w:p w14:paraId="7C599505"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《企业安全生产费用提取和使用管理办法》第三十二条；DB11/T 1322.3-2017《安全生产等级评定技术规范 第3部分：加油站》第3.1.7条</w:t>
            </w:r>
          </w:p>
        </w:tc>
        <w:tc>
          <w:tcPr>
            <w:tcW w:w="696" w:type="dxa"/>
            <w:vAlign w:val="center"/>
          </w:tcPr>
          <w:p w14:paraId="13B6DED9"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4795529F" w14:textId="77777777">
        <w:trPr>
          <w:jc w:val="center"/>
        </w:trPr>
        <w:tc>
          <w:tcPr>
            <w:tcW w:w="1657" w:type="dxa"/>
            <w:vAlign w:val="center"/>
          </w:tcPr>
          <w:p w14:paraId="5252ABB6"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48924699"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基础资料类</w:t>
            </w:r>
          </w:p>
        </w:tc>
        <w:tc>
          <w:tcPr>
            <w:tcW w:w="992" w:type="dxa"/>
            <w:vAlign w:val="center"/>
          </w:tcPr>
          <w:p w14:paraId="2EAB417C"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应急救援类</w:t>
            </w:r>
          </w:p>
        </w:tc>
        <w:tc>
          <w:tcPr>
            <w:tcW w:w="4253" w:type="dxa"/>
            <w:vAlign w:val="center"/>
          </w:tcPr>
          <w:p w14:paraId="7AFC0D15"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未按要求编制应急救援预案和应急处置卡。</w:t>
            </w:r>
          </w:p>
        </w:tc>
        <w:tc>
          <w:tcPr>
            <w:tcW w:w="5562" w:type="dxa"/>
            <w:vAlign w:val="center"/>
          </w:tcPr>
          <w:p w14:paraId="328ED312"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《中华人民共和国安全生产法》第八十一条；《生产安全事故应急条例》第五条；《北京市安全生产条例》第五十五条；《北京市生产经营单位安全生产主体责任规定》第三十条；DB11/T 1322.3-2017《安全生产等级评定技术规范 第3部分：加油站》第3.1.6条：</w:t>
            </w:r>
          </w:p>
          <w:p w14:paraId="2C441782"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①生产经营单位应当制定本单位生产安全事故应急救援预案，与所在地县级以上地方人民政府组织制定的生产安全事故应急救援预案相衔接，并定期组织演练。</w:t>
            </w:r>
          </w:p>
          <w:p w14:paraId="4B469205"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②应急预案分为综合应急预案、专项应急预案和现场处置方案；急救援预案应包括：a) 油品泄漏应急预案；b) 火灾应急预案。</w:t>
            </w:r>
          </w:p>
          <w:p w14:paraId="6D5CA1B4"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③应急预案应经本单位负责人签署。</w:t>
            </w:r>
          </w:p>
        </w:tc>
        <w:tc>
          <w:tcPr>
            <w:tcW w:w="696" w:type="dxa"/>
            <w:vAlign w:val="center"/>
          </w:tcPr>
          <w:p w14:paraId="15B47912"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1F6B3959" w14:textId="77777777">
        <w:trPr>
          <w:jc w:val="center"/>
        </w:trPr>
        <w:tc>
          <w:tcPr>
            <w:tcW w:w="1657" w:type="dxa"/>
            <w:vAlign w:val="center"/>
          </w:tcPr>
          <w:p w14:paraId="468F889C"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0B78A344"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基础资料类</w:t>
            </w:r>
          </w:p>
        </w:tc>
        <w:tc>
          <w:tcPr>
            <w:tcW w:w="992" w:type="dxa"/>
            <w:vAlign w:val="center"/>
          </w:tcPr>
          <w:p w14:paraId="2E1C0BF8"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应急救援类</w:t>
            </w:r>
          </w:p>
        </w:tc>
        <w:tc>
          <w:tcPr>
            <w:tcW w:w="4253" w:type="dxa"/>
            <w:vAlign w:val="center"/>
          </w:tcPr>
          <w:p w14:paraId="0503FFA4"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未建立应急救援组织及专兼职应急救援队伍，且未与邻近的应急救援队伍签订应急救援协议。</w:t>
            </w:r>
          </w:p>
        </w:tc>
        <w:tc>
          <w:tcPr>
            <w:tcW w:w="5562" w:type="dxa"/>
            <w:vAlign w:val="center"/>
          </w:tcPr>
          <w:p w14:paraId="0572E231"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《中华人民共和国安全生产法》第八十二条；《北京市生产经营单位安全生产主体责任规定》第三十一条；《生产安全事故应急条例》第十条</w:t>
            </w:r>
          </w:p>
        </w:tc>
        <w:tc>
          <w:tcPr>
            <w:tcW w:w="696" w:type="dxa"/>
            <w:vAlign w:val="center"/>
          </w:tcPr>
          <w:p w14:paraId="235C1A57"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2167BE55" w14:textId="77777777">
        <w:trPr>
          <w:jc w:val="center"/>
        </w:trPr>
        <w:tc>
          <w:tcPr>
            <w:tcW w:w="1657" w:type="dxa"/>
            <w:vAlign w:val="center"/>
          </w:tcPr>
          <w:p w14:paraId="6F83D895"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3018B062"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基础资料类</w:t>
            </w:r>
          </w:p>
        </w:tc>
        <w:tc>
          <w:tcPr>
            <w:tcW w:w="992" w:type="dxa"/>
            <w:vAlign w:val="center"/>
          </w:tcPr>
          <w:p w14:paraId="3E337AF1"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应急救援类</w:t>
            </w:r>
          </w:p>
        </w:tc>
        <w:tc>
          <w:tcPr>
            <w:tcW w:w="4253" w:type="dxa"/>
            <w:vAlign w:val="center"/>
          </w:tcPr>
          <w:p w14:paraId="58003323"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未按规定配备应急物资和装备，未建立应急物资、装备配备及其使用档案，或未对应急物资、装备进行定期检测和维护。</w:t>
            </w:r>
          </w:p>
        </w:tc>
        <w:tc>
          <w:tcPr>
            <w:tcW w:w="5562" w:type="dxa"/>
            <w:vAlign w:val="center"/>
          </w:tcPr>
          <w:p w14:paraId="1AB6996A"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《中华人民共和国安全生产法》第八十二条；《北京市生产经营单位安全生产主体责任规定》第三十一条；《生产安全事故应急预案管理办法》第三十八条</w:t>
            </w:r>
          </w:p>
        </w:tc>
        <w:tc>
          <w:tcPr>
            <w:tcW w:w="696" w:type="dxa"/>
            <w:vAlign w:val="center"/>
          </w:tcPr>
          <w:p w14:paraId="6A2826DC"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4F390E07" w14:textId="77777777">
        <w:trPr>
          <w:jc w:val="center"/>
        </w:trPr>
        <w:tc>
          <w:tcPr>
            <w:tcW w:w="1657" w:type="dxa"/>
            <w:vAlign w:val="center"/>
          </w:tcPr>
          <w:p w14:paraId="23FD98C0"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52D9B75E"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基础资料类</w:t>
            </w:r>
          </w:p>
        </w:tc>
        <w:tc>
          <w:tcPr>
            <w:tcW w:w="992" w:type="dxa"/>
            <w:vAlign w:val="center"/>
          </w:tcPr>
          <w:p w14:paraId="055C8524"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应急救援类</w:t>
            </w:r>
          </w:p>
        </w:tc>
        <w:tc>
          <w:tcPr>
            <w:tcW w:w="4253" w:type="dxa"/>
            <w:vAlign w:val="center"/>
          </w:tcPr>
          <w:p w14:paraId="496C7072"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未按要求制定应急预案演练计划；未按要求开展应急预案演练；未按要求对应急预案演练效果进行评估。</w:t>
            </w:r>
          </w:p>
        </w:tc>
        <w:tc>
          <w:tcPr>
            <w:tcW w:w="5562" w:type="dxa"/>
            <w:vAlign w:val="center"/>
          </w:tcPr>
          <w:p w14:paraId="6022B25C"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《中华人民共和国安全生产法》第八十一条；《北京市安全生产条例》第五十五条；《生产安全事故应急预案管理办法》第三十三条、第三十四条；《北京市生产经营单位安全生产主体</w:t>
            </w:r>
            <w:r>
              <w:rPr>
                <w:rFonts w:ascii="仿宋_GB2312" w:hAnsi="Times New Roman" w:cs="Times New Roman" w:hint="eastAsia"/>
                <w:sz w:val="20"/>
                <w:szCs w:val="20"/>
              </w:rPr>
              <w:lastRenderedPageBreak/>
              <w:t>责任规定》第三十条</w:t>
            </w:r>
          </w:p>
        </w:tc>
        <w:tc>
          <w:tcPr>
            <w:tcW w:w="696" w:type="dxa"/>
            <w:vAlign w:val="center"/>
          </w:tcPr>
          <w:p w14:paraId="2E21514F"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39BEF810" w14:textId="77777777">
        <w:trPr>
          <w:jc w:val="center"/>
        </w:trPr>
        <w:tc>
          <w:tcPr>
            <w:tcW w:w="1657" w:type="dxa"/>
            <w:vAlign w:val="center"/>
          </w:tcPr>
          <w:p w14:paraId="5ADC0393"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458200DC"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基础资料类</w:t>
            </w:r>
          </w:p>
        </w:tc>
        <w:tc>
          <w:tcPr>
            <w:tcW w:w="992" w:type="dxa"/>
            <w:vAlign w:val="center"/>
          </w:tcPr>
          <w:p w14:paraId="2767C553"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相关方管理类</w:t>
            </w:r>
          </w:p>
        </w:tc>
        <w:tc>
          <w:tcPr>
            <w:tcW w:w="4253" w:type="dxa"/>
            <w:vAlign w:val="center"/>
          </w:tcPr>
          <w:p w14:paraId="5309CCFB"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未与相关方签订安全生产管理协议，或未在有关合同中明确各自的安全生产管理职责。</w:t>
            </w:r>
          </w:p>
        </w:tc>
        <w:tc>
          <w:tcPr>
            <w:tcW w:w="5562" w:type="dxa"/>
            <w:vAlign w:val="center"/>
          </w:tcPr>
          <w:p w14:paraId="3A098C21"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DB11/T 1322.3-2017《安全生产等级评定技术规范 第3部分：加油站》附录B第1.8条：</w:t>
            </w:r>
          </w:p>
          <w:p w14:paraId="1B51AAC1"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内容应包括：双方安全生产职责、各自管理的区域范围，作业场所、作业人员、设备设施的安全生产管理责任，双方有关安全生产的权利和义务，生产安全事故报告和应急救援责任。</w:t>
            </w:r>
          </w:p>
        </w:tc>
        <w:tc>
          <w:tcPr>
            <w:tcW w:w="696" w:type="dxa"/>
            <w:vAlign w:val="center"/>
          </w:tcPr>
          <w:p w14:paraId="27105CA5"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4D7CFC78" w14:textId="77777777">
        <w:trPr>
          <w:jc w:val="center"/>
        </w:trPr>
        <w:tc>
          <w:tcPr>
            <w:tcW w:w="1657" w:type="dxa"/>
            <w:vAlign w:val="center"/>
          </w:tcPr>
          <w:p w14:paraId="6E3F5AA5"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0F856E2C"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基础资料类</w:t>
            </w:r>
          </w:p>
        </w:tc>
        <w:tc>
          <w:tcPr>
            <w:tcW w:w="992" w:type="dxa"/>
            <w:vAlign w:val="center"/>
          </w:tcPr>
          <w:p w14:paraId="0CE035C6"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安全生产投入类</w:t>
            </w:r>
          </w:p>
        </w:tc>
        <w:tc>
          <w:tcPr>
            <w:tcW w:w="4253" w:type="dxa"/>
            <w:vAlign w:val="center"/>
          </w:tcPr>
          <w:p w14:paraId="107BB1B8"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未按有关规定参加安全生产责任保险和工伤社会保险。</w:t>
            </w:r>
          </w:p>
        </w:tc>
        <w:tc>
          <w:tcPr>
            <w:tcW w:w="5562" w:type="dxa"/>
            <w:vAlign w:val="center"/>
          </w:tcPr>
          <w:p w14:paraId="745D8993"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《北京市安全生产条例》第三十六条；DB11/T 1322.3-2017《安全生产等级评定技术规范 第3部分：加油站》第3.1.8条</w:t>
            </w:r>
          </w:p>
        </w:tc>
        <w:tc>
          <w:tcPr>
            <w:tcW w:w="696" w:type="dxa"/>
            <w:vAlign w:val="center"/>
          </w:tcPr>
          <w:p w14:paraId="4373D346"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5BF967BF" w14:textId="77777777">
        <w:trPr>
          <w:jc w:val="center"/>
        </w:trPr>
        <w:tc>
          <w:tcPr>
            <w:tcW w:w="1657" w:type="dxa"/>
            <w:vAlign w:val="center"/>
          </w:tcPr>
          <w:p w14:paraId="4EEE71D7"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2C9234AD"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基础资料类</w:t>
            </w:r>
          </w:p>
        </w:tc>
        <w:tc>
          <w:tcPr>
            <w:tcW w:w="992" w:type="dxa"/>
            <w:vAlign w:val="center"/>
          </w:tcPr>
          <w:p w14:paraId="7FFB9614"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安全生产投入类</w:t>
            </w:r>
          </w:p>
        </w:tc>
        <w:tc>
          <w:tcPr>
            <w:tcW w:w="4253" w:type="dxa"/>
            <w:vAlign w:val="center"/>
          </w:tcPr>
          <w:p w14:paraId="71B9772C"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未按规定将安全生产费用纳入年度财务预算并专款专用。</w:t>
            </w:r>
          </w:p>
        </w:tc>
        <w:tc>
          <w:tcPr>
            <w:tcW w:w="5562" w:type="dxa"/>
            <w:vAlign w:val="center"/>
          </w:tcPr>
          <w:p w14:paraId="731DC133"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《企业安全生产费用提取和使用管理办法》第四条；《北京市安全生产条例》第十八条；DB11/T 1322.3-2017《安全生产等级评定技术规范 第3部分：加油站》第3.1.7条</w:t>
            </w:r>
          </w:p>
        </w:tc>
        <w:tc>
          <w:tcPr>
            <w:tcW w:w="696" w:type="dxa"/>
            <w:vAlign w:val="center"/>
          </w:tcPr>
          <w:p w14:paraId="5789C939"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057FD3BD" w14:textId="77777777">
        <w:trPr>
          <w:jc w:val="center"/>
        </w:trPr>
        <w:tc>
          <w:tcPr>
            <w:tcW w:w="1657" w:type="dxa"/>
            <w:vAlign w:val="center"/>
          </w:tcPr>
          <w:p w14:paraId="0A0DF4A3"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546EDA6B"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设备设施及物料类</w:t>
            </w:r>
          </w:p>
        </w:tc>
        <w:tc>
          <w:tcPr>
            <w:tcW w:w="992" w:type="dxa"/>
            <w:vAlign w:val="center"/>
          </w:tcPr>
          <w:p w14:paraId="3BBE2678"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物料类</w:t>
            </w:r>
          </w:p>
        </w:tc>
        <w:tc>
          <w:tcPr>
            <w:tcW w:w="4253" w:type="dxa"/>
            <w:vAlign w:val="center"/>
          </w:tcPr>
          <w:p w14:paraId="08D69D24"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加油站未向有危险化学品生产、经营合法资质的企业采购油品。</w:t>
            </w:r>
          </w:p>
        </w:tc>
        <w:tc>
          <w:tcPr>
            <w:tcW w:w="5562" w:type="dxa"/>
            <w:vAlign w:val="center"/>
          </w:tcPr>
          <w:p w14:paraId="2C5735DC"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DB11/T 1322.3-2017《安全生产等级评定技术规范 第3部分：加油站》第3.1.11条</w:t>
            </w:r>
          </w:p>
        </w:tc>
        <w:tc>
          <w:tcPr>
            <w:tcW w:w="696" w:type="dxa"/>
            <w:vAlign w:val="center"/>
          </w:tcPr>
          <w:p w14:paraId="28BA1336"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3FDD7BD9" w14:textId="77777777">
        <w:trPr>
          <w:jc w:val="center"/>
        </w:trPr>
        <w:tc>
          <w:tcPr>
            <w:tcW w:w="1657" w:type="dxa"/>
            <w:vAlign w:val="center"/>
          </w:tcPr>
          <w:p w14:paraId="13EABA54"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2EFAD2A0"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设备设施及物料类</w:t>
            </w:r>
          </w:p>
        </w:tc>
        <w:tc>
          <w:tcPr>
            <w:tcW w:w="992" w:type="dxa"/>
            <w:vAlign w:val="center"/>
          </w:tcPr>
          <w:p w14:paraId="676F211C"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物料类</w:t>
            </w:r>
          </w:p>
        </w:tc>
        <w:tc>
          <w:tcPr>
            <w:tcW w:w="4253" w:type="dxa"/>
            <w:vAlign w:val="center"/>
          </w:tcPr>
          <w:p w14:paraId="2D5618F9"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加油区、油罐区、卸油区收集的含油污水和清洗油罐的污水未集中收集处理，直接进入排水管道。</w:t>
            </w:r>
          </w:p>
        </w:tc>
        <w:tc>
          <w:tcPr>
            <w:tcW w:w="5562" w:type="dxa"/>
            <w:vAlign w:val="center"/>
          </w:tcPr>
          <w:p w14:paraId="5B08CE37"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50156-2021《汽车加油加气加氢站技术标准》第12.3.2条；DB11/T 1322.3-2017《安全生产等级评定技术规范 第3部分：加油站》第3.3.4.2条</w:t>
            </w:r>
          </w:p>
        </w:tc>
        <w:tc>
          <w:tcPr>
            <w:tcW w:w="696" w:type="dxa"/>
            <w:vAlign w:val="center"/>
          </w:tcPr>
          <w:p w14:paraId="7BDBF1F0"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033E6B43" w14:textId="77777777">
        <w:trPr>
          <w:jc w:val="center"/>
        </w:trPr>
        <w:tc>
          <w:tcPr>
            <w:tcW w:w="1657" w:type="dxa"/>
            <w:vAlign w:val="center"/>
          </w:tcPr>
          <w:p w14:paraId="2EE510D2"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24C30BBA"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设备设施及物料类</w:t>
            </w:r>
          </w:p>
        </w:tc>
        <w:tc>
          <w:tcPr>
            <w:tcW w:w="992" w:type="dxa"/>
            <w:vAlign w:val="center"/>
          </w:tcPr>
          <w:p w14:paraId="69A5A454"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heme="minorEastAsia" w:hint="eastAsia"/>
                <w:kern w:val="0"/>
                <w:sz w:val="20"/>
                <w:szCs w:val="20"/>
                <w:lang w:eastAsia="zh-TW" w:bidi="ar"/>
              </w:rPr>
              <w:t>工艺生产及设备设施类</w:t>
            </w:r>
          </w:p>
        </w:tc>
        <w:tc>
          <w:tcPr>
            <w:tcW w:w="4253" w:type="dxa"/>
            <w:vAlign w:val="center"/>
          </w:tcPr>
          <w:p w14:paraId="129E087B"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油罐设置不规范。</w:t>
            </w:r>
          </w:p>
        </w:tc>
        <w:tc>
          <w:tcPr>
            <w:tcW w:w="5562" w:type="dxa"/>
            <w:vAlign w:val="center"/>
          </w:tcPr>
          <w:p w14:paraId="53B8019E"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50156-2021《汽车加油加气加氢站技术标准》第6.1.1条、第6.1.2、6.1.4、6.1.11、6.1.14、6.3.10、6.3.11条；DB11/T 1322.3-2017《安全生产等级评定技术规范 第3部分：加油站》第3.3.1.1、3.3.1.2、3.3.1.3条：</w:t>
            </w:r>
          </w:p>
          <w:p w14:paraId="5522E74F" w14:textId="77777777" w:rsidR="0045599B" w:rsidRDefault="00000000">
            <w:pPr>
              <w:pStyle w:val="a9"/>
              <w:numPr>
                <w:ilvl w:val="0"/>
                <w:numId w:val="3"/>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应埋地设置，应采用卧式油罐；</w:t>
            </w:r>
          </w:p>
          <w:p w14:paraId="3710A488" w14:textId="77777777" w:rsidR="0045599B" w:rsidRDefault="00000000">
            <w:pPr>
              <w:pStyle w:val="a9"/>
              <w:numPr>
                <w:ilvl w:val="0"/>
                <w:numId w:val="3"/>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埋地油罐采用单层油罐应设置防渗罐池；</w:t>
            </w:r>
          </w:p>
          <w:p w14:paraId="1484BF4A" w14:textId="77777777" w:rsidR="0045599B" w:rsidRDefault="00000000">
            <w:pPr>
              <w:pStyle w:val="a9"/>
              <w:numPr>
                <w:ilvl w:val="0"/>
                <w:numId w:val="3"/>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地处水源保护区的加油站埋地油罐应设防渗罐池，且防渗罐池的设计应符合规范要求。</w:t>
            </w:r>
          </w:p>
          <w:p w14:paraId="43AB311B" w14:textId="77777777" w:rsidR="0045599B" w:rsidRDefault="00000000">
            <w:pPr>
              <w:pStyle w:val="a9"/>
              <w:numPr>
                <w:ilvl w:val="0"/>
                <w:numId w:val="3"/>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油罐的人孔应设操作井；</w:t>
            </w:r>
          </w:p>
          <w:p w14:paraId="1987ADA1" w14:textId="77777777" w:rsidR="0045599B" w:rsidRDefault="00000000">
            <w:pPr>
              <w:pStyle w:val="a9"/>
              <w:numPr>
                <w:ilvl w:val="0"/>
                <w:numId w:val="3"/>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设在车行道下面的人孔井应采用密闭、承重型井盖；</w:t>
            </w:r>
          </w:p>
          <w:p w14:paraId="051CC4A5" w14:textId="77777777" w:rsidR="0045599B" w:rsidRDefault="00000000">
            <w:pPr>
              <w:pStyle w:val="a9"/>
              <w:numPr>
                <w:ilvl w:val="0"/>
                <w:numId w:val="3"/>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操作井应定期清理，存在积油、积水、杂物。</w:t>
            </w:r>
          </w:p>
        </w:tc>
        <w:tc>
          <w:tcPr>
            <w:tcW w:w="696" w:type="dxa"/>
            <w:vAlign w:val="center"/>
          </w:tcPr>
          <w:p w14:paraId="3BB0A889"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7669CBA9" w14:textId="77777777">
        <w:trPr>
          <w:jc w:val="center"/>
        </w:trPr>
        <w:tc>
          <w:tcPr>
            <w:tcW w:w="1657" w:type="dxa"/>
            <w:vAlign w:val="center"/>
          </w:tcPr>
          <w:p w14:paraId="0CA59481"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473EBDF4"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设备设施及物</w:t>
            </w:r>
            <w:r>
              <w:rPr>
                <w:rFonts w:ascii="仿宋_GB2312" w:hAnsi="Times New Roman" w:cs="Times New Roman" w:hint="eastAsia"/>
                <w:sz w:val="20"/>
                <w:szCs w:val="20"/>
              </w:rPr>
              <w:lastRenderedPageBreak/>
              <w:t>料类</w:t>
            </w:r>
          </w:p>
        </w:tc>
        <w:tc>
          <w:tcPr>
            <w:tcW w:w="992" w:type="dxa"/>
            <w:vAlign w:val="center"/>
          </w:tcPr>
          <w:p w14:paraId="4D0A271A"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heme="minorEastAsia" w:hint="eastAsia"/>
                <w:kern w:val="0"/>
                <w:sz w:val="20"/>
                <w:szCs w:val="20"/>
                <w:lang w:eastAsia="zh-TW" w:bidi="ar"/>
              </w:rPr>
              <w:lastRenderedPageBreak/>
              <w:t>工艺生产及设</w:t>
            </w:r>
            <w:r>
              <w:rPr>
                <w:rFonts w:ascii="仿宋_GB2312" w:hAnsiTheme="minorEastAsia" w:hint="eastAsia"/>
                <w:kern w:val="0"/>
                <w:sz w:val="20"/>
                <w:szCs w:val="20"/>
                <w:lang w:eastAsia="zh-TW" w:bidi="ar"/>
              </w:rPr>
              <w:lastRenderedPageBreak/>
              <w:t>备设施类</w:t>
            </w:r>
          </w:p>
        </w:tc>
        <w:tc>
          <w:tcPr>
            <w:tcW w:w="4253" w:type="dxa"/>
            <w:vAlign w:val="center"/>
          </w:tcPr>
          <w:p w14:paraId="198AE976"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lastRenderedPageBreak/>
              <w:t xml:space="preserve">油罐通气管的设置不符合要求。 </w:t>
            </w:r>
          </w:p>
        </w:tc>
        <w:tc>
          <w:tcPr>
            <w:tcW w:w="5562" w:type="dxa"/>
            <w:vAlign w:val="center"/>
          </w:tcPr>
          <w:p w14:paraId="012B259E"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50156-2021《汽车加油加气加氢站技术标准》第6.3.9条、第；DB11/T 1322.3-2017《安全生产等级评定技术规范 第3</w:t>
            </w:r>
            <w:r>
              <w:rPr>
                <w:rFonts w:ascii="仿宋_GB2312" w:hAnsi="Times New Roman" w:cs="Times New Roman" w:hint="eastAsia"/>
                <w:sz w:val="20"/>
                <w:szCs w:val="20"/>
              </w:rPr>
              <w:lastRenderedPageBreak/>
              <w:t>部分：加油站》第3.3.1.4条：</w:t>
            </w:r>
          </w:p>
          <w:p w14:paraId="6F4ED864"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 xml:space="preserve">1）汽油罐与柴油罐的通气管应分开设置； </w:t>
            </w:r>
          </w:p>
          <w:p w14:paraId="3ED064CC"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2）通气管管口高出地面的高度不小于 4m；</w:t>
            </w:r>
          </w:p>
          <w:p w14:paraId="5BB7BDD9"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 xml:space="preserve">3）沿建（构）筑物的墙（柱）向上敷设的通气管，其管口应高出建筑物的顶面 1.5m 及以上； </w:t>
            </w:r>
          </w:p>
          <w:p w14:paraId="32FB2292"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4）通气管管口应设置阻火器；</w:t>
            </w:r>
          </w:p>
          <w:p w14:paraId="676A14BA"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 xml:space="preserve">5）通气管的公称直径大于 50mm； </w:t>
            </w:r>
          </w:p>
          <w:p w14:paraId="6BAA0DAB"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6）当采用油气回收系统，汽油罐的通气管管口应安装呼吸阀。</w:t>
            </w:r>
          </w:p>
        </w:tc>
        <w:tc>
          <w:tcPr>
            <w:tcW w:w="696" w:type="dxa"/>
            <w:vAlign w:val="center"/>
          </w:tcPr>
          <w:p w14:paraId="75DB3AC0"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2A400721" w14:textId="77777777">
        <w:trPr>
          <w:jc w:val="center"/>
        </w:trPr>
        <w:tc>
          <w:tcPr>
            <w:tcW w:w="1657" w:type="dxa"/>
            <w:vAlign w:val="center"/>
          </w:tcPr>
          <w:p w14:paraId="53B71299"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31514954"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设备设施及物料类</w:t>
            </w:r>
          </w:p>
        </w:tc>
        <w:tc>
          <w:tcPr>
            <w:tcW w:w="992" w:type="dxa"/>
            <w:vAlign w:val="center"/>
          </w:tcPr>
          <w:p w14:paraId="1676FBE0"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heme="minorEastAsia" w:hint="eastAsia"/>
                <w:kern w:val="0"/>
                <w:sz w:val="20"/>
                <w:szCs w:val="20"/>
                <w:lang w:eastAsia="zh-TW" w:bidi="ar"/>
              </w:rPr>
              <w:t>工艺生产及设备设施类</w:t>
            </w:r>
          </w:p>
        </w:tc>
        <w:tc>
          <w:tcPr>
            <w:tcW w:w="4253" w:type="dxa"/>
            <w:vAlign w:val="center"/>
          </w:tcPr>
          <w:p w14:paraId="6DA98A7A"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加油机设置不规范。</w:t>
            </w:r>
          </w:p>
        </w:tc>
        <w:tc>
          <w:tcPr>
            <w:tcW w:w="5562" w:type="dxa"/>
            <w:vAlign w:val="center"/>
          </w:tcPr>
          <w:p w14:paraId="1C325CD0"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50156-2021《汽车加油加气加氢站技术标准》第6.2.1条、第6.2.3条、第6.2.4条；DB11/T 1322.3-2017《安全生产等级评定技术规范 第3部分：加油站》第3.3.2.2条、第3.3.2.4条。</w:t>
            </w:r>
          </w:p>
          <w:p w14:paraId="531F6004" w14:textId="77777777" w:rsidR="0045599B" w:rsidRDefault="00000000">
            <w:pPr>
              <w:pStyle w:val="a9"/>
              <w:numPr>
                <w:ilvl w:val="0"/>
                <w:numId w:val="4"/>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加油机不能设置在室内。</w:t>
            </w:r>
          </w:p>
          <w:p w14:paraId="75B36C17" w14:textId="77777777" w:rsidR="0045599B" w:rsidRDefault="00000000">
            <w:pPr>
              <w:pStyle w:val="a9"/>
              <w:numPr>
                <w:ilvl w:val="0"/>
                <w:numId w:val="4"/>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加油软管上应设置安全拉断阀；</w:t>
            </w:r>
          </w:p>
          <w:p w14:paraId="7F46AB1C" w14:textId="77777777" w:rsidR="0045599B" w:rsidRDefault="00000000">
            <w:pPr>
              <w:pStyle w:val="a9"/>
              <w:numPr>
                <w:ilvl w:val="0"/>
                <w:numId w:val="4"/>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以正压（潜油泵）供油的加油机，其底部的供油管道上应设置剪切阀。</w:t>
            </w:r>
          </w:p>
        </w:tc>
        <w:tc>
          <w:tcPr>
            <w:tcW w:w="696" w:type="dxa"/>
            <w:vAlign w:val="center"/>
          </w:tcPr>
          <w:p w14:paraId="551F3BA5"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063A24BA" w14:textId="77777777">
        <w:trPr>
          <w:jc w:val="center"/>
        </w:trPr>
        <w:tc>
          <w:tcPr>
            <w:tcW w:w="1657" w:type="dxa"/>
            <w:vAlign w:val="center"/>
          </w:tcPr>
          <w:p w14:paraId="755E3CD3"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3B506190"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设备设施及物料类</w:t>
            </w:r>
          </w:p>
        </w:tc>
        <w:tc>
          <w:tcPr>
            <w:tcW w:w="992" w:type="dxa"/>
            <w:vAlign w:val="center"/>
          </w:tcPr>
          <w:p w14:paraId="15BBB558"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heme="minorEastAsia" w:hint="eastAsia"/>
                <w:kern w:val="0"/>
                <w:sz w:val="20"/>
                <w:szCs w:val="20"/>
                <w:lang w:eastAsia="zh-TW" w:bidi="ar"/>
              </w:rPr>
              <w:t>工艺生产及设备设施类</w:t>
            </w:r>
          </w:p>
        </w:tc>
        <w:tc>
          <w:tcPr>
            <w:tcW w:w="4253" w:type="dxa"/>
            <w:vAlign w:val="center"/>
          </w:tcPr>
          <w:p w14:paraId="5D28B740"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汽油和柴油油罐车卸油未采用密闭卸油方式；汽油油罐车不具有卸油油气回收系统。</w:t>
            </w:r>
          </w:p>
        </w:tc>
        <w:tc>
          <w:tcPr>
            <w:tcW w:w="5562" w:type="dxa"/>
            <w:vAlign w:val="center"/>
          </w:tcPr>
          <w:p w14:paraId="7E0AFA9F"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50156-2021《汽车加油加气加氢站技术标准》第6.3.1条；DB11/T 1322.3-2017《安全生产等级评定技术规范 第3部分：加油站》附录H第7.2条</w:t>
            </w:r>
          </w:p>
        </w:tc>
        <w:tc>
          <w:tcPr>
            <w:tcW w:w="696" w:type="dxa"/>
            <w:vAlign w:val="center"/>
          </w:tcPr>
          <w:p w14:paraId="063DA6F1"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088DDFB2" w14:textId="77777777">
        <w:trPr>
          <w:jc w:val="center"/>
        </w:trPr>
        <w:tc>
          <w:tcPr>
            <w:tcW w:w="1657" w:type="dxa"/>
            <w:vAlign w:val="center"/>
          </w:tcPr>
          <w:p w14:paraId="7F9F9762"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287F8410"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设备设施及物料类</w:t>
            </w:r>
          </w:p>
        </w:tc>
        <w:tc>
          <w:tcPr>
            <w:tcW w:w="992" w:type="dxa"/>
            <w:vAlign w:val="center"/>
          </w:tcPr>
          <w:p w14:paraId="3EFA1E39"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heme="minorEastAsia" w:hint="eastAsia"/>
                <w:kern w:val="0"/>
                <w:sz w:val="20"/>
                <w:szCs w:val="20"/>
                <w:lang w:eastAsia="zh-TW" w:bidi="ar"/>
              </w:rPr>
              <w:t>工艺生产及设备设施类</w:t>
            </w:r>
          </w:p>
        </w:tc>
        <w:tc>
          <w:tcPr>
            <w:tcW w:w="4253" w:type="dxa"/>
            <w:vAlign w:val="center"/>
          </w:tcPr>
          <w:p w14:paraId="1C664454"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加油站工艺管道的选用和敷设不符合规范要求。</w:t>
            </w:r>
          </w:p>
        </w:tc>
        <w:tc>
          <w:tcPr>
            <w:tcW w:w="5562" w:type="dxa"/>
            <w:vAlign w:val="center"/>
          </w:tcPr>
          <w:p w14:paraId="1A581945"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50156-2021《汽车加油加气加氢站技术标准》第6.3.12、6.3.14条、6.5.5条；DB11/T 1322.3-2017《安全生产等级评定技术规范 第3部分：加油站》附录D第3.3.1条、附录D第3.3.4条、第3.3.3.2条。</w:t>
            </w:r>
          </w:p>
          <w:p w14:paraId="40CE1BDF" w14:textId="77777777" w:rsidR="0045599B" w:rsidRDefault="00000000">
            <w:pPr>
              <w:pStyle w:val="a9"/>
              <w:numPr>
                <w:ilvl w:val="0"/>
                <w:numId w:val="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 xml:space="preserve">油罐通气管道和露出地面的管道，应采用无缝钢管； </w:t>
            </w:r>
          </w:p>
          <w:p w14:paraId="3E100F81" w14:textId="77777777" w:rsidR="0045599B" w:rsidRDefault="00000000">
            <w:pPr>
              <w:pStyle w:val="a9"/>
              <w:numPr>
                <w:ilvl w:val="0"/>
                <w:numId w:val="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其他管道采用输送流体用无缝钢管或适于输送油品的热塑性塑料管道，所采用的热塑性塑料管道应有质量证明文件；</w:t>
            </w:r>
          </w:p>
          <w:p w14:paraId="092FAB5F" w14:textId="77777777" w:rsidR="0045599B" w:rsidRDefault="00000000">
            <w:pPr>
              <w:pStyle w:val="a9"/>
              <w:numPr>
                <w:ilvl w:val="0"/>
                <w:numId w:val="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无缝钢管的公称壁厚不小于4mm；</w:t>
            </w:r>
          </w:p>
          <w:p w14:paraId="04CE1762" w14:textId="77777777" w:rsidR="0045599B" w:rsidRDefault="00000000">
            <w:pPr>
              <w:pStyle w:val="a9"/>
              <w:numPr>
                <w:ilvl w:val="0"/>
                <w:numId w:val="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埋地钢管的连接应采用焊接；</w:t>
            </w:r>
          </w:p>
          <w:p w14:paraId="7163C318" w14:textId="77777777" w:rsidR="0045599B" w:rsidRDefault="00000000">
            <w:pPr>
              <w:pStyle w:val="a9"/>
              <w:numPr>
                <w:ilvl w:val="0"/>
                <w:numId w:val="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热塑性塑料管道的主体结构层应采用无孔隙聚乙烯材料，</w:t>
            </w:r>
            <w:r>
              <w:rPr>
                <w:rFonts w:ascii="仿宋_GB2312" w:hAnsi="Times New Roman" w:cs="Times New Roman" w:hint="eastAsia"/>
                <w:sz w:val="20"/>
                <w:szCs w:val="20"/>
              </w:rPr>
              <w:lastRenderedPageBreak/>
              <w:t>且壁厚不小于4mm；</w:t>
            </w:r>
          </w:p>
          <w:p w14:paraId="1B406E46" w14:textId="77777777" w:rsidR="0045599B" w:rsidRDefault="00000000">
            <w:pPr>
              <w:pStyle w:val="a9"/>
              <w:numPr>
                <w:ilvl w:val="0"/>
                <w:numId w:val="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管沟敷设时，管沟未应用中性沙子或细土填满、填实；</w:t>
            </w:r>
          </w:p>
          <w:p w14:paraId="11D34554" w14:textId="77777777" w:rsidR="0045599B" w:rsidRDefault="00000000">
            <w:pPr>
              <w:pStyle w:val="a9"/>
              <w:numPr>
                <w:ilvl w:val="0"/>
                <w:numId w:val="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工艺管道穿过或跨越站房等与其无直接关系的建（构）筑物；工艺管道与电缆沟、排水沟、热力管沟交叉时，应采取相应的防护措施；</w:t>
            </w:r>
          </w:p>
          <w:p w14:paraId="71176F72" w14:textId="77777777" w:rsidR="0045599B" w:rsidRDefault="00000000">
            <w:pPr>
              <w:pStyle w:val="a9"/>
              <w:numPr>
                <w:ilvl w:val="0"/>
                <w:numId w:val="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埋地加油管道采用双层非金属管道时，外层管应满足耐油、耐腐蚀、耐老化和系统试验压力的要求；</w:t>
            </w:r>
          </w:p>
          <w:p w14:paraId="2B1B50A4" w14:textId="77777777" w:rsidR="0045599B" w:rsidRDefault="00000000">
            <w:pPr>
              <w:pStyle w:val="a9"/>
              <w:numPr>
                <w:ilvl w:val="0"/>
                <w:numId w:val="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双层管道系统的内层管与外层管之间的缝隙应贯通；</w:t>
            </w:r>
          </w:p>
          <w:p w14:paraId="51F17087" w14:textId="77777777" w:rsidR="0045599B" w:rsidRDefault="00000000">
            <w:pPr>
              <w:pStyle w:val="a9"/>
              <w:numPr>
                <w:ilvl w:val="0"/>
                <w:numId w:val="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双层管道系统的最低点应设检漏点。</w:t>
            </w:r>
          </w:p>
        </w:tc>
        <w:tc>
          <w:tcPr>
            <w:tcW w:w="696" w:type="dxa"/>
            <w:vAlign w:val="center"/>
          </w:tcPr>
          <w:p w14:paraId="3676D9CA"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280249F8" w14:textId="77777777">
        <w:trPr>
          <w:jc w:val="center"/>
        </w:trPr>
        <w:tc>
          <w:tcPr>
            <w:tcW w:w="1657" w:type="dxa"/>
            <w:vAlign w:val="center"/>
          </w:tcPr>
          <w:p w14:paraId="45CB63D0"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26C10C97"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设备设施及物料类</w:t>
            </w:r>
          </w:p>
        </w:tc>
        <w:tc>
          <w:tcPr>
            <w:tcW w:w="992" w:type="dxa"/>
            <w:vAlign w:val="center"/>
          </w:tcPr>
          <w:p w14:paraId="570CB128"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heme="minorEastAsia" w:hint="eastAsia"/>
                <w:kern w:val="0"/>
                <w:sz w:val="20"/>
                <w:szCs w:val="20"/>
                <w:lang w:eastAsia="zh-TW" w:bidi="ar"/>
              </w:rPr>
              <w:t>工艺生产及设备设施类</w:t>
            </w:r>
          </w:p>
        </w:tc>
        <w:tc>
          <w:tcPr>
            <w:tcW w:w="4253" w:type="dxa"/>
            <w:vAlign w:val="center"/>
          </w:tcPr>
          <w:p w14:paraId="1CF51D21"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加油站未设置紧急切断系统，或未设置标识。</w:t>
            </w:r>
          </w:p>
        </w:tc>
        <w:tc>
          <w:tcPr>
            <w:tcW w:w="5562" w:type="dxa"/>
            <w:vAlign w:val="center"/>
          </w:tcPr>
          <w:p w14:paraId="026B4D6A"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50156-2021《汽车加油加气加氢站技术标准》第13.5.1条、第13.5.2条、第13.5.4条；DB11/T 1322.3-2017《安全生产等级评定技术规范 第3部分：加油站》第3.3.3.5条。</w:t>
            </w:r>
          </w:p>
          <w:p w14:paraId="6985877D" w14:textId="77777777" w:rsidR="0045599B" w:rsidRDefault="00000000">
            <w:pPr>
              <w:pStyle w:val="a9"/>
              <w:numPr>
                <w:ilvl w:val="0"/>
                <w:numId w:val="6"/>
              </w:numPr>
              <w:adjustRightInd w:val="0"/>
              <w:snapToGrid w:val="0"/>
              <w:spacing w:line="240" w:lineRule="auto"/>
              <w:ind w:left="320" w:hangingChars="160" w:hanging="320"/>
              <w:rPr>
                <w:rFonts w:ascii="仿宋_GB2312" w:hAnsi="Times New Roman" w:cs="Times New Roman"/>
                <w:sz w:val="20"/>
                <w:szCs w:val="20"/>
              </w:rPr>
            </w:pPr>
            <w:r>
              <w:rPr>
                <w:rFonts w:ascii="仿宋_GB2312" w:hAnsi="Times New Roman" w:cs="Times New Roman" w:hint="eastAsia"/>
                <w:sz w:val="20"/>
                <w:szCs w:val="20"/>
              </w:rPr>
              <w:t>紧急切断系统能在事故状态下迅速切断加油泵电源，具有失效保护功能；</w:t>
            </w:r>
          </w:p>
          <w:p w14:paraId="42ABB827" w14:textId="77777777" w:rsidR="0045599B" w:rsidRDefault="00000000">
            <w:pPr>
              <w:pStyle w:val="a9"/>
              <w:numPr>
                <w:ilvl w:val="0"/>
                <w:numId w:val="6"/>
              </w:numPr>
              <w:adjustRightInd w:val="0"/>
              <w:snapToGrid w:val="0"/>
              <w:spacing w:line="240" w:lineRule="auto"/>
              <w:ind w:left="320" w:hangingChars="160" w:hanging="320"/>
              <w:rPr>
                <w:rFonts w:ascii="仿宋_GB2312" w:hAnsi="Times New Roman" w:cs="Times New Roman"/>
                <w:sz w:val="20"/>
                <w:szCs w:val="20"/>
              </w:rPr>
            </w:pPr>
            <w:r>
              <w:rPr>
                <w:rFonts w:ascii="仿宋_GB2312" w:hAnsi="Times New Roman" w:cs="Times New Roman" w:hint="eastAsia"/>
                <w:sz w:val="20"/>
                <w:szCs w:val="20"/>
              </w:rPr>
              <w:t>紧急切断系统只能手动复位；</w:t>
            </w:r>
          </w:p>
          <w:p w14:paraId="50C496AB" w14:textId="77777777" w:rsidR="0045599B" w:rsidRDefault="00000000">
            <w:pPr>
              <w:pStyle w:val="a9"/>
              <w:numPr>
                <w:ilvl w:val="0"/>
                <w:numId w:val="6"/>
              </w:numPr>
              <w:adjustRightInd w:val="0"/>
              <w:snapToGrid w:val="0"/>
              <w:spacing w:line="240" w:lineRule="auto"/>
              <w:ind w:left="320" w:hangingChars="160" w:hanging="320"/>
              <w:rPr>
                <w:rFonts w:ascii="仿宋_GB2312" w:hAnsi="Times New Roman" w:cs="Times New Roman"/>
                <w:sz w:val="20"/>
                <w:szCs w:val="20"/>
              </w:rPr>
            </w:pPr>
            <w:r>
              <w:rPr>
                <w:rFonts w:ascii="仿宋_GB2312" w:hAnsi="Times New Roman" w:cs="Times New Roman" w:hint="eastAsia"/>
                <w:sz w:val="20"/>
                <w:szCs w:val="20"/>
              </w:rPr>
              <w:t>紧急切断系统的启动开关未设置在爆炸危险区域外，紧急切断系统的启动开关应设置在爆炸危险区域外，并应至少在下列位置设置的启动开关设置：a）加油现场工作人员容易接近且无关人员不易触碰的位置；b）营业室、控制室或值班室内。</w:t>
            </w:r>
          </w:p>
        </w:tc>
        <w:tc>
          <w:tcPr>
            <w:tcW w:w="696" w:type="dxa"/>
            <w:vAlign w:val="center"/>
          </w:tcPr>
          <w:p w14:paraId="20D50A8B"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5CA7CDC2" w14:textId="77777777">
        <w:trPr>
          <w:jc w:val="center"/>
        </w:trPr>
        <w:tc>
          <w:tcPr>
            <w:tcW w:w="1657" w:type="dxa"/>
            <w:vAlign w:val="center"/>
          </w:tcPr>
          <w:p w14:paraId="7ADC6FE7"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75BDF5B0"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设备设施及物料类</w:t>
            </w:r>
          </w:p>
        </w:tc>
        <w:tc>
          <w:tcPr>
            <w:tcW w:w="992" w:type="dxa"/>
            <w:vAlign w:val="center"/>
          </w:tcPr>
          <w:p w14:paraId="13875C0C"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heme="minorEastAsia" w:hint="eastAsia"/>
                <w:kern w:val="0"/>
                <w:sz w:val="20"/>
                <w:szCs w:val="20"/>
                <w:lang w:eastAsia="zh-TW" w:bidi="ar"/>
              </w:rPr>
              <w:t>工艺生产及设备设施类</w:t>
            </w:r>
          </w:p>
        </w:tc>
        <w:tc>
          <w:tcPr>
            <w:tcW w:w="4253" w:type="dxa"/>
            <w:vAlign w:val="center"/>
          </w:tcPr>
          <w:p w14:paraId="4AE2FC9E"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 xml:space="preserve">加油站卸油口设置不符合规范要求。 </w:t>
            </w:r>
          </w:p>
        </w:tc>
        <w:tc>
          <w:tcPr>
            <w:tcW w:w="5562" w:type="dxa"/>
            <w:vAlign w:val="center"/>
          </w:tcPr>
          <w:p w14:paraId="01022573"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DB11/T 1322.3-2017《安全生产等级评定技术规范 第3部分：加油站》第3.3.3.6条。</w:t>
            </w:r>
          </w:p>
          <w:p w14:paraId="4A635D68" w14:textId="77777777" w:rsidR="0045599B" w:rsidRDefault="00000000">
            <w:pPr>
              <w:pStyle w:val="a9"/>
              <w:numPr>
                <w:ilvl w:val="0"/>
                <w:numId w:val="7"/>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卸油口处应标明对应油罐所装油品的明显标识、标记；</w:t>
            </w:r>
          </w:p>
          <w:p w14:paraId="61033433" w14:textId="77777777" w:rsidR="0045599B" w:rsidRDefault="00000000">
            <w:pPr>
              <w:pStyle w:val="a9"/>
              <w:numPr>
                <w:ilvl w:val="0"/>
                <w:numId w:val="7"/>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卸油口应采取防止不同类型油品混卸的措施；卸油接口应装设快速接头及密封盖；卸油口未使用时应加锁；</w:t>
            </w:r>
          </w:p>
          <w:p w14:paraId="52F67087" w14:textId="77777777" w:rsidR="0045599B" w:rsidRDefault="00000000">
            <w:pPr>
              <w:pStyle w:val="a9"/>
              <w:numPr>
                <w:ilvl w:val="0"/>
                <w:numId w:val="7"/>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当油品卸车点设置保护箱时，保护箱应采用不产生火花的不燃材料制作，并设置通风孔；采用金属材料制作的保护箱，箱体应与防静电接地系统做可靠连接，并采取防止产生火花的措施；</w:t>
            </w:r>
          </w:p>
          <w:p w14:paraId="5347C960" w14:textId="77777777" w:rsidR="0045599B" w:rsidRDefault="00000000">
            <w:pPr>
              <w:pStyle w:val="a9"/>
              <w:numPr>
                <w:ilvl w:val="0"/>
                <w:numId w:val="7"/>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卸油口附近应设置消除人体静电装置。</w:t>
            </w:r>
          </w:p>
        </w:tc>
        <w:tc>
          <w:tcPr>
            <w:tcW w:w="696" w:type="dxa"/>
            <w:vAlign w:val="center"/>
          </w:tcPr>
          <w:p w14:paraId="04055C05"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27D9C48C" w14:textId="77777777">
        <w:trPr>
          <w:jc w:val="center"/>
        </w:trPr>
        <w:tc>
          <w:tcPr>
            <w:tcW w:w="1657" w:type="dxa"/>
            <w:vAlign w:val="center"/>
          </w:tcPr>
          <w:p w14:paraId="2C8D702F"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49157358"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设备设</w:t>
            </w:r>
            <w:r>
              <w:rPr>
                <w:rFonts w:ascii="仿宋_GB2312" w:hAnsi="Times New Roman" w:cs="Times New Roman" w:hint="eastAsia"/>
                <w:sz w:val="20"/>
                <w:szCs w:val="20"/>
              </w:rPr>
              <w:lastRenderedPageBreak/>
              <w:t>施及物料类</w:t>
            </w:r>
          </w:p>
        </w:tc>
        <w:tc>
          <w:tcPr>
            <w:tcW w:w="992" w:type="dxa"/>
            <w:vAlign w:val="center"/>
          </w:tcPr>
          <w:p w14:paraId="56F6E09E"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heme="minorEastAsia" w:hint="eastAsia"/>
                <w:kern w:val="0"/>
                <w:sz w:val="20"/>
                <w:szCs w:val="20"/>
                <w:lang w:eastAsia="zh-TW" w:bidi="ar"/>
              </w:rPr>
              <w:lastRenderedPageBreak/>
              <w:t>工艺生</w:t>
            </w:r>
            <w:r>
              <w:rPr>
                <w:rFonts w:ascii="仿宋_GB2312" w:hAnsiTheme="minorEastAsia" w:hint="eastAsia"/>
                <w:kern w:val="0"/>
                <w:sz w:val="20"/>
                <w:szCs w:val="20"/>
                <w:lang w:eastAsia="zh-TW" w:bidi="ar"/>
              </w:rPr>
              <w:lastRenderedPageBreak/>
              <w:t>产及设备设施类</w:t>
            </w:r>
          </w:p>
        </w:tc>
        <w:tc>
          <w:tcPr>
            <w:tcW w:w="4253" w:type="dxa"/>
            <w:vAlign w:val="center"/>
          </w:tcPr>
          <w:p w14:paraId="5813EB95"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lastRenderedPageBreak/>
              <w:t>加油站</w:t>
            </w:r>
            <w:r w:rsidR="00857BF6">
              <w:rPr>
                <w:rFonts w:ascii="仿宋_GB2312" w:hAnsi="Times New Roman" w:cs="Times New Roman" w:hint="eastAsia"/>
                <w:sz w:val="20"/>
                <w:szCs w:val="20"/>
              </w:rPr>
              <w:t>未</w:t>
            </w:r>
            <w:r>
              <w:rPr>
                <w:rFonts w:ascii="仿宋_GB2312" w:hAnsi="Times New Roman" w:cs="Times New Roman" w:hint="eastAsia"/>
                <w:sz w:val="20"/>
                <w:szCs w:val="20"/>
              </w:rPr>
              <w:t>采用卸油和加油油气回收系统，或系</w:t>
            </w:r>
            <w:r>
              <w:rPr>
                <w:rFonts w:ascii="仿宋_GB2312" w:hAnsi="Times New Roman" w:cs="Times New Roman" w:hint="eastAsia"/>
                <w:sz w:val="20"/>
                <w:szCs w:val="20"/>
              </w:rPr>
              <w:lastRenderedPageBreak/>
              <w:t>统设计不满足规范要求。</w:t>
            </w:r>
          </w:p>
        </w:tc>
        <w:tc>
          <w:tcPr>
            <w:tcW w:w="5562" w:type="dxa"/>
            <w:vAlign w:val="center"/>
          </w:tcPr>
          <w:p w14:paraId="0F419956"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lastRenderedPageBreak/>
              <w:t>GB 50156-2021《汽车加油加气加氢站技术标准》第6.3.1条、</w:t>
            </w:r>
            <w:r>
              <w:rPr>
                <w:rFonts w:ascii="仿宋_GB2312" w:hAnsi="Times New Roman" w:cs="Times New Roman" w:hint="eastAsia"/>
                <w:sz w:val="20"/>
                <w:szCs w:val="20"/>
              </w:rPr>
              <w:lastRenderedPageBreak/>
              <w:t>第6.3.6条；DB11/T 1322.3-2017《安全生产等级评定技术规范 第3部分：加油站》附录H第7.2条</w:t>
            </w:r>
          </w:p>
          <w:p w14:paraId="62A4226D" w14:textId="77777777" w:rsidR="0045599B" w:rsidRDefault="00000000">
            <w:pPr>
              <w:adjustRightInd w:val="0"/>
              <w:snapToGrid w:val="0"/>
              <w:spacing w:line="240" w:lineRule="auto"/>
              <w:rPr>
                <w:rFonts w:ascii="仿宋_GB2312" w:hAnsi="宋体" w:cs="宋体"/>
                <w:sz w:val="20"/>
                <w:szCs w:val="20"/>
              </w:rPr>
            </w:pPr>
            <w:r>
              <w:rPr>
                <w:rFonts w:ascii="仿宋_GB2312" w:hAnsi="宋体" w:cs="宋体" w:hint="eastAsia"/>
                <w:sz w:val="20"/>
                <w:szCs w:val="20"/>
              </w:rPr>
              <w:t xml:space="preserve">a）卸油油气回收系统设计应符合下列要求： </w:t>
            </w:r>
          </w:p>
          <w:p w14:paraId="4DC9938D" w14:textId="77777777" w:rsidR="0045599B" w:rsidRDefault="00000000">
            <w:pPr>
              <w:adjustRightInd w:val="0"/>
              <w:snapToGrid w:val="0"/>
              <w:spacing w:line="240" w:lineRule="auto"/>
              <w:rPr>
                <w:rFonts w:ascii="仿宋_GB2312" w:hAnsi="宋体" w:cs="宋体"/>
                <w:sz w:val="20"/>
                <w:szCs w:val="20"/>
              </w:rPr>
            </w:pPr>
            <w:r>
              <w:rPr>
                <w:rFonts w:ascii="仿宋_GB2312" w:hAnsi="宋体" w:cs="宋体" w:hint="eastAsia"/>
                <w:sz w:val="20"/>
                <w:szCs w:val="20"/>
              </w:rPr>
              <w:t xml:space="preserve">1）汽油罐车向站内油罐卸油应采用平衡式密闭油气回收系统； </w:t>
            </w:r>
          </w:p>
          <w:p w14:paraId="492E6DE6" w14:textId="77777777" w:rsidR="0045599B" w:rsidRDefault="00000000">
            <w:pPr>
              <w:adjustRightInd w:val="0"/>
              <w:snapToGrid w:val="0"/>
              <w:spacing w:line="240" w:lineRule="auto"/>
              <w:rPr>
                <w:rFonts w:ascii="仿宋_GB2312" w:hAnsi="宋体" w:cs="宋体"/>
                <w:sz w:val="20"/>
                <w:szCs w:val="20"/>
              </w:rPr>
            </w:pPr>
            <w:r>
              <w:rPr>
                <w:rFonts w:ascii="仿宋_GB2312" w:hAnsi="宋体" w:cs="宋体" w:hint="eastAsia"/>
                <w:sz w:val="20"/>
                <w:szCs w:val="20"/>
              </w:rPr>
              <w:t xml:space="preserve">2）卸油油气回收管道的接口宜采用自闭式快速接头。采用非自闭式快速接头时，应在靠近快速接头的连接管道上装设阀门； </w:t>
            </w:r>
          </w:p>
          <w:p w14:paraId="153AFD0E" w14:textId="77777777" w:rsidR="0045599B" w:rsidRDefault="00000000">
            <w:pPr>
              <w:adjustRightInd w:val="0"/>
              <w:snapToGrid w:val="0"/>
              <w:spacing w:line="240" w:lineRule="auto"/>
              <w:rPr>
                <w:rFonts w:ascii="仿宋_GB2312" w:hAnsi="宋体" w:cs="宋体"/>
                <w:sz w:val="20"/>
                <w:szCs w:val="20"/>
              </w:rPr>
            </w:pPr>
            <w:r>
              <w:rPr>
                <w:rFonts w:ascii="仿宋_GB2312" w:hAnsi="宋体" w:cs="宋体" w:hint="eastAsia"/>
                <w:sz w:val="20"/>
                <w:szCs w:val="20"/>
              </w:rPr>
              <w:t xml:space="preserve">b）加油油气回收系统设计应符合下列规定： </w:t>
            </w:r>
          </w:p>
          <w:p w14:paraId="130AB62A" w14:textId="77777777" w:rsidR="0045599B" w:rsidRDefault="00000000">
            <w:pPr>
              <w:adjustRightInd w:val="0"/>
              <w:snapToGrid w:val="0"/>
              <w:spacing w:line="240" w:lineRule="auto"/>
              <w:rPr>
                <w:rFonts w:ascii="仿宋_GB2312" w:hAnsi="宋体" w:cs="宋体"/>
                <w:sz w:val="20"/>
                <w:szCs w:val="20"/>
              </w:rPr>
            </w:pPr>
            <w:r>
              <w:rPr>
                <w:rFonts w:ascii="仿宋_GB2312" w:hAnsi="宋体" w:cs="宋体" w:hint="eastAsia"/>
                <w:sz w:val="20"/>
                <w:szCs w:val="20"/>
              </w:rPr>
              <w:t xml:space="preserve">1）应采用真空辅助式油气回收系统； </w:t>
            </w:r>
          </w:p>
          <w:p w14:paraId="1CFB25F4" w14:textId="77777777" w:rsidR="0045599B" w:rsidRDefault="00000000">
            <w:pPr>
              <w:adjustRightInd w:val="0"/>
              <w:snapToGrid w:val="0"/>
              <w:spacing w:line="240" w:lineRule="auto"/>
              <w:rPr>
                <w:rFonts w:ascii="仿宋_GB2312" w:hAnsi="宋体" w:cs="宋体"/>
                <w:sz w:val="20"/>
                <w:szCs w:val="20"/>
              </w:rPr>
            </w:pPr>
            <w:r>
              <w:rPr>
                <w:rFonts w:ascii="仿宋_GB2312" w:hAnsi="宋体" w:cs="宋体" w:hint="eastAsia"/>
                <w:sz w:val="20"/>
                <w:szCs w:val="20"/>
              </w:rPr>
              <w:t xml:space="preserve">2）汽油加油机与油罐之间应设油气回收管道； </w:t>
            </w:r>
          </w:p>
          <w:p w14:paraId="69EBBA0F" w14:textId="77777777" w:rsidR="0045599B" w:rsidRDefault="00000000">
            <w:pPr>
              <w:adjustRightInd w:val="0"/>
              <w:snapToGrid w:val="0"/>
              <w:spacing w:line="240" w:lineRule="auto"/>
              <w:rPr>
                <w:rFonts w:ascii="仿宋_GB2312" w:hAnsi="宋体" w:cs="宋体"/>
                <w:sz w:val="20"/>
                <w:szCs w:val="20"/>
              </w:rPr>
            </w:pPr>
            <w:r>
              <w:rPr>
                <w:rFonts w:ascii="仿宋_GB2312" w:hAnsi="宋体" w:cs="宋体" w:hint="eastAsia"/>
                <w:sz w:val="20"/>
                <w:szCs w:val="20"/>
              </w:rPr>
              <w:t>3）加油油气回收系统应采取防止油气反向流至加油枪的措施；</w:t>
            </w:r>
          </w:p>
          <w:p w14:paraId="134DC90A" w14:textId="77777777" w:rsidR="0045599B" w:rsidRDefault="00000000">
            <w:pPr>
              <w:adjustRightInd w:val="0"/>
              <w:snapToGrid w:val="0"/>
              <w:spacing w:line="240" w:lineRule="auto"/>
              <w:rPr>
                <w:rFonts w:ascii="仿宋_GB2312" w:hAnsi="宋体" w:cs="宋体"/>
                <w:sz w:val="20"/>
                <w:szCs w:val="20"/>
              </w:rPr>
            </w:pPr>
            <w:r>
              <w:rPr>
                <w:rFonts w:ascii="仿宋_GB2312" w:hAnsi="宋体" w:cs="宋体" w:hint="eastAsia"/>
                <w:sz w:val="20"/>
                <w:szCs w:val="20"/>
              </w:rPr>
              <w:t xml:space="preserve">4）加油机应具备回收油气功能； </w:t>
            </w:r>
          </w:p>
          <w:p w14:paraId="2A263437"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宋体" w:cs="宋体" w:hint="eastAsia"/>
                <w:sz w:val="20"/>
                <w:szCs w:val="20"/>
              </w:rPr>
              <w:t>5）在加油机底部与油气回收立管的连接处，应安装一个用于检测液阻和系统密闭性的丝接三通。</w:t>
            </w:r>
          </w:p>
        </w:tc>
        <w:tc>
          <w:tcPr>
            <w:tcW w:w="696" w:type="dxa"/>
            <w:vAlign w:val="center"/>
          </w:tcPr>
          <w:p w14:paraId="16ADE292"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604E3BDC" w14:textId="77777777">
        <w:trPr>
          <w:jc w:val="center"/>
        </w:trPr>
        <w:tc>
          <w:tcPr>
            <w:tcW w:w="1657" w:type="dxa"/>
            <w:vAlign w:val="center"/>
          </w:tcPr>
          <w:p w14:paraId="6855E99A"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42EFA25F"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设备设施及物料类</w:t>
            </w:r>
          </w:p>
        </w:tc>
        <w:tc>
          <w:tcPr>
            <w:tcW w:w="992" w:type="dxa"/>
            <w:vAlign w:val="center"/>
          </w:tcPr>
          <w:p w14:paraId="7E34DFCA" w14:textId="77777777" w:rsidR="0045599B" w:rsidRDefault="00000000">
            <w:pPr>
              <w:adjustRightInd w:val="0"/>
              <w:snapToGrid w:val="0"/>
              <w:spacing w:line="240" w:lineRule="auto"/>
              <w:jc w:val="center"/>
              <w:rPr>
                <w:rFonts w:ascii="仿宋_GB2312" w:hAnsiTheme="minorEastAsia"/>
                <w:kern w:val="0"/>
                <w:sz w:val="20"/>
                <w:szCs w:val="20"/>
                <w:lang w:eastAsia="zh-TW" w:bidi="ar"/>
              </w:rPr>
            </w:pPr>
            <w:r>
              <w:rPr>
                <w:rFonts w:ascii="仿宋_GB2312" w:hAnsiTheme="minorEastAsia" w:hint="eastAsia"/>
                <w:kern w:val="0"/>
                <w:sz w:val="20"/>
                <w:szCs w:val="20"/>
                <w:lang w:eastAsia="zh-TW" w:bidi="ar"/>
              </w:rPr>
              <w:t>辅助系统设备设施类</w:t>
            </w:r>
          </w:p>
        </w:tc>
        <w:tc>
          <w:tcPr>
            <w:tcW w:w="4253" w:type="dxa"/>
            <w:vAlign w:val="center"/>
          </w:tcPr>
          <w:p w14:paraId="4D7A3AF3"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锅炉房设置不符合安全要求。</w:t>
            </w:r>
          </w:p>
        </w:tc>
        <w:tc>
          <w:tcPr>
            <w:tcW w:w="5562" w:type="dxa"/>
            <w:vAlign w:val="center"/>
          </w:tcPr>
          <w:p w14:paraId="65344BC6"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50156-2021《汽车加油加气加氢站技术标准》第14.1.3条、第14.1.5条；DB11/T 1322.3-2017《安全生产等级评定技术规范 第3部分：加油站》第3.4.1.1条、第3.4.1.2条、第3.4.1.3条、第3.4.1.8条。</w:t>
            </w:r>
          </w:p>
          <w:p w14:paraId="224BE06B" w14:textId="77777777" w:rsidR="0045599B" w:rsidRDefault="00000000">
            <w:pPr>
              <w:pStyle w:val="a9"/>
              <w:numPr>
                <w:ilvl w:val="0"/>
                <w:numId w:val="8"/>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锅炉房的燃气调压间、油泵间及燃气锅炉间应设置可燃气体浓度检测报警装置，可燃气体浓度报警装置与燃气供气管总切断阀和排风扇联动。</w:t>
            </w:r>
          </w:p>
          <w:p w14:paraId="53ED3B84" w14:textId="77777777" w:rsidR="0045599B" w:rsidRDefault="00000000">
            <w:pPr>
              <w:pStyle w:val="a9"/>
              <w:numPr>
                <w:ilvl w:val="0"/>
                <w:numId w:val="8"/>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当采用燃煤锅炉时，选用具有除尘功能的自然通风型锅炉。锅炉烟囱出口高出屋顶2m及以上，且采取防止火星外逸的有效措施。</w:t>
            </w:r>
          </w:p>
          <w:p w14:paraId="4F111E34" w14:textId="77777777" w:rsidR="0045599B" w:rsidRDefault="00000000">
            <w:pPr>
              <w:pStyle w:val="a9"/>
              <w:numPr>
                <w:ilvl w:val="0"/>
                <w:numId w:val="8"/>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当采用燃气热水器采暖时，热水器应设有排烟系统和熄火保护等安全装置。</w:t>
            </w:r>
          </w:p>
          <w:p w14:paraId="5EC09644" w14:textId="77777777" w:rsidR="0045599B" w:rsidRDefault="00000000">
            <w:pPr>
              <w:pStyle w:val="a9"/>
              <w:numPr>
                <w:ilvl w:val="0"/>
                <w:numId w:val="8"/>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室外采暖管道采用管沟敷设时，管沟应充沙填实，进出建筑物处采取隔断措施。</w:t>
            </w:r>
          </w:p>
        </w:tc>
        <w:tc>
          <w:tcPr>
            <w:tcW w:w="696" w:type="dxa"/>
            <w:vAlign w:val="center"/>
          </w:tcPr>
          <w:p w14:paraId="1D51A5B1"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7C08DAF0" w14:textId="77777777">
        <w:trPr>
          <w:jc w:val="center"/>
        </w:trPr>
        <w:tc>
          <w:tcPr>
            <w:tcW w:w="1657" w:type="dxa"/>
            <w:vAlign w:val="center"/>
          </w:tcPr>
          <w:p w14:paraId="345B487B"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2CF85D31"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设备设施及物料类</w:t>
            </w:r>
          </w:p>
        </w:tc>
        <w:tc>
          <w:tcPr>
            <w:tcW w:w="992" w:type="dxa"/>
            <w:vAlign w:val="center"/>
          </w:tcPr>
          <w:p w14:paraId="4F1BF7B8"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heme="minorEastAsia" w:hint="eastAsia"/>
                <w:kern w:val="0"/>
                <w:sz w:val="20"/>
                <w:szCs w:val="20"/>
                <w:lang w:eastAsia="zh-TW" w:bidi="ar"/>
              </w:rPr>
              <w:t>辅助系统设备设施类</w:t>
            </w:r>
          </w:p>
        </w:tc>
        <w:tc>
          <w:tcPr>
            <w:tcW w:w="4253" w:type="dxa"/>
            <w:vAlign w:val="center"/>
          </w:tcPr>
          <w:p w14:paraId="7EFB1C4A"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加油站内爆炸危险区域内的电气设备选型、安装、电力线路敷设、使用、维护等不符合规范要求。</w:t>
            </w:r>
          </w:p>
        </w:tc>
        <w:tc>
          <w:tcPr>
            <w:tcW w:w="5562" w:type="dxa"/>
            <w:vAlign w:val="center"/>
          </w:tcPr>
          <w:p w14:paraId="027949E8"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50156-2021《汽车加油加气加氢站技术标准》第13.1.7条；DB11/T 1322.3-2017《安全生产等级评定技术规范 第3部分：加油站》第3.5.2.1条</w:t>
            </w:r>
          </w:p>
        </w:tc>
        <w:tc>
          <w:tcPr>
            <w:tcW w:w="696" w:type="dxa"/>
            <w:vAlign w:val="center"/>
          </w:tcPr>
          <w:p w14:paraId="0215090D"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7784D530" w14:textId="77777777">
        <w:trPr>
          <w:jc w:val="center"/>
        </w:trPr>
        <w:tc>
          <w:tcPr>
            <w:tcW w:w="1657" w:type="dxa"/>
            <w:vAlign w:val="center"/>
          </w:tcPr>
          <w:p w14:paraId="7AC42842"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52496715"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设备设施及物料类</w:t>
            </w:r>
          </w:p>
        </w:tc>
        <w:tc>
          <w:tcPr>
            <w:tcW w:w="992" w:type="dxa"/>
            <w:vAlign w:val="center"/>
          </w:tcPr>
          <w:p w14:paraId="65047B40"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heme="minorEastAsia" w:hint="eastAsia"/>
                <w:kern w:val="0"/>
                <w:sz w:val="20"/>
                <w:szCs w:val="20"/>
                <w:lang w:eastAsia="zh-TW" w:bidi="ar"/>
              </w:rPr>
              <w:t>辅助系统设备设施类</w:t>
            </w:r>
          </w:p>
        </w:tc>
        <w:tc>
          <w:tcPr>
            <w:tcW w:w="4253" w:type="dxa"/>
            <w:vAlign w:val="center"/>
          </w:tcPr>
          <w:p w14:paraId="77F9324B"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配电箱内未设置电气控制线路图；未设置安全警告标志；装有电气的箱门与箱体PE线未进行可靠跨接</w:t>
            </w:r>
            <w:r w:rsidR="00857BF6">
              <w:rPr>
                <w:rFonts w:ascii="仿宋_GB2312" w:hAnsi="Times New Roman" w:cs="Times New Roman" w:hint="eastAsia"/>
                <w:sz w:val="20"/>
                <w:szCs w:val="20"/>
              </w:rPr>
              <w:t>。</w:t>
            </w:r>
          </w:p>
        </w:tc>
        <w:tc>
          <w:tcPr>
            <w:tcW w:w="5562" w:type="dxa"/>
            <w:vAlign w:val="center"/>
          </w:tcPr>
          <w:p w14:paraId="2E0B649A"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《安全生产等级技术规范 第2部分:安全生产通用要求》DB11/T 1322.2-2017第3.6.2.3.1条、第3.6.2.3.2条</w:t>
            </w:r>
          </w:p>
        </w:tc>
        <w:tc>
          <w:tcPr>
            <w:tcW w:w="696" w:type="dxa"/>
            <w:vAlign w:val="center"/>
          </w:tcPr>
          <w:p w14:paraId="061F3D71"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206FEE78" w14:textId="77777777">
        <w:trPr>
          <w:jc w:val="center"/>
        </w:trPr>
        <w:tc>
          <w:tcPr>
            <w:tcW w:w="1657" w:type="dxa"/>
            <w:vAlign w:val="center"/>
          </w:tcPr>
          <w:p w14:paraId="3DF39B08"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458F60D7"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设备设施及物料类</w:t>
            </w:r>
          </w:p>
        </w:tc>
        <w:tc>
          <w:tcPr>
            <w:tcW w:w="992" w:type="dxa"/>
            <w:vAlign w:val="center"/>
          </w:tcPr>
          <w:p w14:paraId="2882F744"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heme="minorEastAsia" w:hint="eastAsia"/>
                <w:kern w:val="0"/>
                <w:sz w:val="20"/>
                <w:szCs w:val="20"/>
                <w:lang w:eastAsia="zh-TW" w:bidi="ar"/>
              </w:rPr>
              <w:t>辅助系统设备设施类</w:t>
            </w:r>
          </w:p>
        </w:tc>
        <w:tc>
          <w:tcPr>
            <w:tcW w:w="4253" w:type="dxa"/>
            <w:vAlign w:val="center"/>
          </w:tcPr>
          <w:p w14:paraId="4354B967"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电缆穿越行车道部分未穿钢管保护。当采用电缆沟敷设电缆时，作业区内的电缆沟内未充沙填实；电缆与油品管道以及热力管道敷设在同一沟内。</w:t>
            </w:r>
          </w:p>
        </w:tc>
        <w:tc>
          <w:tcPr>
            <w:tcW w:w="5562" w:type="dxa"/>
            <w:vAlign w:val="center"/>
          </w:tcPr>
          <w:p w14:paraId="24598C1F"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50156-2021《汽车加油加气加氢站技术标准》第13.1.5条、第13.1.6条；DB11/T 1322.3-2017《安全生产等级评定技术规范 第3部分：加油站》第3.5.2.4条、第3.5.2.5条</w:t>
            </w:r>
          </w:p>
        </w:tc>
        <w:tc>
          <w:tcPr>
            <w:tcW w:w="696" w:type="dxa"/>
            <w:vAlign w:val="center"/>
          </w:tcPr>
          <w:p w14:paraId="1A6143BA"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04F440BC" w14:textId="77777777">
        <w:trPr>
          <w:jc w:val="center"/>
        </w:trPr>
        <w:tc>
          <w:tcPr>
            <w:tcW w:w="1657" w:type="dxa"/>
            <w:vAlign w:val="center"/>
          </w:tcPr>
          <w:p w14:paraId="011C3868"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32AC93D9"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设备设施及物料类</w:t>
            </w:r>
          </w:p>
        </w:tc>
        <w:tc>
          <w:tcPr>
            <w:tcW w:w="992" w:type="dxa"/>
            <w:vAlign w:val="center"/>
          </w:tcPr>
          <w:p w14:paraId="21B0A9CD"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heme="minorEastAsia" w:hint="eastAsia"/>
                <w:kern w:val="0"/>
                <w:sz w:val="20"/>
                <w:szCs w:val="20"/>
                <w:lang w:eastAsia="zh-TW" w:bidi="ar"/>
              </w:rPr>
              <w:t>辅助系统设备设施类</w:t>
            </w:r>
          </w:p>
        </w:tc>
        <w:tc>
          <w:tcPr>
            <w:tcW w:w="4253" w:type="dxa"/>
            <w:vAlign w:val="center"/>
          </w:tcPr>
          <w:p w14:paraId="116EE4C5"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加油站内内燃发电机组设置不规范。</w:t>
            </w:r>
          </w:p>
        </w:tc>
        <w:tc>
          <w:tcPr>
            <w:tcW w:w="5562" w:type="dxa"/>
            <w:vAlign w:val="center"/>
          </w:tcPr>
          <w:p w14:paraId="664B19BE"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50156-2021《汽车加油加气加氢站技术标准》第13.1.4条。</w:t>
            </w:r>
          </w:p>
          <w:p w14:paraId="6A276ABF"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内燃机的排烟管 口应安装阻火器。排烟管口至各爆炸危险区域边界的水平距离，应符合下列规定：</w:t>
            </w:r>
          </w:p>
          <w:p w14:paraId="053705F2"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1）排烟口高出地面4.5m以下时，不应小于5m；</w:t>
            </w:r>
          </w:p>
          <w:p w14:paraId="2AEBBF40"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2）排烟口高出地面4.5m及以上时，不应小于3m。</w:t>
            </w:r>
          </w:p>
        </w:tc>
        <w:tc>
          <w:tcPr>
            <w:tcW w:w="696" w:type="dxa"/>
            <w:vAlign w:val="center"/>
          </w:tcPr>
          <w:p w14:paraId="3114C5C7"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36C71B81" w14:textId="77777777">
        <w:trPr>
          <w:jc w:val="center"/>
        </w:trPr>
        <w:tc>
          <w:tcPr>
            <w:tcW w:w="1657" w:type="dxa"/>
            <w:vAlign w:val="center"/>
          </w:tcPr>
          <w:p w14:paraId="29640CD1"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7E4C8151"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设备设施及物料类</w:t>
            </w:r>
          </w:p>
        </w:tc>
        <w:tc>
          <w:tcPr>
            <w:tcW w:w="992" w:type="dxa"/>
            <w:vAlign w:val="center"/>
          </w:tcPr>
          <w:p w14:paraId="580A06FF"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其他设备设施类</w:t>
            </w:r>
          </w:p>
        </w:tc>
        <w:tc>
          <w:tcPr>
            <w:tcW w:w="4253" w:type="dxa"/>
            <w:vAlign w:val="center"/>
          </w:tcPr>
          <w:p w14:paraId="13BB472C"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加油站内地面雨水不能散流排出站外；加油站采用暗沟排水；当雨水由明沟排到站外时，在排出围墙之前，未设置水封装置。</w:t>
            </w:r>
          </w:p>
        </w:tc>
        <w:tc>
          <w:tcPr>
            <w:tcW w:w="5562" w:type="dxa"/>
            <w:vAlign w:val="center"/>
          </w:tcPr>
          <w:p w14:paraId="12A610FE"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50156-2021《汽车加油加气加氢站技术标准》第13.5.1条、第12.3.2条；DB11/T 1322.3-2017《安全生产等级评定技术规范 第3部分：加油站》第3.3.4.1条</w:t>
            </w:r>
          </w:p>
        </w:tc>
        <w:tc>
          <w:tcPr>
            <w:tcW w:w="696" w:type="dxa"/>
            <w:vAlign w:val="center"/>
          </w:tcPr>
          <w:p w14:paraId="07E6A7FC"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3BF214CD" w14:textId="77777777">
        <w:trPr>
          <w:jc w:val="center"/>
        </w:trPr>
        <w:tc>
          <w:tcPr>
            <w:tcW w:w="1657" w:type="dxa"/>
            <w:vAlign w:val="center"/>
          </w:tcPr>
          <w:p w14:paraId="0F76FD1B"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62D8B518"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设备设施及物料类</w:t>
            </w:r>
          </w:p>
        </w:tc>
        <w:tc>
          <w:tcPr>
            <w:tcW w:w="992" w:type="dxa"/>
            <w:vAlign w:val="center"/>
          </w:tcPr>
          <w:p w14:paraId="2EA85414"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其他设备设施类</w:t>
            </w:r>
          </w:p>
        </w:tc>
        <w:tc>
          <w:tcPr>
            <w:tcW w:w="4253" w:type="dxa"/>
            <w:vAlign w:val="center"/>
          </w:tcPr>
          <w:p w14:paraId="0AAE4E7F"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加油站未设置视频安防监控系统，或设置不符合规范要求。</w:t>
            </w:r>
          </w:p>
        </w:tc>
        <w:tc>
          <w:tcPr>
            <w:tcW w:w="5562" w:type="dxa"/>
            <w:vAlign w:val="center"/>
          </w:tcPr>
          <w:p w14:paraId="5C061FB3"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50156-2021《汽车加油加气加氢站技术标准》第3.0.27条、第13.1.1条、第13.4.5条；DB11/T 1322.3-2017《安全生产等级评定技术规范 第3部分：加油站》第3.3.5.1条</w:t>
            </w:r>
          </w:p>
          <w:p w14:paraId="71FAED64" w14:textId="77777777" w:rsidR="0045599B" w:rsidRDefault="00000000">
            <w:pPr>
              <w:pStyle w:val="a9"/>
              <w:numPr>
                <w:ilvl w:val="0"/>
                <w:numId w:val="9"/>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系统的施工应由具备相应资质的施工单位进行；</w:t>
            </w:r>
          </w:p>
          <w:p w14:paraId="42720D97" w14:textId="77777777" w:rsidR="0045599B" w:rsidRDefault="00000000">
            <w:pPr>
              <w:pStyle w:val="a9"/>
              <w:numPr>
                <w:ilvl w:val="0"/>
                <w:numId w:val="9"/>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监控系统验收前应进行检验，检验应有具备相应资质的监理单位参加；</w:t>
            </w:r>
          </w:p>
          <w:p w14:paraId="2C8021DD" w14:textId="77777777" w:rsidR="0045599B" w:rsidRDefault="00000000">
            <w:pPr>
              <w:pStyle w:val="a9"/>
              <w:numPr>
                <w:ilvl w:val="0"/>
                <w:numId w:val="9"/>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 xml:space="preserve">应配备 UPS 电源,在市电中断条件下，应支持平台和前端信息采集设施工作 8 h； </w:t>
            </w:r>
          </w:p>
          <w:p w14:paraId="4A9FE41D" w14:textId="77777777" w:rsidR="0045599B" w:rsidRDefault="00000000">
            <w:pPr>
              <w:pStyle w:val="a9"/>
              <w:numPr>
                <w:ilvl w:val="0"/>
                <w:numId w:val="9"/>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站内监控范围应全面，无盲区，24 h 不间断录像；重点对车辆出入口、加油区、卸油口及油罐区、营业室、控制室有效监控；</w:t>
            </w:r>
          </w:p>
          <w:p w14:paraId="72FF1BA7" w14:textId="77777777" w:rsidR="0045599B" w:rsidRDefault="00000000">
            <w:pPr>
              <w:pStyle w:val="a9"/>
              <w:numPr>
                <w:ilvl w:val="0"/>
                <w:numId w:val="9"/>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图像显示器应设置在有人值守的房间内；</w:t>
            </w:r>
          </w:p>
          <w:p w14:paraId="3FD4BDD2" w14:textId="77777777" w:rsidR="0045599B" w:rsidRDefault="00000000">
            <w:pPr>
              <w:pStyle w:val="a9"/>
              <w:numPr>
                <w:ilvl w:val="0"/>
                <w:numId w:val="9"/>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视频监控设备应日常维护，保持监控画面完整、清晰。</w:t>
            </w:r>
          </w:p>
        </w:tc>
        <w:tc>
          <w:tcPr>
            <w:tcW w:w="696" w:type="dxa"/>
            <w:vAlign w:val="center"/>
          </w:tcPr>
          <w:p w14:paraId="5F82E758" w14:textId="77777777" w:rsidR="0045599B" w:rsidRDefault="0045599B">
            <w:pPr>
              <w:tabs>
                <w:tab w:val="left" w:pos="0"/>
              </w:tabs>
              <w:adjustRightInd w:val="0"/>
              <w:snapToGrid w:val="0"/>
              <w:spacing w:line="240" w:lineRule="auto"/>
              <w:rPr>
                <w:rFonts w:ascii="仿宋_GB2312" w:hAnsi="Times New Roman" w:cs="Times New Roman"/>
                <w:sz w:val="20"/>
                <w:szCs w:val="20"/>
              </w:rPr>
            </w:pPr>
          </w:p>
        </w:tc>
      </w:tr>
      <w:tr w:rsidR="0045599B" w14:paraId="2360D4C1" w14:textId="77777777">
        <w:trPr>
          <w:jc w:val="center"/>
        </w:trPr>
        <w:tc>
          <w:tcPr>
            <w:tcW w:w="1657" w:type="dxa"/>
            <w:vAlign w:val="center"/>
          </w:tcPr>
          <w:p w14:paraId="5114E3A6"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296E35B7"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设备设施及物料类</w:t>
            </w:r>
          </w:p>
        </w:tc>
        <w:tc>
          <w:tcPr>
            <w:tcW w:w="992" w:type="dxa"/>
            <w:vAlign w:val="center"/>
          </w:tcPr>
          <w:p w14:paraId="040F823A"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其他设备设施类</w:t>
            </w:r>
          </w:p>
        </w:tc>
        <w:tc>
          <w:tcPr>
            <w:tcW w:w="4253" w:type="dxa"/>
            <w:vAlign w:val="center"/>
          </w:tcPr>
          <w:p w14:paraId="6203AF41"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油罐未采取卸油时的防满溢措施。</w:t>
            </w:r>
          </w:p>
        </w:tc>
        <w:tc>
          <w:tcPr>
            <w:tcW w:w="5562" w:type="dxa"/>
            <w:vAlign w:val="center"/>
          </w:tcPr>
          <w:p w14:paraId="426735B1" w14:textId="77777777" w:rsidR="0045599B" w:rsidRDefault="00000000">
            <w:pPr>
              <w:adjustRightInd w:val="0"/>
              <w:snapToGrid w:val="0"/>
              <w:spacing w:line="240" w:lineRule="auto"/>
              <w:jc w:val="left"/>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50156-2021《汽车加油加气加氢站技术标准》第6.1.15条；DB11/T 1322.3-2017《安全生产等级评定技术规范 第3部分：加油站》第3.3.5.2条。</w:t>
            </w:r>
          </w:p>
          <w:p w14:paraId="0C83A26B" w14:textId="77777777" w:rsidR="0045599B" w:rsidRDefault="00000000">
            <w:pPr>
              <w:adjustRightInd w:val="0"/>
              <w:snapToGrid w:val="0"/>
              <w:spacing w:line="240" w:lineRule="auto"/>
              <w:jc w:val="left"/>
              <w:rPr>
                <w:rFonts w:ascii="仿宋_GB2312" w:hAnsi="Times New Roman" w:cs="Times New Roman"/>
                <w:sz w:val="20"/>
                <w:szCs w:val="20"/>
              </w:rPr>
            </w:pPr>
            <w:r>
              <w:rPr>
                <w:rFonts w:ascii="仿宋_GB2312" w:hAnsi="Times New Roman" w:cs="Times New Roman" w:hint="eastAsia"/>
                <w:sz w:val="20"/>
                <w:szCs w:val="20"/>
              </w:rPr>
              <w:lastRenderedPageBreak/>
              <w:t>1）油料达到油罐容量 90%时，应能触动高液位报警装置；</w:t>
            </w:r>
          </w:p>
          <w:p w14:paraId="30FA918D" w14:textId="77777777" w:rsidR="0045599B" w:rsidRDefault="00000000">
            <w:pPr>
              <w:adjustRightInd w:val="0"/>
              <w:snapToGrid w:val="0"/>
              <w:spacing w:line="240" w:lineRule="auto"/>
              <w:jc w:val="left"/>
              <w:rPr>
                <w:rFonts w:ascii="仿宋_GB2312" w:hAnsi="Times New Roman" w:cs="Times New Roman"/>
                <w:sz w:val="20"/>
                <w:szCs w:val="20"/>
              </w:rPr>
            </w:pPr>
            <w:r>
              <w:rPr>
                <w:rFonts w:ascii="仿宋_GB2312" w:hAnsi="Times New Roman" w:cs="Times New Roman" w:hint="eastAsia"/>
                <w:sz w:val="20"/>
                <w:szCs w:val="20"/>
              </w:rPr>
              <w:t>2）油料达到油罐容量 95%时，应能自动停止油料继续进罐。</w:t>
            </w:r>
          </w:p>
        </w:tc>
        <w:tc>
          <w:tcPr>
            <w:tcW w:w="696" w:type="dxa"/>
            <w:vAlign w:val="center"/>
          </w:tcPr>
          <w:p w14:paraId="17AEAE49"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170DADE8" w14:textId="77777777">
        <w:trPr>
          <w:jc w:val="center"/>
        </w:trPr>
        <w:tc>
          <w:tcPr>
            <w:tcW w:w="1657" w:type="dxa"/>
            <w:vAlign w:val="center"/>
          </w:tcPr>
          <w:p w14:paraId="54CEA65C"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16D104BF"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设备设施及物料类</w:t>
            </w:r>
          </w:p>
        </w:tc>
        <w:tc>
          <w:tcPr>
            <w:tcW w:w="992" w:type="dxa"/>
            <w:vAlign w:val="center"/>
          </w:tcPr>
          <w:p w14:paraId="6BAFC762"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其他设备设施类</w:t>
            </w:r>
          </w:p>
        </w:tc>
        <w:tc>
          <w:tcPr>
            <w:tcW w:w="4253" w:type="dxa"/>
            <w:vAlign w:val="center"/>
          </w:tcPr>
          <w:p w14:paraId="5180FD0D"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油罐在线监测系统及报警装置设施不规范。</w:t>
            </w:r>
          </w:p>
        </w:tc>
        <w:tc>
          <w:tcPr>
            <w:tcW w:w="5562" w:type="dxa"/>
            <w:vAlign w:val="center"/>
          </w:tcPr>
          <w:p w14:paraId="5C78BEB4" w14:textId="77777777" w:rsidR="0045599B" w:rsidRDefault="00000000">
            <w:pPr>
              <w:adjustRightInd w:val="0"/>
              <w:snapToGrid w:val="0"/>
              <w:spacing w:line="240" w:lineRule="auto"/>
              <w:jc w:val="left"/>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50156-2021《汽车加油加气加氢站技术标准》第6.1.10条、第13.4.4条；DB11/T 1322.3-2017《安全生产等级评定技术规范 第3部分：加油站》第3.3.5.3条、第3.3.5.4条。</w:t>
            </w:r>
          </w:p>
          <w:p w14:paraId="1F38D735" w14:textId="77777777" w:rsidR="0045599B" w:rsidRDefault="00000000">
            <w:pPr>
              <w:pStyle w:val="a9"/>
              <w:numPr>
                <w:ilvl w:val="0"/>
                <w:numId w:val="10"/>
              </w:numPr>
              <w:adjustRightInd w:val="0"/>
              <w:snapToGrid w:val="0"/>
              <w:spacing w:line="240" w:lineRule="auto"/>
              <w:ind w:firstLineChars="0"/>
              <w:jc w:val="left"/>
              <w:rPr>
                <w:rFonts w:ascii="仿宋_GB2312" w:hAnsi="Times New Roman" w:cs="Times New Roman"/>
                <w:sz w:val="20"/>
                <w:szCs w:val="20"/>
              </w:rPr>
            </w:pPr>
            <w:r>
              <w:rPr>
                <w:rFonts w:ascii="仿宋_GB2312" w:hAnsi="Times New Roman" w:cs="Times New Roman" w:hint="eastAsia"/>
                <w:sz w:val="20"/>
                <w:szCs w:val="20"/>
              </w:rPr>
              <w:t>油罐液位监测系统、双层管道系统、双层油罐、防渗罐池的渗漏检测应采用在线监测系统，并应做定期检测，确保有效运行；</w:t>
            </w:r>
          </w:p>
          <w:p w14:paraId="62A4E198" w14:textId="77777777" w:rsidR="0045599B" w:rsidRDefault="00000000">
            <w:pPr>
              <w:pStyle w:val="a9"/>
              <w:numPr>
                <w:ilvl w:val="0"/>
                <w:numId w:val="10"/>
              </w:numPr>
              <w:adjustRightInd w:val="0"/>
              <w:snapToGrid w:val="0"/>
              <w:spacing w:line="240" w:lineRule="auto"/>
              <w:ind w:firstLineChars="0"/>
              <w:jc w:val="left"/>
              <w:rPr>
                <w:rFonts w:ascii="仿宋_GB2312" w:hAnsi="Times New Roman" w:cs="Times New Roman"/>
                <w:sz w:val="20"/>
                <w:szCs w:val="20"/>
              </w:rPr>
            </w:pPr>
            <w:r>
              <w:rPr>
                <w:rFonts w:ascii="仿宋_GB2312" w:hAnsi="Times New Roman" w:cs="Times New Roman" w:hint="eastAsia"/>
                <w:sz w:val="20"/>
                <w:szCs w:val="20"/>
              </w:rPr>
              <w:t>油罐液位监测系统报警装置应设置在卸油现场操作人员能够听到或看到的地方和有人值守的房间内；</w:t>
            </w:r>
          </w:p>
          <w:p w14:paraId="6A6F8026" w14:textId="77777777" w:rsidR="0045599B" w:rsidRDefault="00000000">
            <w:pPr>
              <w:pStyle w:val="a9"/>
              <w:numPr>
                <w:ilvl w:val="0"/>
                <w:numId w:val="10"/>
              </w:numPr>
              <w:adjustRightInd w:val="0"/>
              <w:snapToGrid w:val="0"/>
              <w:spacing w:line="240" w:lineRule="auto"/>
              <w:ind w:firstLineChars="0"/>
              <w:jc w:val="left"/>
              <w:rPr>
                <w:rFonts w:ascii="仿宋_GB2312" w:hAnsi="Times New Roman" w:cs="Times New Roman"/>
                <w:sz w:val="20"/>
                <w:szCs w:val="20"/>
              </w:rPr>
            </w:pPr>
            <w:r>
              <w:rPr>
                <w:rFonts w:ascii="仿宋_GB2312" w:hAnsi="Times New Roman" w:cs="Times New Roman" w:hint="eastAsia"/>
                <w:sz w:val="20"/>
                <w:szCs w:val="20"/>
              </w:rPr>
              <w:t>双层管道系统、双层油罐、防渗罐池的渗漏检测报警装置应设置在有人值守的房间内。</w:t>
            </w:r>
          </w:p>
        </w:tc>
        <w:tc>
          <w:tcPr>
            <w:tcW w:w="696" w:type="dxa"/>
            <w:vAlign w:val="center"/>
          </w:tcPr>
          <w:p w14:paraId="52941C47"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0D6DEBD2" w14:textId="77777777">
        <w:trPr>
          <w:jc w:val="center"/>
        </w:trPr>
        <w:tc>
          <w:tcPr>
            <w:tcW w:w="1657" w:type="dxa"/>
            <w:vAlign w:val="center"/>
          </w:tcPr>
          <w:p w14:paraId="02D55628"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4D56EAD6"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设备设施及物料类</w:t>
            </w:r>
          </w:p>
        </w:tc>
        <w:tc>
          <w:tcPr>
            <w:tcW w:w="992" w:type="dxa"/>
            <w:vAlign w:val="center"/>
          </w:tcPr>
          <w:p w14:paraId="1A7BF754"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其他设备设施类</w:t>
            </w:r>
          </w:p>
        </w:tc>
        <w:tc>
          <w:tcPr>
            <w:tcW w:w="4253" w:type="dxa"/>
            <w:vAlign w:val="center"/>
          </w:tcPr>
          <w:p w14:paraId="20CC04FE"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可燃气体浓度检测报警装置设置不规范。</w:t>
            </w:r>
          </w:p>
        </w:tc>
        <w:tc>
          <w:tcPr>
            <w:tcW w:w="5562" w:type="dxa"/>
            <w:vAlign w:val="center"/>
          </w:tcPr>
          <w:p w14:paraId="4DE855F2"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50156-2021《汽车加油加气加氢站技术标准》第13.4.1条；AQ3010-2022《加油站作业安全规范》第4.5条。</w:t>
            </w:r>
          </w:p>
          <w:p w14:paraId="6535FE4D" w14:textId="77777777" w:rsidR="0045599B" w:rsidRDefault="00000000">
            <w:pPr>
              <w:pStyle w:val="a9"/>
              <w:numPr>
                <w:ilvl w:val="0"/>
                <w:numId w:val="11"/>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加油与加气或加氢合建站内有可燃气体聚集的房间、罩棚下，以及允许用户手机支付的加油站作业区应设置可燃气体浓度检测报警装置；</w:t>
            </w:r>
          </w:p>
          <w:p w14:paraId="6369C48F" w14:textId="77777777" w:rsidR="0045599B" w:rsidRDefault="00000000">
            <w:pPr>
              <w:pStyle w:val="a9"/>
              <w:numPr>
                <w:ilvl w:val="0"/>
                <w:numId w:val="11"/>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报警器应设置在值班室、仪表间等有人值守的场所；</w:t>
            </w:r>
          </w:p>
          <w:p w14:paraId="6BA69410" w14:textId="77777777" w:rsidR="0045599B" w:rsidRDefault="00000000">
            <w:pPr>
              <w:pStyle w:val="a9"/>
              <w:numPr>
                <w:ilvl w:val="0"/>
                <w:numId w:val="11"/>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报警系统应配有不间断电源；</w:t>
            </w:r>
          </w:p>
          <w:p w14:paraId="708B1C27" w14:textId="77777777" w:rsidR="0045599B" w:rsidRDefault="00000000">
            <w:pPr>
              <w:pStyle w:val="a9"/>
              <w:numPr>
                <w:ilvl w:val="0"/>
                <w:numId w:val="11"/>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浓度检测报警器应每年检定一次，每半年一次的功能性检查；</w:t>
            </w:r>
          </w:p>
          <w:p w14:paraId="23C3E534" w14:textId="77777777" w:rsidR="0045599B" w:rsidRDefault="00000000">
            <w:pPr>
              <w:pStyle w:val="a9"/>
              <w:numPr>
                <w:ilvl w:val="0"/>
                <w:numId w:val="11"/>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可燃气体浓度检测报警器寿命期为3年。</w:t>
            </w:r>
          </w:p>
        </w:tc>
        <w:tc>
          <w:tcPr>
            <w:tcW w:w="696" w:type="dxa"/>
            <w:vAlign w:val="center"/>
          </w:tcPr>
          <w:p w14:paraId="2D3CB80F"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222B11C0" w14:textId="77777777">
        <w:trPr>
          <w:jc w:val="center"/>
        </w:trPr>
        <w:tc>
          <w:tcPr>
            <w:tcW w:w="1657" w:type="dxa"/>
            <w:vAlign w:val="center"/>
          </w:tcPr>
          <w:p w14:paraId="4CFC9EFF"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126C6FF6"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设备设施及物料类</w:t>
            </w:r>
          </w:p>
        </w:tc>
        <w:tc>
          <w:tcPr>
            <w:tcW w:w="992" w:type="dxa"/>
            <w:vAlign w:val="center"/>
          </w:tcPr>
          <w:p w14:paraId="650FE33E" w14:textId="77777777" w:rsidR="0045599B" w:rsidRDefault="00000000">
            <w:pPr>
              <w:adjustRightInd w:val="0"/>
              <w:snapToGrid w:val="0"/>
              <w:spacing w:line="240" w:lineRule="auto"/>
              <w:jc w:val="center"/>
              <w:rPr>
                <w:rFonts w:ascii="仿宋_GB2312" w:hAnsiTheme="minorEastAsia"/>
                <w:kern w:val="0"/>
                <w:sz w:val="20"/>
                <w:szCs w:val="20"/>
                <w:lang w:bidi="ar"/>
              </w:rPr>
            </w:pPr>
            <w:r>
              <w:rPr>
                <w:rFonts w:ascii="仿宋_GB2312" w:hAnsi="Times New Roman" w:cs="Times New Roman" w:hint="eastAsia"/>
                <w:sz w:val="20"/>
                <w:szCs w:val="20"/>
              </w:rPr>
              <w:t>其他设备设施类</w:t>
            </w:r>
          </w:p>
        </w:tc>
        <w:tc>
          <w:tcPr>
            <w:tcW w:w="4253" w:type="dxa"/>
            <w:vAlign w:val="center"/>
          </w:tcPr>
          <w:p w14:paraId="2D8DA82D"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爆炸危险区域内的房间或箱体通风措施不符合规范要求。</w:t>
            </w:r>
          </w:p>
        </w:tc>
        <w:tc>
          <w:tcPr>
            <w:tcW w:w="5562" w:type="dxa"/>
            <w:vAlign w:val="center"/>
          </w:tcPr>
          <w:p w14:paraId="2E799A58"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50156-2021《汽车加油加气加氢站技术标准》第14.1.4条；DB11/T 1322.3-2017《安全生产等级评定技术规范 第3部分：加油站》第3.4.1.5条。</w:t>
            </w:r>
          </w:p>
          <w:p w14:paraId="0A22ED33" w14:textId="77777777" w:rsidR="0045599B" w:rsidRDefault="00000000">
            <w:pPr>
              <w:pStyle w:val="a9"/>
              <w:numPr>
                <w:ilvl w:val="0"/>
                <w:numId w:val="12"/>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采用强制通风时，通风设备的通风能力不足。</w:t>
            </w:r>
          </w:p>
          <w:p w14:paraId="78F27F16" w14:textId="77777777" w:rsidR="0045599B" w:rsidRDefault="00000000">
            <w:pPr>
              <w:pStyle w:val="a9"/>
              <w:numPr>
                <w:ilvl w:val="0"/>
                <w:numId w:val="12"/>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通风设备应防爆，且与可燃气体浓度报警器联锁。</w:t>
            </w:r>
          </w:p>
          <w:p w14:paraId="0A026CBA" w14:textId="77777777" w:rsidR="0045599B" w:rsidRDefault="00000000">
            <w:pPr>
              <w:pStyle w:val="a9"/>
              <w:numPr>
                <w:ilvl w:val="0"/>
                <w:numId w:val="12"/>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自然通风时，通风口总面积不小于300cm</w:t>
            </w:r>
            <w:r>
              <w:rPr>
                <w:rFonts w:ascii="仿宋_GB2312" w:hAnsi="Times New Roman" w:cs="Times New Roman" w:hint="eastAsia"/>
                <w:sz w:val="20"/>
                <w:szCs w:val="20"/>
                <w:vertAlign w:val="superscript"/>
              </w:rPr>
              <w:t>2</w:t>
            </w:r>
            <w:r>
              <w:rPr>
                <w:rFonts w:ascii="仿宋_GB2312" w:hAnsi="Times New Roman" w:cs="Times New Roman" w:hint="eastAsia"/>
                <w:sz w:val="20"/>
                <w:szCs w:val="20"/>
              </w:rPr>
              <w:t>/m</w:t>
            </w:r>
            <w:r>
              <w:rPr>
                <w:rFonts w:ascii="仿宋_GB2312" w:hAnsi="Times New Roman" w:cs="Times New Roman" w:hint="eastAsia"/>
                <w:sz w:val="20"/>
                <w:szCs w:val="20"/>
                <w:vertAlign w:val="superscript"/>
              </w:rPr>
              <w:t>2</w:t>
            </w:r>
            <w:r>
              <w:rPr>
                <w:rFonts w:ascii="仿宋_GB2312" w:hAnsi="Times New Roman" w:cs="Times New Roman" w:hint="eastAsia"/>
                <w:sz w:val="20"/>
                <w:szCs w:val="20"/>
              </w:rPr>
              <w:t>（地面），通风口不少于2个，且在靠近可燃气体积聚的部位设置。</w:t>
            </w:r>
          </w:p>
          <w:p w14:paraId="1A11C742" w14:textId="77777777" w:rsidR="0045599B" w:rsidRDefault="00000000">
            <w:pPr>
              <w:pStyle w:val="a9"/>
              <w:numPr>
                <w:ilvl w:val="0"/>
                <w:numId w:val="12"/>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有爆炸危险的建筑物应采取泄压措施；</w:t>
            </w:r>
          </w:p>
          <w:p w14:paraId="3715DE7B"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5）布置有可燃气体设备的建筑物门窗应向外开启。</w:t>
            </w:r>
          </w:p>
        </w:tc>
        <w:tc>
          <w:tcPr>
            <w:tcW w:w="696" w:type="dxa"/>
            <w:vAlign w:val="center"/>
          </w:tcPr>
          <w:p w14:paraId="5D04F4AA"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0F09C253" w14:textId="77777777">
        <w:trPr>
          <w:jc w:val="center"/>
        </w:trPr>
        <w:tc>
          <w:tcPr>
            <w:tcW w:w="1657" w:type="dxa"/>
            <w:vAlign w:val="center"/>
          </w:tcPr>
          <w:p w14:paraId="6954AD1E"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708244D7"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设备设施及物料类</w:t>
            </w:r>
          </w:p>
        </w:tc>
        <w:tc>
          <w:tcPr>
            <w:tcW w:w="992" w:type="dxa"/>
            <w:vAlign w:val="center"/>
          </w:tcPr>
          <w:p w14:paraId="5097F05A"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其他设备设施类</w:t>
            </w:r>
          </w:p>
        </w:tc>
        <w:tc>
          <w:tcPr>
            <w:tcW w:w="4253" w:type="dxa"/>
            <w:vAlign w:val="center"/>
          </w:tcPr>
          <w:p w14:paraId="6FEC9D76"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钢制油罐未进行防雷接地，或接地点少于两处；油罐车卸车场地未设卸车临时用的防静电接地装置，或未设置能检测跨接线及监视接地装置状态的静电接地仪。</w:t>
            </w:r>
          </w:p>
        </w:tc>
        <w:tc>
          <w:tcPr>
            <w:tcW w:w="5562" w:type="dxa"/>
            <w:vAlign w:val="center"/>
          </w:tcPr>
          <w:p w14:paraId="63619FDE"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50156-2021《汽车加油加气加氢站技术标准》第13.2.1条、第13.2.11条；DB11/T 1322.3-2017《安全生产等级评定技术规范 第3部分：加油站》第3.5.3.1条、第3.5.3.4条</w:t>
            </w:r>
          </w:p>
        </w:tc>
        <w:tc>
          <w:tcPr>
            <w:tcW w:w="696" w:type="dxa"/>
            <w:vAlign w:val="center"/>
          </w:tcPr>
          <w:p w14:paraId="333EE5FC"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510BB4F4" w14:textId="77777777">
        <w:trPr>
          <w:jc w:val="center"/>
        </w:trPr>
        <w:tc>
          <w:tcPr>
            <w:tcW w:w="1657" w:type="dxa"/>
            <w:vAlign w:val="center"/>
          </w:tcPr>
          <w:p w14:paraId="0470B276"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727B1734"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设备设施及物料类</w:t>
            </w:r>
          </w:p>
        </w:tc>
        <w:tc>
          <w:tcPr>
            <w:tcW w:w="992" w:type="dxa"/>
            <w:vAlign w:val="center"/>
          </w:tcPr>
          <w:p w14:paraId="77362AE3"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其他设备设施类</w:t>
            </w:r>
          </w:p>
        </w:tc>
        <w:tc>
          <w:tcPr>
            <w:tcW w:w="4253" w:type="dxa"/>
            <w:vAlign w:val="center"/>
          </w:tcPr>
          <w:p w14:paraId="74183030"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在爆炸危险区域内的油品管道上的法兰、胶管两端等连接处未用金属线跨接。</w:t>
            </w:r>
          </w:p>
        </w:tc>
        <w:tc>
          <w:tcPr>
            <w:tcW w:w="5562" w:type="dxa"/>
            <w:vAlign w:val="center"/>
          </w:tcPr>
          <w:p w14:paraId="5EFD86AA"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50156-2021《汽车加油加气加氢站技术标准》第13.2.12条、第13.2.11条；DB11/T 1322.3-2017《安全生产等级评定技术规范 第3部分：加油站》第3.5.3.2条。</w:t>
            </w:r>
          </w:p>
          <w:p w14:paraId="3F2410E2" w14:textId="77777777" w:rsidR="0045599B" w:rsidRDefault="00000000">
            <w:pPr>
              <w:pStyle w:val="a9"/>
              <w:numPr>
                <w:ilvl w:val="0"/>
                <w:numId w:val="13"/>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当法兰的连接螺栓少于 5 根时未设跨接；</w:t>
            </w:r>
          </w:p>
          <w:p w14:paraId="65A881DF" w14:textId="77777777" w:rsidR="0045599B" w:rsidRDefault="00000000">
            <w:pPr>
              <w:pStyle w:val="a9"/>
              <w:numPr>
                <w:ilvl w:val="0"/>
                <w:numId w:val="13"/>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当其一端的接触面为绝缘材料时，未进行跨接。</w:t>
            </w:r>
          </w:p>
        </w:tc>
        <w:tc>
          <w:tcPr>
            <w:tcW w:w="696" w:type="dxa"/>
            <w:vAlign w:val="center"/>
          </w:tcPr>
          <w:p w14:paraId="0C8B24B4"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7EAF1AD7" w14:textId="77777777">
        <w:trPr>
          <w:jc w:val="center"/>
        </w:trPr>
        <w:tc>
          <w:tcPr>
            <w:tcW w:w="1657" w:type="dxa"/>
            <w:vAlign w:val="center"/>
          </w:tcPr>
          <w:p w14:paraId="4929CAE2"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63591C90"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人员类</w:t>
            </w:r>
          </w:p>
        </w:tc>
        <w:tc>
          <w:tcPr>
            <w:tcW w:w="992" w:type="dxa"/>
            <w:vAlign w:val="center"/>
          </w:tcPr>
          <w:p w14:paraId="6CA99FB2"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资质资格类</w:t>
            </w:r>
          </w:p>
        </w:tc>
        <w:tc>
          <w:tcPr>
            <w:tcW w:w="4253" w:type="dxa"/>
            <w:vAlign w:val="center"/>
          </w:tcPr>
          <w:p w14:paraId="42605245"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主要负责人和安全生产管理人员不具备相应的安全生产知识和能力（取得安全生产资格证书或经安全生产知识和管理能力考核合格）。</w:t>
            </w:r>
          </w:p>
        </w:tc>
        <w:tc>
          <w:tcPr>
            <w:tcW w:w="5562" w:type="dxa"/>
            <w:vAlign w:val="center"/>
          </w:tcPr>
          <w:p w14:paraId="0440FC68"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《中华人民共和国安全生产法》第二十七条；《北京市生产经营单位安全生产主体责任规定》第十六条</w:t>
            </w:r>
          </w:p>
        </w:tc>
        <w:tc>
          <w:tcPr>
            <w:tcW w:w="696" w:type="dxa"/>
            <w:vAlign w:val="center"/>
          </w:tcPr>
          <w:p w14:paraId="4C1FE55E"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41F69177" w14:textId="77777777">
        <w:trPr>
          <w:jc w:val="center"/>
        </w:trPr>
        <w:tc>
          <w:tcPr>
            <w:tcW w:w="1657" w:type="dxa"/>
            <w:vAlign w:val="center"/>
          </w:tcPr>
          <w:p w14:paraId="1EA5A630"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53E5517C"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人员类</w:t>
            </w:r>
          </w:p>
        </w:tc>
        <w:tc>
          <w:tcPr>
            <w:tcW w:w="992" w:type="dxa"/>
            <w:vAlign w:val="center"/>
          </w:tcPr>
          <w:p w14:paraId="1F73D7EB"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资质资格类</w:t>
            </w:r>
          </w:p>
        </w:tc>
        <w:tc>
          <w:tcPr>
            <w:tcW w:w="4253" w:type="dxa"/>
            <w:vAlign w:val="center"/>
          </w:tcPr>
          <w:p w14:paraId="3A2F0BFE"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有限空间监护人员未持有有限空间特种作业证。</w:t>
            </w:r>
          </w:p>
        </w:tc>
        <w:tc>
          <w:tcPr>
            <w:tcW w:w="5562" w:type="dxa"/>
            <w:vAlign w:val="center"/>
          </w:tcPr>
          <w:p w14:paraId="39EBDCE6"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《北京市安全生产委员会办公室关于进一步加强有限空间作业安全生产工作的通知》（京安办发〔2018〕13号）</w:t>
            </w:r>
          </w:p>
        </w:tc>
        <w:tc>
          <w:tcPr>
            <w:tcW w:w="696" w:type="dxa"/>
            <w:vAlign w:val="center"/>
          </w:tcPr>
          <w:p w14:paraId="2886444A"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5F510220" w14:textId="77777777">
        <w:trPr>
          <w:jc w:val="center"/>
        </w:trPr>
        <w:tc>
          <w:tcPr>
            <w:tcW w:w="1657" w:type="dxa"/>
            <w:vAlign w:val="center"/>
          </w:tcPr>
          <w:p w14:paraId="2B37601E"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066F293B"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人员类</w:t>
            </w:r>
          </w:p>
        </w:tc>
        <w:tc>
          <w:tcPr>
            <w:tcW w:w="992" w:type="dxa"/>
            <w:vAlign w:val="center"/>
          </w:tcPr>
          <w:p w14:paraId="718D771A"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操作行为类</w:t>
            </w:r>
          </w:p>
        </w:tc>
        <w:tc>
          <w:tcPr>
            <w:tcW w:w="4253" w:type="dxa"/>
            <w:vAlign w:val="center"/>
          </w:tcPr>
          <w:p w14:paraId="5B1F02E6"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加油站从业人员未配备或未正确穿戴防静电工作服、防静电工作鞋、防护手套、反光背心。</w:t>
            </w:r>
          </w:p>
        </w:tc>
        <w:tc>
          <w:tcPr>
            <w:tcW w:w="5562" w:type="dxa"/>
            <w:vAlign w:val="center"/>
          </w:tcPr>
          <w:p w14:paraId="4FBF2578"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AQ3010-2022《加油站作业安全规范》第4.2条；DB11/T 1322.3-2017《安全生产等级评定技术规范 第3部分：加油站》附录I第8.1条</w:t>
            </w:r>
          </w:p>
        </w:tc>
        <w:tc>
          <w:tcPr>
            <w:tcW w:w="696" w:type="dxa"/>
            <w:vAlign w:val="center"/>
          </w:tcPr>
          <w:p w14:paraId="730D465B"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4048D04E" w14:textId="77777777">
        <w:trPr>
          <w:jc w:val="center"/>
        </w:trPr>
        <w:tc>
          <w:tcPr>
            <w:tcW w:w="1657" w:type="dxa"/>
            <w:vAlign w:val="center"/>
          </w:tcPr>
          <w:p w14:paraId="41CB6336"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32A9E370"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人员类</w:t>
            </w:r>
          </w:p>
        </w:tc>
        <w:tc>
          <w:tcPr>
            <w:tcW w:w="992" w:type="dxa"/>
            <w:vAlign w:val="center"/>
          </w:tcPr>
          <w:p w14:paraId="3A870AD7"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操作行为类</w:t>
            </w:r>
          </w:p>
        </w:tc>
        <w:tc>
          <w:tcPr>
            <w:tcW w:w="4253" w:type="dxa"/>
            <w:vAlign w:val="center"/>
          </w:tcPr>
          <w:p w14:paraId="69B7BB0F"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生产经营单位的爆破、吊装、挖掘、悬吊、建设工程拆除、油罐清洗等危险作业，以及在有限空间内作业、动火作业、高处作业、带电作业、临近高压输电线路作业，未按要求进行。</w:t>
            </w:r>
          </w:p>
        </w:tc>
        <w:tc>
          <w:tcPr>
            <w:tcW w:w="5562" w:type="dxa"/>
            <w:vAlign w:val="center"/>
          </w:tcPr>
          <w:p w14:paraId="4890304D"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《北京市安全生产条例》第二十九条；《北京市生产经营单位安全生产主体责任规定》第二十五条；GB 30871-2022《危险化学品企业特殊作业安全规范》；AQ3010-2022《加油站作业安全规范》第8.3条；DB11/T 1322.3-2017《安全生产等级评定技术规范 第3部分：加油站》附录J第9.4.2条。</w:t>
            </w:r>
          </w:p>
          <w:p w14:paraId="5E99CB7E" w14:textId="77777777" w:rsidR="0045599B" w:rsidRDefault="00000000">
            <w:pPr>
              <w:pStyle w:val="a9"/>
              <w:numPr>
                <w:ilvl w:val="0"/>
                <w:numId w:val="14"/>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应制定作业方案，且按照本单位内部批准权限审批；</w:t>
            </w:r>
          </w:p>
          <w:p w14:paraId="4D209297" w14:textId="77777777" w:rsidR="0045599B" w:rsidRDefault="00000000">
            <w:pPr>
              <w:pStyle w:val="a9"/>
              <w:numPr>
                <w:ilvl w:val="0"/>
                <w:numId w:val="14"/>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应安排专门人员进行现场管理，确认现场作业条件、作业人员上岗资格、身体状况符合安全作业要求，监督作业人员遵守操作规程，落实安全措施；</w:t>
            </w:r>
          </w:p>
          <w:p w14:paraId="75A48152" w14:textId="77777777" w:rsidR="0045599B" w:rsidRDefault="00000000">
            <w:pPr>
              <w:pStyle w:val="a9"/>
              <w:numPr>
                <w:ilvl w:val="0"/>
                <w:numId w:val="14"/>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落实安全交底和技术交底，向作业人员详细说明作业内容、主要危险因素、作业安全要求和应急措施等内容；</w:t>
            </w:r>
          </w:p>
          <w:p w14:paraId="43021828" w14:textId="77777777" w:rsidR="0045599B" w:rsidRDefault="00000000">
            <w:pPr>
              <w:pStyle w:val="a9"/>
              <w:numPr>
                <w:ilvl w:val="0"/>
                <w:numId w:val="14"/>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配备与现场作业活动相适应的劳动防护用品，以及相应的安全警示标志、安全防护设备、应急救援装备；</w:t>
            </w:r>
          </w:p>
          <w:p w14:paraId="426589A0" w14:textId="77777777" w:rsidR="0045599B" w:rsidRDefault="00000000">
            <w:pPr>
              <w:pStyle w:val="a9"/>
              <w:numPr>
                <w:ilvl w:val="0"/>
                <w:numId w:val="14"/>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发现直接危及人身安全的紧急情况，应立即采取应急措</w:t>
            </w:r>
            <w:r>
              <w:rPr>
                <w:rFonts w:ascii="仿宋_GB2312" w:hAnsi="Times New Roman" w:cs="Times New Roman" w:hint="eastAsia"/>
                <w:sz w:val="20"/>
                <w:szCs w:val="20"/>
              </w:rPr>
              <w:lastRenderedPageBreak/>
              <w:t>施，停止作业或者撤出作业人员。</w:t>
            </w:r>
          </w:p>
        </w:tc>
        <w:tc>
          <w:tcPr>
            <w:tcW w:w="696" w:type="dxa"/>
            <w:vAlign w:val="center"/>
          </w:tcPr>
          <w:p w14:paraId="4C5DA9D3"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0CF3A970" w14:textId="77777777">
        <w:trPr>
          <w:jc w:val="center"/>
        </w:trPr>
        <w:tc>
          <w:tcPr>
            <w:tcW w:w="1657" w:type="dxa"/>
            <w:vAlign w:val="center"/>
          </w:tcPr>
          <w:p w14:paraId="446C1335"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0129AE0D"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人员类</w:t>
            </w:r>
          </w:p>
        </w:tc>
        <w:tc>
          <w:tcPr>
            <w:tcW w:w="992" w:type="dxa"/>
            <w:vAlign w:val="center"/>
          </w:tcPr>
          <w:p w14:paraId="3706DB60" w14:textId="77777777" w:rsidR="0045599B" w:rsidRDefault="00000000">
            <w:pPr>
              <w:adjustRightInd w:val="0"/>
              <w:snapToGrid w:val="0"/>
              <w:spacing w:line="240" w:lineRule="auto"/>
              <w:jc w:val="center"/>
              <w:rPr>
                <w:rFonts w:ascii="仿宋_GB2312" w:hAnsi="Times New Roman" w:cs="Times New Roman"/>
                <w:color w:val="0000FF"/>
                <w:sz w:val="20"/>
                <w:szCs w:val="20"/>
              </w:rPr>
            </w:pPr>
            <w:r>
              <w:rPr>
                <w:rFonts w:ascii="仿宋_GB2312" w:hAnsi="Times New Roman" w:cs="Times New Roman" w:hint="eastAsia"/>
                <w:sz w:val="20"/>
                <w:szCs w:val="20"/>
              </w:rPr>
              <w:t>操作行为类</w:t>
            </w:r>
          </w:p>
        </w:tc>
        <w:tc>
          <w:tcPr>
            <w:tcW w:w="4253" w:type="dxa"/>
            <w:vAlign w:val="center"/>
          </w:tcPr>
          <w:p w14:paraId="1D1AC3A0"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卸油作业不符合规范要求。</w:t>
            </w:r>
          </w:p>
        </w:tc>
        <w:tc>
          <w:tcPr>
            <w:tcW w:w="5562" w:type="dxa"/>
            <w:vAlign w:val="center"/>
          </w:tcPr>
          <w:p w14:paraId="26CF9696"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AQ3010-2022《加油站作业安全规范》第5条；DB11/T 1322.3-2017《安全生产等级评定技术规范 第3部分：加油站》附录J第9.1条。</w:t>
            </w:r>
          </w:p>
          <w:p w14:paraId="04D0BA95" w14:textId="77777777" w:rsidR="0045599B" w:rsidRDefault="00000000">
            <w:pPr>
              <w:pStyle w:val="a9"/>
              <w:numPr>
                <w:ilvl w:val="0"/>
                <w:numId w:val="1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应具备密闭卸油的条件；</w:t>
            </w:r>
          </w:p>
          <w:p w14:paraId="5692A18C" w14:textId="77777777" w:rsidR="0045599B" w:rsidRDefault="00000000">
            <w:pPr>
              <w:pStyle w:val="a9"/>
              <w:numPr>
                <w:ilvl w:val="0"/>
                <w:numId w:val="1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防雷防静电接地设施完好；</w:t>
            </w:r>
          </w:p>
          <w:p w14:paraId="524C5345" w14:textId="77777777" w:rsidR="0045599B" w:rsidRDefault="00000000">
            <w:pPr>
              <w:pStyle w:val="a9"/>
              <w:numPr>
                <w:ilvl w:val="0"/>
                <w:numId w:val="1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油罐车车况良好，防火防静电设施完备；油罐车的排气管</w:t>
            </w:r>
          </w:p>
          <w:p w14:paraId="55236EFB" w14:textId="77777777" w:rsidR="0045599B" w:rsidRDefault="00000000">
            <w:pPr>
              <w:pStyle w:val="a9"/>
              <w:adjustRightInd w:val="0"/>
              <w:snapToGrid w:val="0"/>
              <w:spacing w:line="240" w:lineRule="auto"/>
              <w:ind w:firstLineChars="0" w:firstLine="0"/>
              <w:rPr>
                <w:rFonts w:ascii="仿宋_GB2312" w:hAnsi="Times New Roman" w:cs="Times New Roman"/>
                <w:sz w:val="20"/>
                <w:szCs w:val="20"/>
              </w:rPr>
            </w:pPr>
            <w:r>
              <w:rPr>
                <w:rFonts w:ascii="仿宋_GB2312" w:hAnsi="Times New Roman" w:cs="Times New Roman" w:hint="eastAsia"/>
                <w:sz w:val="20"/>
                <w:szCs w:val="20"/>
              </w:rPr>
              <w:t>应安装阻火器；</w:t>
            </w:r>
          </w:p>
          <w:p w14:paraId="4B65891F" w14:textId="77777777" w:rsidR="0045599B" w:rsidRDefault="00000000">
            <w:pPr>
              <w:pStyle w:val="a9"/>
              <w:numPr>
                <w:ilvl w:val="0"/>
                <w:numId w:val="1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卸油作业所需应急器材配备齐全；</w:t>
            </w:r>
          </w:p>
          <w:p w14:paraId="114A405C" w14:textId="77777777" w:rsidR="0045599B" w:rsidRDefault="00000000">
            <w:pPr>
              <w:pStyle w:val="a9"/>
              <w:numPr>
                <w:ilvl w:val="0"/>
                <w:numId w:val="1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雷雨天气不得进行卸油作业；</w:t>
            </w:r>
          </w:p>
          <w:p w14:paraId="6893B195" w14:textId="77777777" w:rsidR="0045599B" w:rsidRDefault="00000000">
            <w:pPr>
              <w:pStyle w:val="a9"/>
              <w:numPr>
                <w:ilvl w:val="0"/>
                <w:numId w:val="1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油罐车站内移动时，应由加油站人员引导、指挥，车速不</w:t>
            </w:r>
          </w:p>
          <w:p w14:paraId="051088C2" w14:textId="77777777" w:rsidR="0045599B" w:rsidRDefault="00000000">
            <w:pPr>
              <w:pStyle w:val="a9"/>
              <w:adjustRightInd w:val="0"/>
              <w:snapToGrid w:val="0"/>
              <w:spacing w:line="240" w:lineRule="auto"/>
              <w:ind w:firstLineChars="0" w:firstLine="0"/>
              <w:rPr>
                <w:rFonts w:ascii="仿宋_GB2312" w:hAnsi="Times New Roman" w:cs="Times New Roman"/>
                <w:sz w:val="20"/>
                <w:szCs w:val="20"/>
              </w:rPr>
            </w:pPr>
            <w:r>
              <w:rPr>
                <w:rFonts w:ascii="仿宋_GB2312" w:hAnsi="Times New Roman" w:cs="Times New Roman" w:hint="eastAsia"/>
                <w:sz w:val="20"/>
                <w:szCs w:val="20"/>
              </w:rPr>
              <w:t>应大于 5km/h；</w:t>
            </w:r>
          </w:p>
          <w:p w14:paraId="665B35F8" w14:textId="77777777" w:rsidR="0045599B" w:rsidRDefault="00000000">
            <w:pPr>
              <w:pStyle w:val="a9"/>
              <w:numPr>
                <w:ilvl w:val="0"/>
                <w:numId w:val="1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油罐车停于密闭卸油点，熄火并拉上手刹车；</w:t>
            </w:r>
          </w:p>
          <w:p w14:paraId="54324D79" w14:textId="77777777" w:rsidR="0045599B" w:rsidRDefault="00000000">
            <w:pPr>
              <w:pStyle w:val="a9"/>
              <w:numPr>
                <w:ilvl w:val="0"/>
                <w:numId w:val="1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油罐车进站后，卸油人员检查油罐车的安全设施后，应先将静电接地线夹头接到专用接地端，并确认接触良好。按规定数量在卸油位置上风处摆放应急器材；</w:t>
            </w:r>
          </w:p>
          <w:p w14:paraId="28D307C1" w14:textId="77777777" w:rsidR="0045599B" w:rsidRDefault="00000000">
            <w:pPr>
              <w:pStyle w:val="a9"/>
              <w:numPr>
                <w:ilvl w:val="0"/>
                <w:numId w:val="1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h）油罐车熄火并静置 15min 后，卸油员按工艺流程连接卸油管及油气回收管及接头，将接头结合紧密，保持卸油管自然弯曲；经计量后准备接卸；</w:t>
            </w:r>
          </w:p>
          <w:p w14:paraId="42DD4710" w14:textId="77777777" w:rsidR="0045599B" w:rsidRDefault="00000000">
            <w:pPr>
              <w:pStyle w:val="a9"/>
              <w:numPr>
                <w:ilvl w:val="0"/>
                <w:numId w:val="1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油罐卸油、计量前，与该罐连接的给油设备应停止使用；</w:t>
            </w:r>
          </w:p>
          <w:p w14:paraId="3DFC0362" w14:textId="77777777" w:rsidR="0045599B" w:rsidRDefault="00000000">
            <w:pPr>
              <w:pStyle w:val="a9"/>
              <w:numPr>
                <w:ilvl w:val="0"/>
                <w:numId w:val="1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卸油前，应准确计量油罐的存有量；核对罐车与油罐中油</w:t>
            </w:r>
          </w:p>
          <w:p w14:paraId="081AA6E3" w14:textId="77777777" w:rsidR="0045599B" w:rsidRDefault="00000000">
            <w:pPr>
              <w:pStyle w:val="a9"/>
              <w:numPr>
                <w:ilvl w:val="0"/>
                <w:numId w:val="1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品的品名、牌号是否一致；</w:t>
            </w:r>
          </w:p>
          <w:p w14:paraId="0181159B" w14:textId="77777777" w:rsidR="0045599B" w:rsidRDefault="00000000">
            <w:pPr>
              <w:pStyle w:val="a9"/>
              <w:numPr>
                <w:ilvl w:val="0"/>
                <w:numId w:val="1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检查确认油罐计量孔密闭良好，并检查通气管阀门是否关闭；</w:t>
            </w:r>
          </w:p>
          <w:p w14:paraId="50268531" w14:textId="77777777" w:rsidR="0045599B" w:rsidRDefault="00000000">
            <w:pPr>
              <w:pStyle w:val="a9"/>
              <w:numPr>
                <w:ilvl w:val="0"/>
                <w:numId w:val="1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卸油作业中，应有人专人在现场监护，车辆及非操作人员不应进入卸油区；</w:t>
            </w:r>
          </w:p>
          <w:p w14:paraId="70D0973E" w14:textId="77777777" w:rsidR="0045599B" w:rsidRDefault="00000000">
            <w:pPr>
              <w:pStyle w:val="a9"/>
              <w:numPr>
                <w:ilvl w:val="0"/>
                <w:numId w:val="1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卸油过程中，卸油人员和油罐车驾驶员不应离开作业现场；</w:t>
            </w:r>
          </w:p>
          <w:p w14:paraId="0D472727" w14:textId="77777777" w:rsidR="0045599B" w:rsidRDefault="00000000">
            <w:pPr>
              <w:pStyle w:val="a9"/>
              <w:numPr>
                <w:ilvl w:val="0"/>
                <w:numId w:val="1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油罐车驾驶员缓慢开启卸油阀卸油。卸油员应监视卸油管线、相关阀门、过滤器等设备的运行情况，随时准备处理可能发生的问题；</w:t>
            </w:r>
          </w:p>
          <w:p w14:paraId="7DB5BFEE" w14:textId="77777777" w:rsidR="0045599B" w:rsidRDefault="00000000">
            <w:pPr>
              <w:pStyle w:val="a9"/>
              <w:numPr>
                <w:ilvl w:val="0"/>
                <w:numId w:val="1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lastRenderedPageBreak/>
              <w:t>卸油时严格控制油的流速，在油面淹没进油管口 200mm 前，初始流速不应大于 1m/s，卸油时流速应不大于 4.5m/s；</w:t>
            </w:r>
          </w:p>
          <w:p w14:paraId="40911994" w14:textId="77777777" w:rsidR="0045599B" w:rsidRDefault="00000000">
            <w:pPr>
              <w:pStyle w:val="a9"/>
              <w:numPr>
                <w:ilvl w:val="0"/>
                <w:numId w:val="1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卸油时若发生油料溅溢，应立即停止卸油并立即处理；</w:t>
            </w:r>
          </w:p>
          <w:p w14:paraId="198F1005" w14:textId="77777777" w:rsidR="0045599B" w:rsidRDefault="00000000">
            <w:pPr>
              <w:pStyle w:val="a9"/>
              <w:numPr>
                <w:ilvl w:val="0"/>
                <w:numId w:val="1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卸油时如发生交通事故、火灾事故、爆炸事故、破坏事故和伤亡事故等，应立即停止卸油作业，同时应将油罐车驶离加油站；</w:t>
            </w:r>
          </w:p>
          <w:p w14:paraId="20664DB6" w14:textId="77777777" w:rsidR="0045599B" w:rsidRDefault="00000000">
            <w:pPr>
              <w:pStyle w:val="a9"/>
              <w:numPr>
                <w:ilvl w:val="0"/>
                <w:numId w:val="1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在卸油过程中，严禁擦洗罐车物品、按喇叭、修车等，对器具要轻拿轻放；</w:t>
            </w:r>
          </w:p>
          <w:p w14:paraId="0FBFF3F2" w14:textId="77777777" w:rsidR="0045599B" w:rsidRDefault="00000000">
            <w:pPr>
              <w:pStyle w:val="a9"/>
              <w:numPr>
                <w:ilvl w:val="0"/>
                <w:numId w:val="1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卸油完毕，油罐车驾驶员应关闭卸油阀；卸油员应先拆卸油管与油罐车连接端头，并将卸油管抬高使管内油料流入油罐内并防止溅出。盖严罐口处的卸油帽，收回静电导线。收存卸油管、油气回收管时不可</w:t>
            </w:r>
            <w:r>
              <w:rPr>
                <w:rFonts w:ascii="微软雅黑" w:eastAsia="微软雅黑" w:hAnsi="微软雅黑" w:cs="微软雅黑" w:hint="eastAsia"/>
                <w:sz w:val="20"/>
                <w:szCs w:val="20"/>
              </w:rPr>
              <w:t>拋</w:t>
            </w:r>
            <w:r>
              <w:rPr>
                <w:rFonts w:ascii="仿宋_GB2312" w:hAnsi="仿宋_GB2312" w:cs="仿宋_GB2312" w:hint="eastAsia"/>
                <w:sz w:val="20"/>
                <w:szCs w:val="20"/>
              </w:rPr>
              <w:t>摔，以防接头变形；</w:t>
            </w:r>
          </w:p>
          <w:p w14:paraId="51FE4090" w14:textId="77777777" w:rsidR="0045599B" w:rsidRDefault="00000000">
            <w:pPr>
              <w:pStyle w:val="a9"/>
              <w:numPr>
                <w:ilvl w:val="0"/>
                <w:numId w:val="1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卸油完毕罐车静置 5min 后，卸油员引导油罐车启车、离站，清理卸油现场，将应急器材放回原位；</w:t>
            </w:r>
          </w:p>
          <w:p w14:paraId="21FFB040" w14:textId="77777777" w:rsidR="0045599B" w:rsidRDefault="00000000">
            <w:pPr>
              <w:pStyle w:val="a9"/>
              <w:numPr>
                <w:ilvl w:val="0"/>
                <w:numId w:val="15"/>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卸油完毕待罐内油面静止平稳后，方可通知加油员开机加油。</w:t>
            </w:r>
          </w:p>
        </w:tc>
        <w:tc>
          <w:tcPr>
            <w:tcW w:w="696" w:type="dxa"/>
            <w:vAlign w:val="center"/>
          </w:tcPr>
          <w:p w14:paraId="69195C37"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293205F5" w14:textId="77777777">
        <w:trPr>
          <w:jc w:val="center"/>
        </w:trPr>
        <w:tc>
          <w:tcPr>
            <w:tcW w:w="1657" w:type="dxa"/>
            <w:vAlign w:val="center"/>
          </w:tcPr>
          <w:p w14:paraId="7AB7E009"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7B1ABBDE"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人员类</w:t>
            </w:r>
          </w:p>
        </w:tc>
        <w:tc>
          <w:tcPr>
            <w:tcW w:w="992" w:type="dxa"/>
            <w:vAlign w:val="center"/>
          </w:tcPr>
          <w:p w14:paraId="4BA62491" w14:textId="77777777" w:rsidR="0045599B" w:rsidRDefault="00000000">
            <w:pPr>
              <w:adjustRightInd w:val="0"/>
              <w:snapToGrid w:val="0"/>
              <w:spacing w:line="240" w:lineRule="auto"/>
              <w:jc w:val="center"/>
              <w:rPr>
                <w:rFonts w:ascii="仿宋_GB2312" w:hAnsi="Times New Roman" w:cs="Times New Roman"/>
                <w:color w:val="0000FF"/>
                <w:sz w:val="20"/>
                <w:szCs w:val="20"/>
              </w:rPr>
            </w:pPr>
            <w:r>
              <w:rPr>
                <w:rFonts w:ascii="仿宋_GB2312" w:hAnsi="Times New Roman" w:cs="Times New Roman" w:hint="eastAsia"/>
                <w:sz w:val="20"/>
                <w:szCs w:val="20"/>
              </w:rPr>
              <w:t>操作行为类</w:t>
            </w:r>
          </w:p>
        </w:tc>
        <w:tc>
          <w:tcPr>
            <w:tcW w:w="4253" w:type="dxa"/>
            <w:vAlign w:val="center"/>
          </w:tcPr>
          <w:p w14:paraId="3FD59E53"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加油作业不符合规范要求。</w:t>
            </w:r>
          </w:p>
        </w:tc>
        <w:tc>
          <w:tcPr>
            <w:tcW w:w="5562" w:type="dxa"/>
            <w:vAlign w:val="center"/>
          </w:tcPr>
          <w:p w14:paraId="0127B338"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AQ3010-2022《加油站作业安全规范》第6条；DB11/T 1322.3-2017《安全生产等级评定技术规范 第3部分：加油站》附录J第9.2条。</w:t>
            </w:r>
          </w:p>
          <w:p w14:paraId="6B130F62" w14:textId="77777777" w:rsidR="0045599B" w:rsidRDefault="00000000">
            <w:pPr>
              <w:pStyle w:val="a9"/>
              <w:numPr>
                <w:ilvl w:val="0"/>
                <w:numId w:val="16"/>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加油机附近应</w:t>
            </w:r>
            <w:r w:rsidR="00481906">
              <w:rPr>
                <w:rFonts w:ascii="仿宋_GB2312" w:hAnsi="Times New Roman" w:cs="Times New Roman" w:hint="eastAsia"/>
                <w:sz w:val="20"/>
                <w:szCs w:val="20"/>
              </w:rPr>
              <w:t>按</w:t>
            </w:r>
            <w:r>
              <w:rPr>
                <w:rFonts w:ascii="仿宋_GB2312" w:hAnsi="Times New Roman" w:cs="Times New Roman" w:hint="eastAsia"/>
                <w:sz w:val="20"/>
                <w:szCs w:val="20"/>
              </w:rPr>
              <w:t>规范要求配备灭火器和灭火毯。加油机爆炸危险区域内不应放置可燃性物品；</w:t>
            </w:r>
          </w:p>
          <w:p w14:paraId="55420A9A" w14:textId="77777777" w:rsidR="0045599B" w:rsidRDefault="00000000">
            <w:pPr>
              <w:pStyle w:val="a9"/>
              <w:numPr>
                <w:ilvl w:val="0"/>
                <w:numId w:val="16"/>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不应在加油作业区外进行加油作业。不应向未采取防止静电积聚措施的绝缘性容器进行散装加注。</w:t>
            </w:r>
          </w:p>
          <w:p w14:paraId="619D9FD1" w14:textId="77777777" w:rsidR="0045599B" w:rsidRDefault="00000000">
            <w:pPr>
              <w:pStyle w:val="a9"/>
              <w:numPr>
                <w:ilvl w:val="0"/>
                <w:numId w:val="16"/>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加油作业前，加油员应确认车辆停稳、熄火；摩托车驾驶人和乘坐人员应离开座位， 并将车辆熄火、放置平稳； 加油员与客户确认油品的名 称和牌号等信息；应提示客户 在靠近油箱口 前先释放人体静电。</w:t>
            </w:r>
          </w:p>
          <w:p w14:paraId="77090803" w14:textId="77777777" w:rsidR="0045599B" w:rsidRDefault="00000000">
            <w:pPr>
              <w:pStyle w:val="a9"/>
              <w:numPr>
                <w:ilvl w:val="0"/>
                <w:numId w:val="16"/>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加油枪应为自封式加油枪，汽油加油 流量不应大于50L/min；</w:t>
            </w:r>
          </w:p>
          <w:p w14:paraId="30855B4B" w14:textId="77777777" w:rsidR="0045599B" w:rsidRDefault="00000000">
            <w:pPr>
              <w:pStyle w:val="a9"/>
              <w:numPr>
                <w:ilvl w:val="0"/>
                <w:numId w:val="16"/>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加油时应避免油料溅出，若发生油料滴漏、溢洒或影响加</w:t>
            </w:r>
            <w:r>
              <w:rPr>
                <w:rFonts w:ascii="仿宋_GB2312" w:hAnsi="Times New Roman" w:cs="Times New Roman" w:hint="eastAsia"/>
                <w:sz w:val="20"/>
                <w:szCs w:val="20"/>
              </w:rPr>
              <w:lastRenderedPageBreak/>
              <w:t>油作业安全的情况，应立即停止加油，并及时处理；</w:t>
            </w:r>
          </w:p>
          <w:p w14:paraId="070C1DFF" w14:textId="77777777" w:rsidR="0045599B" w:rsidRDefault="00000000">
            <w:pPr>
              <w:pStyle w:val="a9"/>
              <w:numPr>
                <w:ilvl w:val="0"/>
                <w:numId w:val="16"/>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加完油后，应立即将加油枪复位于加油机。</w:t>
            </w:r>
          </w:p>
        </w:tc>
        <w:tc>
          <w:tcPr>
            <w:tcW w:w="696" w:type="dxa"/>
            <w:vAlign w:val="center"/>
          </w:tcPr>
          <w:p w14:paraId="76E779A1"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1E7D2D51" w14:textId="77777777">
        <w:trPr>
          <w:jc w:val="center"/>
        </w:trPr>
        <w:tc>
          <w:tcPr>
            <w:tcW w:w="1657" w:type="dxa"/>
            <w:vAlign w:val="center"/>
          </w:tcPr>
          <w:p w14:paraId="7F1B5434"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567A44AD"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人员类</w:t>
            </w:r>
          </w:p>
        </w:tc>
        <w:tc>
          <w:tcPr>
            <w:tcW w:w="992" w:type="dxa"/>
            <w:vAlign w:val="center"/>
          </w:tcPr>
          <w:p w14:paraId="2BA98F5E"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操作行为类</w:t>
            </w:r>
          </w:p>
        </w:tc>
        <w:tc>
          <w:tcPr>
            <w:tcW w:w="4253" w:type="dxa"/>
            <w:vAlign w:val="center"/>
          </w:tcPr>
          <w:p w14:paraId="22EDDFEB"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 xml:space="preserve">油罐计量作业不符合安全要求。 </w:t>
            </w:r>
          </w:p>
        </w:tc>
        <w:tc>
          <w:tcPr>
            <w:tcW w:w="5562" w:type="dxa"/>
            <w:vAlign w:val="center"/>
          </w:tcPr>
          <w:p w14:paraId="1AB3FAE3"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AQ3010-2022《加油站作业安全规范》第7条；DB11/T 1322.3-2017《安全生产等级评定技术规范 第3部分：加油站》附录J第9.3条。</w:t>
            </w:r>
          </w:p>
          <w:p w14:paraId="05AC9901" w14:textId="77777777" w:rsidR="0045599B" w:rsidRDefault="00000000">
            <w:pPr>
              <w:pStyle w:val="a9"/>
              <w:numPr>
                <w:ilvl w:val="0"/>
                <w:numId w:val="17"/>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 xml:space="preserve"> 油罐计量应使用经法定检定并符合安全要求的计量器具； </w:t>
            </w:r>
          </w:p>
          <w:p w14:paraId="49767A3A" w14:textId="77777777" w:rsidR="0045599B" w:rsidRDefault="00000000">
            <w:pPr>
              <w:pStyle w:val="a9"/>
              <w:numPr>
                <w:ilvl w:val="0"/>
                <w:numId w:val="17"/>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 xml:space="preserve">停止使用与油罐相连的加油机； </w:t>
            </w:r>
          </w:p>
          <w:p w14:paraId="613BEC1E" w14:textId="77777777" w:rsidR="0045599B" w:rsidRDefault="00000000">
            <w:pPr>
              <w:pStyle w:val="a9"/>
              <w:numPr>
                <w:ilvl w:val="0"/>
                <w:numId w:val="17"/>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 xml:space="preserve">卸油后，待稳油 15min 后方可计量； </w:t>
            </w:r>
          </w:p>
          <w:p w14:paraId="52DE2E10" w14:textId="77777777" w:rsidR="0045599B" w:rsidRDefault="00000000">
            <w:pPr>
              <w:pStyle w:val="a9"/>
              <w:numPr>
                <w:ilvl w:val="0"/>
                <w:numId w:val="17"/>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采用人工采样、计量和测温时，测量工具上提速度不得大 于 0.5m/s，下落速度不得大于 1m/s。</w:t>
            </w:r>
          </w:p>
        </w:tc>
        <w:tc>
          <w:tcPr>
            <w:tcW w:w="696" w:type="dxa"/>
            <w:vAlign w:val="center"/>
          </w:tcPr>
          <w:p w14:paraId="3099FC9F"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6B846432" w14:textId="77777777">
        <w:trPr>
          <w:jc w:val="center"/>
        </w:trPr>
        <w:tc>
          <w:tcPr>
            <w:tcW w:w="1657" w:type="dxa"/>
            <w:vAlign w:val="center"/>
          </w:tcPr>
          <w:p w14:paraId="43402FD4"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1077A2B9"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人员类</w:t>
            </w:r>
          </w:p>
        </w:tc>
        <w:tc>
          <w:tcPr>
            <w:tcW w:w="992" w:type="dxa"/>
            <w:vAlign w:val="center"/>
          </w:tcPr>
          <w:p w14:paraId="58AA4A5A"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操作行为类</w:t>
            </w:r>
          </w:p>
        </w:tc>
        <w:tc>
          <w:tcPr>
            <w:tcW w:w="4253" w:type="dxa"/>
            <w:vAlign w:val="center"/>
          </w:tcPr>
          <w:p w14:paraId="17F352E9"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油罐清洗作业不符合安全要求。</w:t>
            </w:r>
          </w:p>
        </w:tc>
        <w:tc>
          <w:tcPr>
            <w:tcW w:w="5562" w:type="dxa"/>
            <w:vAlign w:val="center"/>
          </w:tcPr>
          <w:p w14:paraId="6CC083EB"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AQ3010-2022《加油站作业安全规范》第8.1条；DB11/T 1322.3-2017《安全生产等级评定技术规范 第3部分：加油站》附录J第9.4.1条。</w:t>
            </w:r>
          </w:p>
          <w:p w14:paraId="3091AEF4" w14:textId="77777777" w:rsidR="0045599B" w:rsidRDefault="00000000">
            <w:pPr>
              <w:pStyle w:val="a9"/>
              <w:numPr>
                <w:ilvl w:val="0"/>
                <w:numId w:val="18"/>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清罐油罐时按清罐安全要求进行。清洗油罐处应设置施工标识，并严禁无关人员接近清罐油罐；</w:t>
            </w:r>
          </w:p>
          <w:p w14:paraId="5FF1A5B9" w14:textId="77777777" w:rsidR="0045599B" w:rsidRDefault="00000000">
            <w:pPr>
              <w:pStyle w:val="a9"/>
              <w:numPr>
                <w:ilvl w:val="0"/>
                <w:numId w:val="18"/>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油罐清洗前，应对油罐的油管和电气连接采取隔离措施；</w:t>
            </w:r>
          </w:p>
          <w:p w14:paraId="546F974D" w14:textId="77777777" w:rsidR="0045599B" w:rsidRDefault="00000000">
            <w:pPr>
              <w:pStyle w:val="a9"/>
              <w:numPr>
                <w:ilvl w:val="0"/>
                <w:numId w:val="18"/>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油罐清洗前和作业中，应适时测试油罐油气浓度，并采取相应的安全和个体防护措施；</w:t>
            </w:r>
          </w:p>
        </w:tc>
        <w:tc>
          <w:tcPr>
            <w:tcW w:w="696" w:type="dxa"/>
            <w:vAlign w:val="center"/>
          </w:tcPr>
          <w:p w14:paraId="580C50CB"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5990C5F5" w14:textId="77777777">
        <w:trPr>
          <w:jc w:val="center"/>
        </w:trPr>
        <w:tc>
          <w:tcPr>
            <w:tcW w:w="1657" w:type="dxa"/>
            <w:vAlign w:val="center"/>
          </w:tcPr>
          <w:p w14:paraId="5104B3F2"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3C782667"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人员类</w:t>
            </w:r>
          </w:p>
        </w:tc>
        <w:tc>
          <w:tcPr>
            <w:tcW w:w="992" w:type="dxa"/>
            <w:vAlign w:val="center"/>
          </w:tcPr>
          <w:p w14:paraId="68660EF0"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操作行为类</w:t>
            </w:r>
          </w:p>
        </w:tc>
        <w:tc>
          <w:tcPr>
            <w:tcW w:w="4253" w:type="dxa"/>
            <w:vAlign w:val="center"/>
          </w:tcPr>
          <w:p w14:paraId="2E57FF01"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加油机维修作业不符合安全要求。</w:t>
            </w:r>
          </w:p>
        </w:tc>
        <w:tc>
          <w:tcPr>
            <w:tcW w:w="5562" w:type="dxa"/>
            <w:vAlign w:val="center"/>
          </w:tcPr>
          <w:p w14:paraId="00DE9FD6"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AQ3010-2022《加油站作业安全规范》第8.2条；DB11/T 1322.3-2017《安全生产等级评定技术规范 第3部分：加油站》附录J第9.4.1条。</w:t>
            </w:r>
          </w:p>
          <w:p w14:paraId="77A67961" w14:textId="77777777" w:rsidR="0045599B" w:rsidRDefault="00000000">
            <w:pPr>
              <w:pStyle w:val="a9"/>
              <w:numPr>
                <w:ilvl w:val="0"/>
                <w:numId w:val="19"/>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 xml:space="preserve">加油机维修时应设警示标志并对维修区域进行隔离，隔离 范围不小于以加油机中心线为中心线，半径为 4.5m 的区域范围； </w:t>
            </w:r>
          </w:p>
          <w:p w14:paraId="488B77A0" w14:textId="77777777" w:rsidR="0045599B" w:rsidRDefault="00000000">
            <w:pPr>
              <w:pStyle w:val="a9"/>
              <w:numPr>
                <w:ilvl w:val="0"/>
                <w:numId w:val="19"/>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 xml:space="preserve">加油机维修之前要切断电源； </w:t>
            </w:r>
          </w:p>
          <w:p w14:paraId="2978FE08" w14:textId="77777777" w:rsidR="0045599B" w:rsidRDefault="00000000">
            <w:pPr>
              <w:pStyle w:val="a9"/>
              <w:numPr>
                <w:ilvl w:val="0"/>
                <w:numId w:val="19"/>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 xml:space="preserve">若所修的部位需要放油时，应用金属容器收集； </w:t>
            </w:r>
          </w:p>
          <w:p w14:paraId="21B648A2" w14:textId="77777777" w:rsidR="0045599B" w:rsidRDefault="00000000">
            <w:pPr>
              <w:pStyle w:val="a9"/>
              <w:numPr>
                <w:ilvl w:val="0"/>
                <w:numId w:val="19"/>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 xml:space="preserve">维修所需工具应摆放整齐，严禁乱放乱扔； </w:t>
            </w:r>
          </w:p>
          <w:p w14:paraId="690D2C84" w14:textId="77777777" w:rsidR="0045599B" w:rsidRDefault="00000000">
            <w:pPr>
              <w:pStyle w:val="a9"/>
              <w:numPr>
                <w:ilvl w:val="0"/>
                <w:numId w:val="19"/>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加油机被车辆撞击后，应立即关闭电源通知维护人员检修。</w:t>
            </w:r>
          </w:p>
        </w:tc>
        <w:tc>
          <w:tcPr>
            <w:tcW w:w="696" w:type="dxa"/>
            <w:vAlign w:val="center"/>
          </w:tcPr>
          <w:p w14:paraId="3971B09A"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3F4A9859" w14:textId="77777777">
        <w:trPr>
          <w:jc w:val="center"/>
        </w:trPr>
        <w:tc>
          <w:tcPr>
            <w:tcW w:w="1657" w:type="dxa"/>
            <w:vAlign w:val="center"/>
          </w:tcPr>
          <w:p w14:paraId="220722D2"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06CF8B77"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场所环</w:t>
            </w:r>
            <w:r>
              <w:rPr>
                <w:rFonts w:ascii="仿宋_GB2312" w:hAnsi="Times New Roman" w:cs="Times New Roman" w:hint="eastAsia"/>
                <w:sz w:val="20"/>
                <w:szCs w:val="20"/>
              </w:rPr>
              <w:lastRenderedPageBreak/>
              <w:t>境类</w:t>
            </w:r>
          </w:p>
        </w:tc>
        <w:tc>
          <w:tcPr>
            <w:tcW w:w="992" w:type="dxa"/>
            <w:vAlign w:val="center"/>
          </w:tcPr>
          <w:p w14:paraId="6325F80B"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lastRenderedPageBreak/>
              <w:t>平面布</w:t>
            </w:r>
            <w:r>
              <w:rPr>
                <w:rFonts w:ascii="仿宋_GB2312" w:hAnsi="Times New Roman" w:cs="Times New Roman" w:hint="eastAsia"/>
                <w:sz w:val="20"/>
                <w:szCs w:val="20"/>
              </w:rPr>
              <w:lastRenderedPageBreak/>
              <w:t>置类</w:t>
            </w:r>
          </w:p>
        </w:tc>
        <w:tc>
          <w:tcPr>
            <w:tcW w:w="4253" w:type="dxa"/>
            <w:vAlign w:val="center"/>
          </w:tcPr>
          <w:p w14:paraId="42A9B774"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lastRenderedPageBreak/>
              <w:t>站房内有使用明火设备，加油作业区内有明火</w:t>
            </w:r>
            <w:r>
              <w:rPr>
                <w:rFonts w:ascii="仿宋_GB2312" w:hAnsi="Times New Roman" w:cs="Times New Roman" w:hint="eastAsia"/>
                <w:sz w:val="20"/>
                <w:szCs w:val="20"/>
              </w:rPr>
              <w:lastRenderedPageBreak/>
              <w:t>地点或散发火花地点。</w:t>
            </w:r>
          </w:p>
        </w:tc>
        <w:tc>
          <w:tcPr>
            <w:tcW w:w="5562" w:type="dxa"/>
            <w:vAlign w:val="center"/>
          </w:tcPr>
          <w:p w14:paraId="03EFC7D8"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lastRenderedPageBreak/>
              <w:t>GB 50156-2021《汽车加油加气加氢站技术标准》第5.0.5条；</w:t>
            </w:r>
            <w:r>
              <w:rPr>
                <w:rFonts w:ascii="仿宋_GB2312" w:hAnsi="Times New Roman" w:cs="Times New Roman" w:hint="eastAsia"/>
                <w:sz w:val="20"/>
                <w:szCs w:val="20"/>
              </w:rPr>
              <w:lastRenderedPageBreak/>
              <w:t>DB11/T 1322.3-2017《安全生产等级评定技术规范 第3部分：加油站》第3.2.1.2条</w:t>
            </w:r>
          </w:p>
        </w:tc>
        <w:tc>
          <w:tcPr>
            <w:tcW w:w="696" w:type="dxa"/>
            <w:vAlign w:val="center"/>
          </w:tcPr>
          <w:p w14:paraId="20D24FC2"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宋体" w:cs="宋体" w:hint="eastAsia"/>
                <w:color w:val="000000"/>
                <w:kern w:val="0"/>
                <w:sz w:val="20"/>
                <w:szCs w:val="20"/>
              </w:rPr>
              <w:lastRenderedPageBreak/>
              <w:t>★</w:t>
            </w:r>
          </w:p>
        </w:tc>
      </w:tr>
      <w:tr w:rsidR="0045599B" w14:paraId="2D7868A3" w14:textId="77777777">
        <w:trPr>
          <w:jc w:val="center"/>
        </w:trPr>
        <w:tc>
          <w:tcPr>
            <w:tcW w:w="1657" w:type="dxa"/>
            <w:vAlign w:val="center"/>
          </w:tcPr>
          <w:p w14:paraId="2BC36420"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01E4F8A5"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场所环境类</w:t>
            </w:r>
          </w:p>
        </w:tc>
        <w:tc>
          <w:tcPr>
            <w:tcW w:w="992" w:type="dxa"/>
            <w:vAlign w:val="center"/>
          </w:tcPr>
          <w:p w14:paraId="48237D53"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平面布置类</w:t>
            </w:r>
          </w:p>
        </w:tc>
        <w:tc>
          <w:tcPr>
            <w:tcW w:w="4253" w:type="dxa"/>
            <w:vAlign w:val="center"/>
          </w:tcPr>
          <w:p w14:paraId="148BB984"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加油作业区与辅助服务区之间未设置界线标识。</w:t>
            </w:r>
          </w:p>
        </w:tc>
        <w:tc>
          <w:tcPr>
            <w:tcW w:w="5562" w:type="dxa"/>
            <w:vAlign w:val="center"/>
          </w:tcPr>
          <w:p w14:paraId="4F58B7B2"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50156-2021《汽车加油加气加氢站技术标准》第5.0.3条；DB11/T 1322.3-2017《安全生产等级评定技术规范 第3部分：加油站》第3.2.1.10条</w:t>
            </w:r>
          </w:p>
        </w:tc>
        <w:tc>
          <w:tcPr>
            <w:tcW w:w="696" w:type="dxa"/>
            <w:vAlign w:val="center"/>
          </w:tcPr>
          <w:p w14:paraId="198C1117"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03746490" w14:textId="77777777">
        <w:trPr>
          <w:jc w:val="center"/>
        </w:trPr>
        <w:tc>
          <w:tcPr>
            <w:tcW w:w="1657" w:type="dxa"/>
            <w:vAlign w:val="center"/>
          </w:tcPr>
          <w:p w14:paraId="7F53016A"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2E6A354C"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场所环境类</w:t>
            </w:r>
          </w:p>
        </w:tc>
        <w:tc>
          <w:tcPr>
            <w:tcW w:w="992" w:type="dxa"/>
            <w:vAlign w:val="center"/>
          </w:tcPr>
          <w:p w14:paraId="3B8B6CC4"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平面布置类</w:t>
            </w:r>
          </w:p>
        </w:tc>
        <w:tc>
          <w:tcPr>
            <w:tcW w:w="4253" w:type="dxa"/>
            <w:vAlign w:val="center"/>
          </w:tcPr>
          <w:p w14:paraId="6ED871F8"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 xml:space="preserve">站区内停车场和道路不符合安全要求。 </w:t>
            </w:r>
          </w:p>
        </w:tc>
        <w:tc>
          <w:tcPr>
            <w:tcW w:w="5562" w:type="dxa"/>
            <w:vAlign w:val="center"/>
          </w:tcPr>
          <w:p w14:paraId="00991DF9"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50156-2021《汽车加油加气加氢站技术标准》第5.0.2条；DB11/T 1322.3-2017《安全生产等级评定技术规范 第3部分：加油站》第3.2.1.7条。</w:t>
            </w:r>
          </w:p>
          <w:p w14:paraId="0D1F9C12" w14:textId="77777777" w:rsidR="0045599B" w:rsidRDefault="00000000">
            <w:pPr>
              <w:pStyle w:val="a9"/>
              <w:numPr>
                <w:ilvl w:val="0"/>
                <w:numId w:val="20"/>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单车道或单车停车位宽度不小于 4m，双车道或双车停车位不小于 6m；</w:t>
            </w:r>
          </w:p>
          <w:p w14:paraId="10B32460" w14:textId="77777777" w:rsidR="0045599B" w:rsidRDefault="00000000">
            <w:pPr>
              <w:pStyle w:val="a9"/>
              <w:numPr>
                <w:ilvl w:val="0"/>
                <w:numId w:val="20"/>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站内的道路转弯半径不小于 9m；</w:t>
            </w:r>
          </w:p>
          <w:p w14:paraId="438740F1" w14:textId="77777777" w:rsidR="0045599B" w:rsidRDefault="00000000">
            <w:pPr>
              <w:pStyle w:val="a9"/>
              <w:numPr>
                <w:ilvl w:val="0"/>
                <w:numId w:val="20"/>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道路坡度小于 8%，或坡向站内；</w:t>
            </w:r>
          </w:p>
          <w:p w14:paraId="36D33960" w14:textId="77777777" w:rsidR="0045599B" w:rsidRDefault="00000000">
            <w:pPr>
              <w:pStyle w:val="a9"/>
              <w:numPr>
                <w:ilvl w:val="0"/>
                <w:numId w:val="20"/>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站内停车场和道路路面采用沥青路面。</w:t>
            </w:r>
          </w:p>
        </w:tc>
        <w:tc>
          <w:tcPr>
            <w:tcW w:w="696" w:type="dxa"/>
            <w:vAlign w:val="center"/>
          </w:tcPr>
          <w:p w14:paraId="604CF589"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7681F833" w14:textId="77777777">
        <w:trPr>
          <w:jc w:val="center"/>
        </w:trPr>
        <w:tc>
          <w:tcPr>
            <w:tcW w:w="1657" w:type="dxa"/>
            <w:vAlign w:val="center"/>
          </w:tcPr>
          <w:p w14:paraId="234288FC"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4A8DE684"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场所环境类</w:t>
            </w:r>
          </w:p>
        </w:tc>
        <w:tc>
          <w:tcPr>
            <w:tcW w:w="992" w:type="dxa"/>
            <w:vAlign w:val="center"/>
          </w:tcPr>
          <w:p w14:paraId="40D12DEB"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平面布置类</w:t>
            </w:r>
          </w:p>
        </w:tc>
        <w:tc>
          <w:tcPr>
            <w:tcW w:w="4253" w:type="dxa"/>
            <w:vAlign w:val="center"/>
          </w:tcPr>
          <w:p w14:paraId="33DB73A7"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变配电间或室外变压器未布置在爆炸危险区域之外，或与爆炸危险区域边界线的距离小于3m。</w:t>
            </w:r>
          </w:p>
        </w:tc>
        <w:tc>
          <w:tcPr>
            <w:tcW w:w="5562" w:type="dxa"/>
            <w:vAlign w:val="center"/>
          </w:tcPr>
          <w:p w14:paraId="04F09AFF"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50156-2021《汽车加油加气加氢站技术标准》第5.0.8条；DB11/T 1322.3-2017《安全生产等级评定技术规范 第3部分：加油站》第3.5.2.3条</w:t>
            </w:r>
          </w:p>
        </w:tc>
        <w:tc>
          <w:tcPr>
            <w:tcW w:w="696" w:type="dxa"/>
            <w:vAlign w:val="center"/>
          </w:tcPr>
          <w:p w14:paraId="1D76ED80"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2BD2E5E8" w14:textId="77777777">
        <w:trPr>
          <w:jc w:val="center"/>
        </w:trPr>
        <w:tc>
          <w:tcPr>
            <w:tcW w:w="1657" w:type="dxa"/>
            <w:vAlign w:val="center"/>
          </w:tcPr>
          <w:p w14:paraId="731BBF46"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0A85DF49"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场所环境类</w:t>
            </w:r>
          </w:p>
        </w:tc>
        <w:tc>
          <w:tcPr>
            <w:tcW w:w="992" w:type="dxa"/>
            <w:vAlign w:val="center"/>
          </w:tcPr>
          <w:p w14:paraId="4CD3BAED"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平面布置类</w:t>
            </w:r>
          </w:p>
        </w:tc>
        <w:tc>
          <w:tcPr>
            <w:tcW w:w="4253" w:type="dxa"/>
            <w:vAlign w:val="center"/>
          </w:tcPr>
          <w:p w14:paraId="71B6F3E8"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站内设施之间的防火间距不符合规范规定。</w:t>
            </w:r>
          </w:p>
        </w:tc>
        <w:tc>
          <w:tcPr>
            <w:tcW w:w="5562" w:type="dxa"/>
            <w:vAlign w:val="center"/>
          </w:tcPr>
          <w:p w14:paraId="12B7F502"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50156-2021《汽车加油加气加氢站技术标准》第5.0.13条；DB11/T 1322.3-2017《安全生产等级评定技术规范 第3部分：加油站》第3.2.1.6条</w:t>
            </w:r>
          </w:p>
        </w:tc>
        <w:tc>
          <w:tcPr>
            <w:tcW w:w="696" w:type="dxa"/>
            <w:vAlign w:val="center"/>
          </w:tcPr>
          <w:p w14:paraId="363F0C98"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4B0020AB" w14:textId="77777777">
        <w:trPr>
          <w:jc w:val="center"/>
        </w:trPr>
        <w:tc>
          <w:tcPr>
            <w:tcW w:w="1657" w:type="dxa"/>
            <w:vAlign w:val="center"/>
          </w:tcPr>
          <w:p w14:paraId="54CAC215"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01848071"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场所环境类</w:t>
            </w:r>
          </w:p>
        </w:tc>
        <w:tc>
          <w:tcPr>
            <w:tcW w:w="992" w:type="dxa"/>
            <w:vAlign w:val="center"/>
          </w:tcPr>
          <w:p w14:paraId="5340163D"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建（构）筑物类</w:t>
            </w:r>
          </w:p>
        </w:tc>
        <w:tc>
          <w:tcPr>
            <w:tcW w:w="4253" w:type="dxa"/>
            <w:vAlign w:val="center"/>
          </w:tcPr>
          <w:p w14:paraId="5CA1FBED"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加油作业区内的站房及其他附属建筑物的耐火等级低于二级。</w:t>
            </w:r>
          </w:p>
        </w:tc>
        <w:tc>
          <w:tcPr>
            <w:tcW w:w="5562" w:type="dxa"/>
            <w:vAlign w:val="center"/>
          </w:tcPr>
          <w:p w14:paraId="4D4A8944"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50156-2021《汽车加油加气加氢站技术标准》第14.2.1条；DB11/T 1322.3-2017《安全生产等级评定技术规范 第3部分：加油站》第3.2.2.1条</w:t>
            </w:r>
          </w:p>
        </w:tc>
        <w:tc>
          <w:tcPr>
            <w:tcW w:w="696" w:type="dxa"/>
            <w:vAlign w:val="center"/>
          </w:tcPr>
          <w:p w14:paraId="3F80CB32"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1D2CEC14" w14:textId="77777777">
        <w:trPr>
          <w:jc w:val="center"/>
        </w:trPr>
        <w:tc>
          <w:tcPr>
            <w:tcW w:w="1657" w:type="dxa"/>
            <w:vAlign w:val="center"/>
          </w:tcPr>
          <w:p w14:paraId="5EF2225A"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0A1CB58F"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场所环境类</w:t>
            </w:r>
          </w:p>
        </w:tc>
        <w:tc>
          <w:tcPr>
            <w:tcW w:w="992" w:type="dxa"/>
            <w:vAlign w:val="center"/>
          </w:tcPr>
          <w:p w14:paraId="0A6DE0C8"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建（构）筑物类</w:t>
            </w:r>
          </w:p>
        </w:tc>
        <w:tc>
          <w:tcPr>
            <w:tcW w:w="4253" w:type="dxa"/>
            <w:vAlign w:val="center"/>
          </w:tcPr>
          <w:p w14:paraId="3455041E"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汽车加油场地设置的罩棚不符合规范要求。</w:t>
            </w:r>
          </w:p>
        </w:tc>
        <w:tc>
          <w:tcPr>
            <w:tcW w:w="5562" w:type="dxa"/>
            <w:vAlign w:val="center"/>
          </w:tcPr>
          <w:p w14:paraId="3C8BB3DD"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50156-2021《汽车加油加气加氢站技术标准》第14.2.2条；DB11/T 1322.3-2017《安全生产等级评定技术规范 第3部分：加油站》第3.2.2.2条。</w:t>
            </w:r>
          </w:p>
          <w:p w14:paraId="567FEB44" w14:textId="77777777" w:rsidR="0045599B" w:rsidRDefault="00000000">
            <w:pPr>
              <w:pStyle w:val="a9"/>
              <w:numPr>
                <w:ilvl w:val="0"/>
                <w:numId w:val="21"/>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罩棚装饰、装修材料和罩棚的燃烧性能等级应为不燃材料；</w:t>
            </w:r>
          </w:p>
          <w:p w14:paraId="04718292" w14:textId="77777777" w:rsidR="0045599B" w:rsidRDefault="00000000">
            <w:pPr>
              <w:pStyle w:val="a9"/>
              <w:numPr>
                <w:ilvl w:val="0"/>
                <w:numId w:val="21"/>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进站口无限高措施时，罩棚的净空高度不应小于 4.5m；进站口有限高措施时，罩棚的净空高度不应小于限高高度；</w:t>
            </w:r>
          </w:p>
          <w:p w14:paraId="11AADFFA" w14:textId="77777777" w:rsidR="0045599B" w:rsidRDefault="00000000">
            <w:pPr>
              <w:pStyle w:val="a9"/>
              <w:numPr>
                <w:ilvl w:val="0"/>
                <w:numId w:val="21"/>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罩棚遮盖加油机的平面投影距离不应小于 2m；</w:t>
            </w:r>
          </w:p>
          <w:p w14:paraId="635F317D" w14:textId="77777777" w:rsidR="0045599B" w:rsidRDefault="00000000">
            <w:pPr>
              <w:pStyle w:val="a9"/>
              <w:numPr>
                <w:ilvl w:val="0"/>
                <w:numId w:val="21"/>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lastRenderedPageBreak/>
              <w:t>罩棚檐口标识的商标、文字、图案应固定牢靠且准确规范；</w:t>
            </w:r>
          </w:p>
          <w:p w14:paraId="55FA870A" w14:textId="77777777" w:rsidR="0045599B" w:rsidRDefault="00000000">
            <w:pPr>
              <w:pStyle w:val="a9"/>
              <w:numPr>
                <w:ilvl w:val="0"/>
                <w:numId w:val="21"/>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罩棚柱附近应设置防撞柱（栏）；</w:t>
            </w:r>
          </w:p>
          <w:p w14:paraId="071B636D" w14:textId="77777777" w:rsidR="0045599B" w:rsidRDefault="00000000">
            <w:pPr>
              <w:pStyle w:val="a9"/>
              <w:numPr>
                <w:ilvl w:val="0"/>
                <w:numId w:val="21"/>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罩棚外立面不应张贴或悬挂企业标识以外的横幅、宣传画等其它物品；</w:t>
            </w:r>
          </w:p>
          <w:p w14:paraId="40C20971" w14:textId="77777777" w:rsidR="0045599B" w:rsidRDefault="00000000">
            <w:pPr>
              <w:pStyle w:val="a9"/>
              <w:numPr>
                <w:ilvl w:val="0"/>
                <w:numId w:val="21"/>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罩棚立柱应采用钢筋混凝土结构或钢结构；</w:t>
            </w:r>
          </w:p>
          <w:p w14:paraId="6EF0FA68" w14:textId="77777777" w:rsidR="0045599B" w:rsidRDefault="00000000">
            <w:pPr>
              <w:pStyle w:val="a9"/>
              <w:numPr>
                <w:ilvl w:val="0"/>
                <w:numId w:val="21"/>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罩棚设计应计算活荷载、雪荷载、风荷载，其设计标准值应符合标准要求；</w:t>
            </w:r>
          </w:p>
          <w:p w14:paraId="2DC35720" w14:textId="77777777" w:rsidR="0045599B" w:rsidRDefault="00000000">
            <w:pPr>
              <w:pStyle w:val="a9"/>
              <w:numPr>
                <w:ilvl w:val="0"/>
                <w:numId w:val="21"/>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罩棚的抗震设计应符合标准要求。。</w:t>
            </w:r>
          </w:p>
        </w:tc>
        <w:tc>
          <w:tcPr>
            <w:tcW w:w="696" w:type="dxa"/>
            <w:vAlign w:val="center"/>
          </w:tcPr>
          <w:p w14:paraId="39F23D78"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4C288096" w14:textId="77777777">
        <w:trPr>
          <w:jc w:val="center"/>
        </w:trPr>
        <w:tc>
          <w:tcPr>
            <w:tcW w:w="1657" w:type="dxa"/>
            <w:vAlign w:val="center"/>
          </w:tcPr>
          <w:p w14:paraId="5F6979AE"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6C6DEDD0"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场所环境类</w:t>
            </w:r>
          </w:p>
        </w:tc>
        <w:tc>
          <w:tcPr>
            <w:tcW w:w="992" w:type="dxa"/>
            <w:vAlign w:val="center"/>
          </w:tcPr>
          <w:p w14:paraId="50492A17" w14:textId="77777777" w:rsidR="0045599B" w:rsidRDefault="00000000">
            <w:pPr>
              <w:adjustRightInd w:val="0"/>
              <w:snapToGrid w:val="0"/>
              <w:spacing w:line="240" w:lineRule="auto"/>
              <w:jc w:val="center"/>
              <w:rPr>
                <w:rFonts w:ascii="仿宋_GB2312" w:hAnsi="Times New Roman" w:cs="Times New Roman"/>
                <w:color w:val="0000FF"/>
                <w:sz w:val="20"/>
                <w:szCs w:val="20"/>
              </w:rPr>
            </w:pPr>
            <w:r>
              <w:rPr>
                <w:rFonts w:ascii="仿宋_GB2312" w:hAnsi="Times New Roman" w:cs="Times New Roman" w:hint="eastAsia"/>
                <w:sz w:val="20"/>
                <w:szCs w:val="20"/>
              </w:rPr>
              <w:t>建（构）筑物类</w:t>
            </w:r>
          </w:p>
        </w:tc>
        <w:tc>
          <w:tcPr>
            <w:tcW w:w="4253" w:type="dxa"/>
            <w:vAlign w:val="center"/>
          </w:tcPr>
          <w:p w14:paraId="21E092FE"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加油岛不符合规范要求。</w:t>
            </w:r>
          </w:p>
        </w:tc>
        <w:tc>
          <w:tcPr>
            <w:tcW w:w="5562" w:type="dxa"/>
            <w:vAlign w:val="center"/>
          </w:tcPr>
          <w:p w14:paraId="3F73DD8F"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50156-2021《汽车加油加气加氢站技术标准》第14.2.3条；DB11/T 1322.3-2017《安全生产等级评定技术规范 第3部分：加油站》附录C第2.2.5条。</w:t>
            </w:r>
          </w:p>
          <w:p w14:paraId="5B079522" w14:textId="77777777" w:rsidR="0045599B" w:rsidRDefault="00000000">
            <w:pPr>
              <w:pStyle w:val="a9"/>
              <w:numPr>
                <w:ilvl w:val="0"/>
                <w:numId w:val="22"/>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加油岛应高出停车位的地坪0.15m-0.20m ;</w:t>
            </w:r>
          </w:p>
          <w:p w14:paraId="4CF11F8E" w14:textId="77777777" w:rsidR="0045599B" w:rsidRDefault="00000000">
            <w:pPr>
              <w:pStyle w:val="a9"/>
              <w:numPr>
                <w:ilvl w:val="0"/>
                <w:numId w:val="22"/>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加油岛两端的宽度不应小于1.2m;</w:t>
            </w:r>
          </w:p>
          <w:p w14:paraId="59545B22" w14:textId="77777777" w:rsidR="0045599B" w:rsidRDefault="00000000">
            <w:pPr>
              <w:pStyle w:val="a9"/>
              <w:numPr>
                <w:ilvl w:val="0"/>
                <w:numId w:val="22"/>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加油岛上的罩棚立柱边缘距岛端部不应小于0.6m;</w:t>
            </w:r>
          </w:p>
          <w:p w14:paraId="14390B4F" w14:textId="77777777" w:rsidR="0045599B" w:rsidRDefault="00000000">
            <w:pPr>
              <w:pStyle w:val="a9"/>
              <w:numPr>
                <w:ilvl w:val="0"/>
                <w:numId w:val="22"/>
              </w:numPr>
              <w:adjustRightInd w:val="0"/>
              <w:snapToGrid w:val="0"/>
              <w:spacing w:line="240" w:lineRule="auto"/>
              <w:ind w:firstLineChars="0"/>
              <w:rPr>
                <w:rFonts w:ascii="仿宋_GB2312" w:hAnsi="Times New Roman" w:cs="Times New Roman"/>
                <w:sz w:val="20"/>
                <w:szCs w:val="20"/>
              </w:rPr>
            </w:pPr>
            <w:r>
              <w:rPr>
                <w:rFonts w:ascii="仿宋_GB2312" w:hAnsi="Times New Roman" w:cs="Times New Roman" w:hint="eastAsia"/>
                <w:sz w:val="20"/>
                <w:szCs w:val="20"/>
              </w:rPr>
              <w:t>靠近岛端部的加油机等岛上的工艺设备应有防止车辆误碰撞的措施和警示标识。采用钢管防撞柱 (栏)时，其钢管的直径不应小于10mm，高度不应小于0.5m，并应设置牢固。</w:t>
            </w:r>
          </w:p>
        </w:tc>
        <w:tc>
          <w:tcPr>
            <w:tcW w:w="696" w:type="dxa"/>
            <w:vAlign w:val="center"/>
          </w:tcPr>
          <w:p w14:paraId="6B739503"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2A6CD5C9" w14:textId="77777777">
        <w:trPr>
          <w:jc w:val="center"/>
        </w:trPr>
        <w:tc>
          <w:tcPr>
            <w:tcW w:w="1657" w:type="dxa"/>
            <w:vAlign w:val="center"/>
          </w:tcPr>
          <w:p w14:paraId="48D9D4EE"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67CA9184"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场所环境类</w:t>
            </w:r>
          </w:p>
        </w:tc>
        <w:tc>
          <w:tcPr>
            <w:tcW w:w="992" w:type="dxa"/>
            <w:vAlign w:val="center"/>
          </w:tcPr>
          <w:p w14:paraId="613D53BC"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建（构）筑物类</w:t>
            </w:r>
          </w:p>
        </w:tc>
        <w:tc>
          <w:tcPr>
            <w:tcW w:w="4253" w:type="dxa"/>
            <w:vAlign w:val="center"/>
          </w:tcPr>
          <w:p w14:paraId="08C24AE3"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油罐人孔操作井、加油机底槽、卸油口井，未采取防渗措施</w:t>
            </w:r>
            <w:r w:rsidR="00481906">
              <w:rPr>
                <w:rFonts w:ascii="仿宋_GB2312" w:hAnsi="Times New Roman" w:cs="Times New Roman" w:hint="eastAsia"/>
                <w:sz w:val="20"/>
                <w:szCs w:val="20"/>
              </w:rPr>
              <w:t>。</w:t>
            </w:r>
          </w:p>
        </w:tc>
        <w:tc>
          <w:tcPr>
            <w:tcW w:w="5562" w:type="dxa"/>
            <w:vAlign w:val="center"/>
          </w:tcPr>
          <w:p w14:paraId="20BF960C"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50156-2021《汽车加油加气加氢站技术标准》第6.5.4条；DB11/T 1322.3-2017《安全生产等级评定技术规范 第3部分：加油站》第3.2.2.4条</w:t>
            </w:r>
          </w:p>
        </w:tc>
        <w:tc>
          <w:tcPr>
            <w:tcW w:w="696" w:type="dxa"/>
            <w:vAlign w:val="center"/>
          </w:tcPr>
          <w:p w14:paraId="70EC0AF2"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392AA292" w14:textId="77777777">
        <w:trPr>
          <w:jc w:val="center"/>
        </w:trPr>
        <w:tc>
          <w:tcPr>
            <w:tcW w:w="1657" w:type="dxa"/>
            <w:vAlign w:val="center"/>
          </w:tcPr>
          <w:p w14:paraId="2C523AD7"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69A81422"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场所环境类</w:t>
            </w:r>
          </w:p>
        </w:tc>
        <w:tc>
          <w:tcPr>
            <w:tcW w:w="992" w:type="dxa"/>
            <w:vAlign w:val="center"/>
          </w:tcPr>
          <w:p w14:paraId="701947DF"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建（构）筑物类</w:t>
            </w:r>
          </w:p>
        </w:tc>
        <w:tc>
          <w:tcPr>
            <w:tcW w:w="4253" w:type="dxa"/>
            <w:vAlign w:val="center"/>
          </w:tcPr>
          <w:p w14:paraId="14E728F4"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加油站的工艺设备与站外建（构）筑物之间，未设置高度不低于 2.2m 的不燃烧体实体围墙。</w:t>
            </w:r>
          </w:p>
        </w:tc>
        <w:tc>
          <w:tcPr>
            <w:tcW w:w="5562" w:type="dxa"/>
            <w:vAlign w:val="center"/>
          </w:tcPr>
          <w:p w14:paraId="031AE4B2"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50156-2021《汽车加油加气加氢站技术标准》第5.0.12条；DB11/T 1322.3-2017《安全生产等级评定技术规范 第3部分：加油站》附录C第2.2.6条：面向车辆入口和出口道路的一侧可设非实体围墙或不设围墙。</w:t>
            </w:r>
          </w:p>
        </w:tc>
        <w:tc>
          <w:tcPr>
            <w:tcW w:w="696" w:type="dxa"/>
            <w:vAlign w:val="center"/>
          </w:tcPr>
          <w:p w14:paraId="39C44227"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30B03AAE" w14:textId="77777777">
        <w:trPr>
          <w:jc w:val="center"/>
        </w:trPr>
        <w:tc>
          <w:tcPr>
            <w:tcW w:w="1657" w:type="dxa"/>
            <w:vAlign w:val="center"/>
          </w:tcPr>
          <w:p w14:paraId="33AB81B3"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559B6E84"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场所环境类</w:t>
            </w:r>
          </w:p>
        </w:tc>
        <w:tc>
          <w:tcPr>
            <w:tcW w:w="992" w:type="dxa"/>
            <w:vAlign w:val="center"/>
          </w:tcPr>
          <w:p w14:paraId="46EBAA86"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安全出口及疏散通道类</w:t>
            </w:r>
          </w:p>
        </w:tc>
        <w:tc>
          <w:tcPr>
            <w:tcW w:w="4253" w:type="dxa"/>
            <w:vAlign w:val="center"/>
          </w:tcPr>
          <w:p w14:paraId="59F9B816"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车辆入口和出口未分开设置，出入口未设置反光减速带和出入导向箭头</w:t>
            </w:r>
            <w:r w:rsidR="00481906">
              <w:rPr>
                <w:rFonts w:ascii="仿宋_GB2312" w:hAnsi="Times New Roman" w:cs="Times New Roman" w:hint="eastAsia"/>
                <w:sz w:val="20"/>
                <w:szCs w:val="20"/>
              </w:rPr>
              <w:t>。</w:t>
            </w:r>
          </w:p>
        </w:tc>
        <w:tc>
          <w:tcPr>
            <w:tcW w:w="5562" w:type="dxa"/>
            <w:vAlign w:val="center"/>
          </w:tcPr>
          <w:p w14:paraId="5C1802ED"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50156-2021《汽车加油加气加氢站技术标准》第5.0.1条；DB11/T 1322.3-2017《安全生产等级评定技术规范 第3部分：加油站》第3.2.1.1条</w:t>
            </w:r>
          </w:p>
        </w:tc>
        <w:tc>
          <w:tcPr>
            <w:tcW w:w="696" w:type="dxa"/>
            <w:vAlign w:val="center"/>
          </w:tcPr>
          <w:p w14:paraId="20351D42"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2678C540" w14:textId="77777777">
        <w:trPr>
          <w:jc w:val="center"/>
        </w:trPr>
        <w:tc>
          <w:tcPr>
            <w:tcW w:w="1657" w:type="dxa"/>
            <w:vAlign w:val="center"/>
          </w:tcPr>
          <w:p w14:paraId="73C7E68C"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56E471AF"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场所环境类</w:t>
            </w:r>
          </w:p>
        </w:tc>
        <w:tc>
          <w:tcPr>
            <w:tcW w:w="992" w:type="dxa"/>
            <w:vAlign w:val="center"/>
          </w:tcPr>
          <w:p w14:paraId="14EA24E9"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安全出口及疏</w:t>
            </w:r>
            <w:r>
              <w:rPr>
                <w:rFonts w:ascii="仿宋_GB2312" w:hAnsi="Times New Roman" w:cs="Times New Roman" w:hint="eastAsia"/>
                <w:sz w:val="20"/>
                <w:szCs w:val="20"/>
              </w:rPr>
              <w:lastRenderedPageBreak/>
              <w:t>散通道类</w:t>
            </w:r>
          </w:p>
        </w:tc>
        <w:tc>
          <w:tcPr>
            <w:tcW w:w="4253" w:type="dxa"/>
            <w:vAlign w:val="center"/>
          </w:tcPr>
          <w:p w14:paraId="7596CC6B"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lastRenderedPageBreak/>
              <w:t>与加油业务无关的经营性物品布置在爆炸危险区域内及汽车通道上，占压管道和操作井盖。</w:t>
            </w:r>
          </w:p>
        </w:tc>
        <w:tc>
          <w:tcPr>
            <w:tcW w:w="5562" w:type="dxa"/>
            <w:vAlign w:val="center"/>
          </w:tcPr>
          <w:p w14:paraId="352D138B"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DB11/T 1322.3-2017《安全生产等级评定技术规范 第3部分：加油站》第3.2.1.4条</w:t>
            </w:r>
          </w:p>
        </w:tc>
        <w:tc>
          <w:tcPr>
            <w:tcW w:w="696" w:type="dxa"/>
            <w:vAlign w:val="center"/>
          </w:tcPr>
          <w:p w14:paraId="1D5379EA"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1E4CE4AA" w14:textId="77777777">
        <w:trPr>
          <w:jc w:val="center"/>
        </w:trPr>
        <w:tc>
          <w:tcPr>
            <w:tcW w:w="1657" w:type="dxa"/>
            <w:vAlign w:val="center"/>
          </w:tcPr>
          <w:p w14:paraId="0233E76B"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1C41AC12"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场所环境类</w:t>
            </w:r>
          </w:p>
        </w:tc>
        <w:tc>
          <w:tcPr>
            <w:tcW w:w="992" w:type="dxa"/>
            <w:vAlign w:val="center"/>
          </w:tcPr>
          <w:p w14:paraId="1E72EADC"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标志标识类</w:t>
            </w:r>
          </w:p>
        </w:tc>
        <w:tc>
          <w:tcPr>
            <w:tcW w:w="4253" w:type="dxa"/>
            <w:vAlign w:val="center"/>
          </w:tcPr>
          <w:p w14:paraId="39A8CCDE"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加油站未按规范要求设置明显的安全警示标志和安全色；或安全标志牌设置不规范。</w:t>
            </w:r>
          </w:p>
          <w:p w14:paraId="1BC83D6A"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1）</w:t>
            </w:r>
            <w:r>
              <w:rPr>
                <w:rFonts w:ascii="仿宋_GB2312" w:hAnsi="Times New Roman" w:cs="Times New Roman" w:hint="eastAsia"/>
                <w:sz w:val="20"/>
                <w:szCs w:val="20"/>
              </w:rPr>
              <w:tab/>
              <w:t>安全标志牌未设置在与安全有关的醒目的地方；</w:t>
            </w:r>
          </w:p>
          <w:p w14:paraId="6BE8BA09"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2）</w:t>
            </w:r>
            <w:r>
              <w:rPr>
                <w:rFonts w:ascii="仿宋_GB2312" w:hAnsi="Times New Roman" w:cs="Times New Roman" w:hint="eastAsia"/>
                <w:sz w:val="20"/>
                <w:szCs w:val="20"/>
              </w:rPr>
              <w:tab/>
              <w:t>安全标志牌设置在门、窗、架等可移动的物体上；</w:t>
            </w:r>
          </w:p>
          <w:p w14:paraId="5A35E3C1"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3）</w:t>
            </w:r>
            <w:r>
              <w:rPr>
                <w:rFonts w:ascii="仿宋_GB2312" w:hAnsi="Times New Roman" w:cs="Times New Roman" w:hint="eastAsia"/>
                <w:sz w:val="20"/>
                <w:szCs w:val="20"/>
              </w:rPr>
              <w:tab/>
              <w:t>安全标志牌前有防止妨碍认读的障碍物；</w:t>
            </w:r>
          </w:p>
          <w:p w14:paraId="606F3FF3"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多个安全标志牌设置在一起时，未按警告、禁止、指令、提示类型的顺序排列；</w:t>
            </w:r>
          </w:p>
          <w:p w14:paraId="26F52924"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4）</w:t>
            </w:r>
            <w:r>
              <w:rPr>
                <w:rFonts w:ascii="仿宋_GB2312" w:hAnsi="Times New Roman" w:cs="Times New Roman" w:hint="eastAsia"/>
                <w:sz w:val="20"/>
                <w:szCs w:val="20"/>
              </w:rPr>
              <w:tab/>
              <w:t>安全标志出现变形、破损、褪色应及时修整或更换。</w:t>
            </w:r>
          </w:p>
        </w:tc>
        <w:tc>
          <w:tcPr>
            <w:tcW w:w="5562" w:type="dxa"/>
            <w:vAlign w:val="center"/>
          </w:tcPr>
          <w:p w14:paraId="26381815"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《中华人民共和国安全生产法》第三十五条；AQ3010-2022《加油站作业安全规范》第4.4条；DB11/T 1322.3-2017《安全生产等级评定技术规范 第3部分：加油站》第3.2.1.8条；GB 2894-2008《安全标志及其使用导则》第9.1条、第9.2条、第9.3条、第9.5条、第10.1条</w:t>
            </w:r>
          </w:p>
        </w:tc>
        <w:tc>
          <w:tcPr>
            <w:tcW w:w="696" w:type="dxa"/>
            <w:vAlign w:val="center"/>
          </w:tcPr>
          <w:p w14:paraId="5100947A"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4C2C3F51" w14:textId="77777777">
        <w:trPr>
          <w:jc w:val="center"/>
        </w:trPr>
        <w:tc>
          <w:tcPr>
            <w:tcW w:w="1657" w:type="dxa"/>
            <w:vAlign w:val="center"/>
          </w:tcPr>
          <w:p w14:paraId="06ED0728"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4E384240"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场所环境类</w:t>
            </w:r>
          </w:p>
        </w:tc>
        <w:tc>
          <w:tcPr>
            <w:tcW w:w="992" w:type="dxa"/>
            <w:vAlign w:val="center"/>
          </w:tcPr>
          <w:p w14:paraId="5F527E58"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标志标识类</w:t>
            </w:r>
          </w:p>
        </w:tc>
        <w:tc>
          <w:tcPr>
            <w:tcW w:w="4253" w:type="dxa"/>
            <w:vAlign w:val="center"/>
          </w:tcPr>
          <w:p w14:paraId="7AC5E1CA"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安全标志的设置不符合下列要求：</w:t>
            </w:r>
          </w:p>
          <w:p w14:paraId="1473EAD6"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（1）加油站出入口应设置出入导向箭头。</w:t>
            </w:r>
          </w:p>
          <w:p w14:paraId="3E04CF50"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2）入口处张贴“进站须知”，主要内容应包括：站内严禁烟火；严禁在站内检修车辆、敲击铁器等易产生火花的作业；严禁汽车汽化器及塑料桶内加注易燃油品；所有机动车辆均须熄火加油；严禁在作业现场穿、脱、拍打化纤服装；严禁在加油现场使用手机。</w:t>
            </w:r>
          </w:p>
          <w:p w14:paraId="5991F30C"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（3）出入口处张贴“进出指示标识”。</w:t>
            </w:r>
          </w:p>
          <w:p w14:paraId="4F25FC09"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（4）夜间营业加油站的进出口设置“灯光或荧光反光进出指示标识”。</w:t>
            </w:r>
          </w:p>
          <w:p w14:paraId="7F42B597"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（5）加油区、卸油区和罐区张贴“禁止烟火”、“禁止打手机”。</w:t>
            </w:r>
          </w:p>
          <w:p w14:paraId="3D3D5745"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（6）加油区张贴“熄火加油”、“当心车辆”。</w:t>
            </w:r>
          </w:p>
          <w:p w14:paraId="7549BDD1"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（7）加油区、出入口张贴“限速5公里”。</w:t>
            </w:r>
          </w:p>
          <w:p w14:paraId="2903ED45"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（8）罐区张贴“禁止敲击铁器”。</w:t>
            </w:r>
          </w:p>
          <w:p w14:paraId="16B22ABD"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（9）站区张贴“禁止吸烟”。</w:t>
            </w:r>
          </w:p>
          <w:p w14:paraId="4C1E50C1"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（10）配电室张贴“当心触电”。</w:t>
            </w:r>
          </w:p>
          <w:p w14:paraId="420CC984"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lastRenderedPageBreak/>
              <w:t>（11）在加油岛和加油机附近的明显位置，应标示油品类别、标号以及安全警示。</w:t>
            </w:r>
          </w:p>
          <w:p w14:paraId="7F9B98C7"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（12）在加油岛和加油机附近的明显位置张贴加油流程。</w:t>
            </w:r>
          </w:p>
          <w:p w14:paraId="0F41039B"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（13）在卸油区附近明显位置张贴接卸油流程。</w:t>
            </w:r>
          </w:p>
        </w:tc>
        <w:tc>
          <w:tcPr>
            <w:tcW w:w="5562" w:type="dxa"/>
            <w:vAlign w:val="center"/>
          </w:tcPr>
          <w:p w14:paraId="4C3407C8"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lastRenderedPageBreak/>
              <w:t>《加油加气站非油品设施安全设置管理要求》DB11/T 1229—2015</w:t>
            </w:r>
          </w:p>
        </w:tc>
        <w:tc>
          <w:tcPr>
            <w:tcW w:w="696" w:type="dxa"/>
            <w:vAlign w:val="center"/>
          </w:tcPr>
          <w:p w14:paraId="031B5F86"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3FB94931" w14:textId="77777777">
        <w:trPr>
          <w:jc w:val="center"/>
        </w:trPr>
        <w:tc>
          <w:tcPr>
            <w:tcW w:w="1657" w:type="dxa"/>
            <w:vAlign w:val="center"/>
          </w:tcPr>
          <w:p w14:paraId="5885E3A3"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237AD38F"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场所环境类</w:t>
            </w:r>
          </w:p>
        </w:tc>
        <w:tc>
          <w:tcPr>
            <w:tcW w:w="992" w:type="dxa"/>
            <w:vAlign w:val="center"/>
          </w:tcPr>
          <w:p w14:paraId="3A12EBA4"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标志标识类</w:t>
            </w:r>
          </w:p>
        </w:tc>
        <w:tc>
          <w:tcPr>
            <w:tcW w:w="4253" w:type="dxa"/>
            <w:vAlign w:val="center"/>
          </w:tcPr>
          <w:p w14:paraId="02E6D27E"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加油站未在醒目位置标明主要危险有害因素、后果、事故预防及应急措施、报告电话等内容。</w:t>
            </w:r>
          </w:p>
        </w:tc>
        <w:tc>
          <w:tcPr>
            <w:tcW w:w="5562" w:type="dxa"/>
            <w:vAlign w:val="center"/>
          </w:tcPr>
          <w:p w14:paraId="6C25CC11"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DB11/T 1322.3-2017《安全生产等级评定技术规范 第3部分：加油站》第3.2.1.9条</w:t>
            </w:r>
          </w:p>
        </w:tc>
        <w:tc>
          <w:tcPr>
            <w:tcW w:w="696" w:type="dxa"/>
            <w:vAlign w:val="center"/>
          </w:tcPr>
          <w:p w14:paraId="01128D09"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7917E638" w14:textId="77777777">
        <w:trPr>
          <w:jc w:val="center"/>
        </w:trPr>
        <w:tc>
          <w:tcPr>
            <w:tcW w:w="1657" w:type="dxa"/>
            <w:vAlign w:val="center"/>
          </w:tcPr>
          <w:p w14:paraId="4239BC1C"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3BF26546"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场所环境类</w:t>
            </w:r>
          </w:p>
        </w:tc>
        <w:tc>
          <w:tcPr>
            <w:tcW w:w="992" w:type="dxa"/>
            <w:vAlign w:val="center"/>
          </w:tcPr>
          <w:p w14:paraId="5D2405DF"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周边环境类</w:t>
            </w:r>
          </w:p>
        </w:tc>
        <w:tc>
          <w:tcPr>
            <w:tcW w:w="4253" w:type="dxa"/>
            <w:vAlign w:val="center"/>
          </w:tcPr>
          <w:p w14:paraId="4A0214E0"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加油站的爆炸危险区域，超出站区围墙和可用地界线。</w:t>
            </w:r>
          </w:p>
        </w:tc>
        <w:tc>
          <w:tcPr>
            <w:tcW w:w="5562" w:type="dxa"/>
            <w:vAlign w:val="center"/>
          </w:tcPr>
          <w:p w14:paraId="4CE7BF8C"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50156-2021《汽车加油加气加氢站技术标准》第5.0.11条；DB11/T 1322.3-2017《安全生产等级评定技术规范 第3部分：加油站》第3.2.1.5条</w:t>
            </w:r>
          </w:p>
        </w:tc>
        <w:tc>
          <w:tcPr>
            <w:tcW w:w="696" w:type="dxa"/>
            <w:vAlign w:val="center"/>
          </w:tcPr>
          <w:p w14:paraId="71AC4675"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4E244DA3" w14:textId="77777777">
        <w:trPr>
          <w:jc w:val="center"/>
        </w:trPr>
        <w:tc>
          <w:tcPr>
            <w:tcW w:w="1657" w:type="dxa"/>
            <w:vAlign w:val="center"/>
          </w:tcPr>
          <w:p w14:paraId="24E7EBF4" w14:textId="77777777" w:rsidR="0045599B" w:rsidRDefault="0045599B">
            <w:pPr>
              <w:pStyle w:val="a9"/>
              <w:numPr>
                <w:ilvl w:val="0"/>
                <w:numId w:val="1"/>
              </w:numPr>
              <w:adjustRightInd w:val="0"/>
              <w:snapToGrid w:val="0"/>
              <w:spacing w:line="240" w:lineRule="auto"/>
              <w:ind w:firstLineChars="0"/>
              <w:rPr>
                <w:rFonts w:ascii="仿宋_GB2312" w:hAnsi="Times New Roman" w:cs="Times New Roman"/>
                <w:sz w:val="20"/>
                <w:szCs w:val="20"/>
              </w:rPr>
            </w:pPr>
          </w:p>
        </w:tc>
        <w:tc>
          <w:tcPr>
            <w:tcW w:w="992" w:type="dxa"/>
            <w:vAlign w:val="center"/>
          </w:tcPr>
          <w:p w14:paraId="7053C1FC"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场所环境类</w:t>
            </w:r>
          </w:p>
        </w:tc>
        <w:tc>
          <w:tcPr>
            <w:tcW w:w="992" w:type="dxa"/>
            <w:vAlign w:val="center"/>
          </w:tcPr>
          <w:p w14:paraId="5845D249" w14:textId="77777777" w:rsidR="0045599B" w:rsidRDefault="00000000">
            <w:pPr>
              <w:adjustRightInd w:val="0"/>
              <w:snapToGrid w:val="0"/>
              <w:spacing w:line="240" w:lineRule="auto"/>
              <w:jc w:val="center"/>
              <w:rPr>
                <w:rFonts w:ascii="仿宋_GB2312" w:hAnsi="Times New Roman" w:cs="Times New Roman"/>
                <w:sz w:val="20"/>
                <w:szCs w:val="20"/>
              </w:rPr>
            </w:pPr>
            <w:r>
              <w:rPr>
                <w:rFonts w:ascii="仿宋_GB2312" w:hAnsi="Times New Roman" w:cs="Times New Roman" w:hint="eastAsia"/>
                <w:sz w:val="20"/>
                <w:szCs w:val="20"/>
              </w:rPr>
              <w:t>周边环境类</w:t>
            </w:r>
          </w:p>
        </w:tc>
        <w:tc>
          <w:tcPr>
            <w:tcW w:w="4253" w:type="dxa"/>
            <w:vAlign w:val="center"/>
          </w:tcPr>
          <w:p w14:paraId="09A13089"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加油站的工艺设施与站外建（构）筑物的安全间距不符合规范要求。</w:t>
            </w:r>
          </w:p>
        </w:tc>
        <w:tc>
          <w:tcPr>
            <w:tcW w:w="5562" w:type="dxa"/>
            <w:vAlign w:val="center"/>
          </w:tcPr>
          <w:p w14:paraId="07CFAE79"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Times New Roman" w:cs="Times New Roman" w:hint="eastAsia"/>
                <w:sz w:val="20"/>
                <w:szCs w:val="20"/>
              </w:rPr>
              <w:t>GB 50156-2021《汽车加油加气加氢站技术标准》第4.0.4条；DB11/T 1322.3-2017《安全生产等级评定技术规范 第3部分：加油站》第3.2.1.6条</w:t>
            </w:r>
          </w:p>
        </w:tc>
        <w:tc>
          <w:tcPr>
            <w:tcW w:w="696" w:type="dxa"/>
            <w:vAlign w:val="center"/>
          </w:tcPr>
          <w:p w14:paraId="4564FBFF" w14:textId="77777777" w:rsidR="0045599B" w:rsidRDefault="0045599B">
            <w:pPr>
              <w:adjustRightInd w:val="0"/>
              <w:snapToGrid w:val="0"/>
              <w:spacing w:line="240" w:lineRule="auto"/>
              <w:rPr>
                <w:rFonts w:ascii="仿宋_GB2312" w:hAnsi="Times New Roman" w:cs="Times New Roman"/>
                <w:sz w:val="20"/>
                <w:szCs w:val="20"/>
              </w:rPr>
            </w:pPr>
          </w:p>
        </w:tc>
      </w:tr>
      <w:tr w:rsidR="0045599B" w14:paraId="1B29A300" w14:textId="77777777">
        <w:trPr>
          <w:jc w:val="center"/>
        </w:trPr>
        <w:tc>
          <w:tcPr>
            <w:tcW w:w="14152" w:type="dxa"/>
            <w:gridSpan w:val="6"/>
            <w:vAlign w:val="center"/>
          </w:tcPr>
          <w:p w14:paraId="61C3448C" w14:textId="77777777" w:rsidR="0045599B" w:rsidRDefault="00000000">
            <w:pPr>
              <w:adjustRightInd w:val="0"/>
              <w:snapToGrid w:val="0"/>
              <w:spacing w:line="240" w:lineRule="auto"/>
              <w:rPr>
                <w:rFonts w:ascii="仿宋_GB2312" w:hAnsi="Times New Roman" w:cs="Times New Roman"/>
                <w:sz w:val="20"/>
                <w:szCs w:val="20"/>
              </w:rPr>
            </w:pPr>
            <w:r>
              <w:rPr>
                <w:rFonts w:ascii="仿宋_GB2312" w:hAnsi="等线" w:cs="宋体" w:hint="eastAsia"/>
                <w:color w:val="000000" w:themeColor="text1"/>
                <w:kern w:val="0"/>
                <w:sz w:val="20"/>
                <w:szCs w:val="20"/>
              </w:rPr>
              <w:t>注：加★为化工和危险化学品生产经营单位重大生产安全事故隐患。</w:t>
            </w:r>
          </w:p>
        </w:tc>
      </w:tr>
    </w:tbl>
    <w:p w14:paraId="275EFF4F" w14:textId="77777777" w:rsidR="0045599B" w:rsidRDefault="0045599B"/>
    <w:sectPr w:rsidR="0045599B">
      <w:footerReference w:type="default" r:id="rId8"/>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7C03C" w14:textId="77777777" w:rsidR="003E4342" w:rsidRDefault="003E4342">
      <w:pPr>
        <w:spacing w:line="240" w:lineRule="auto"/>
      </w:pPr>
      <w:r>
        <w:separator/>
      </w:r>
    </w:p>
  </w:endnote>
  <w:endnote w:type="continuationSeparator" w:id="0">
    <w:p w14:paraId="1D9F0670" w14:textId="77777777" w:rsidR="003E4342" w:rsidRDefault="003E43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34414"/>
    </w:sdtPr>
    <w:sdtContent>
      <w:p w14:paraId="7B4C5E77" w14:textId="77777777" w:rsidR="0045599B" w:rsidRDefault="00000000">
        <w:pPr>
          <w:pStyle w:val="a4"/>
          <w:jc w:val="center"/>
        </w:pPr>
        <w:r>
          <w:fldChar w:fldCharType="begin"/>
        </w:r>
        <w:r>
          <w:instrText>PAGE   \* MERGEFORMAT</w:instrText>
        </w:r>
        <w:r>
          <w:fldChar w:fldCharType="separate"/>
        </w:r>
        <w:r>
          <w:rPr>
            <w:lang w:val="zh-CN"/>
          </w:rPr>
          <w:t>2</w:t>
        </w:r>
        <w:r>
          <w:fldChar w:fldCharType="end"/>
        </w:r>
      </w:p>
    </w:sdtContent>
  </w:sdt>
  <w:p w14:paraId="3BD0FC7B" w14:textId="77777777" w:rsidR="0045599B" w:rsidRDefault="004559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380B" w14:textId="77777777" w:rsidR="003E4342" w:rsidRDefault="003E4342">
      <w:pPr>
        <w:spacing w:line="240" w:lineRule="auto"/>
      </w:pPr>
      <w:r>
        <w:separator/>
      </w:r>
    </w:p>
  </w:footnote>
  <w:footnote w:type="continuationSeparator" w:id="0">
    <w:p w14:paraId="51A4385B" w14:textId="77777777" w:rsidR="003E4342" w:rsidRDefault="003E43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10483"/>
    <w:multiLevelType w:val="multilevel"/>
    <w:tmpl w:val="28E1048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29306302"/>
    <w:multiLevelType w:val="multilevel"/>
    <w:tmpl w:val="2930630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3E048EE"/>
    <w:multiLevelType w:val="multilevel"/>
    <w:tmpl w:val="33E048E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365B3EDD"/>
    <w:multiLevelType w:val="singleLevel"/>
    <w:tmpl w:val="365B3EDD"/>
    <w:lvl w:ilvl="0">
      <w:start w:val="1"/>
      <w:numFmt w:val="decimal"/>
      <w:lvlText w:val="%1)"/>
      <w:lvlJc w:val="left"/>
      <w:pPr>
        <w:ind w:left="425" w:hanging="425"/>
      </w:pPr>
      <w:rPr>
        <w:rFonts w:hint="default"/>
      </w:rPr>
    </w:lvl>
  </w:abstractNum>
  <w:abstractNum w:abstractNumId="4" w15:restartNumberingAfterBreak="0">
    <w:nsid w:val="36EA5C01"/>
    <w:multiLevelType w:val="multilevel"/>
    <w:tmpl w:val="36EA5C0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3BB0172E"/>
    <w:multiLevelType w:val="multilevel"/>
    <w:tmpl w:val="3BB0172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447F0F3E"/>
    <w:multiLevelType w:val="multilevel"/>
    <w:tmpl w:val="447F0F3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458A0FFC"/>
    <w:multiLevelType w:val="multilevel"/>
    <w:tmpl w:val="458A0FF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48B51C44"/>
    <w:multiLevelType w:val="multilevel"/>
    <w:tmpl w:val="48B51C4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492D01CC"/>
    <w:multiLevelType w:val="multilevel"/>
    <w:tmpl w:val="492D01C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4BA36DBF"/>
    <w:multiLevelType w:val="multilevel"/>
    <w:tmpl w:val="4BA36DBF"/>
    <w:lvl w:ilvl="0">
      <w:start w:val="1"/>
      <mc:AlternateContent>
        <mc:Choice Requires="w14">
          <w:numFmt w:val="custom" w:format="001, 002, 003, ..."/>
        </mc:Choice>
        <mc:Fallback>
          <w:numFmt w:val="decimal"/>
        </mc:Fallback>
      </mc:AlternateContent>
      <w:lvlText w:val="2023.001.03.%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4E4F658F"/>
    <w:multiLevelType w:val="multilevel"/>
    <w:tmpl w:val="4E4F658F"/>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50FA4A02"/>
    <w:multiLevelType w:val="multilevel"/>
    <w:tmpl w:val="50FA4A0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52816D93"/>
    <w:multiLevelType w:val="multilevel"/>
    <w:tmpl w:val="52816D93"/>
    <w:lvl w:ilvl="0">
      <w:start w:val="1"/>
      <w:numFmt w:val="decimal"/>
      <w:lvlText w:val="%1）"/>
      <w:lvlJc w:val="left"/>
      <w:pPr>
        <w:ind w:left="300" w:hanging="30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540513BC"/>
    <w:multiLevelType w:val="multilevel"/>
    <w:tmpl w:val="540513B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5AB067C4"/>
    <w:multiLevelType w:val="multilevel"/>
    <w:tmpl w:val="5AB067C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5EDD1677"/>
    <w:multiLevelType w:val="multilevel"/>
    <w:tmpl w:val="5EDD167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67E1605F"/>
    <w:multiLevelType w:val="multilevel"/>
    <w:tmpl w:val="67E1605F"/>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6F4859AC"/>
    <w:multiLevelType w:val="multilevel"/>
    <w:tmpl w:val="6F4859A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71B7470C"/>
    <w:multiLevelType w:val="multilevel"/>
    <w:tmpl w:val="71B7470C"/>
    <w:lvl w:ilvl="0">
      <w:start w:val="1"/>
      <w:numFmt w:val="decimal"/>
      <w:lvlText w:val="%1）"/>
      <w:lvlJc w:val="left"/>
      <w:pPr>
        <w:ind w:left="300" w:hanging="30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75F05835"/>
    <w:multiLevelType w:val="multilevel"/>
    <w:tmpl w:val="75F0583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787578C3"/>
    <w:multiLevelType w:val="multilevel"/>
    <w:tmpl w:val="787578C3"/>
    <w:lvl w:ilvl="0">
      <w:start w:val="1"/>
      <w:numFmt w:val="decimal"/>
      <w:lvlText w:val="%1）"/>
      <w:lvlJc w:val="left"/>
      <w:pPr>
        <w:ind w:left="300" w:hanging="30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818913390">
    <w:abstractNumId w:val="10"/>
  </w:num>
  <w:num w:numId="2" w16cid:durableId="71977182">
    <w:abstractNumId w:val="3"/>
  </w:num>
  <w:num w:numId="3" w16cid:durableId="635574655">
    <w:abstractNumId w:val="18"/>
  </w:num>
  <w:num w:numId="4" w16cid:durableId="1151749096">
    <w:abstractNumId w:val="2"/>
  </w:num>
  <w:num w:numId="5" w16cid:durableId="1636443326">
    <w:abstractNumId w:val="6"/>
  </w:num>
  <w:num w:numId="6" w16cid:durableId="230429527">
    <w:abstractNumId w:val="13"/>
  </w:num>
  <w:num w:numId="7" w16cid:durableId="1352492898">
    <w:abstractNumId w:val="11"/>
  </w:num>
  <w:num w:numId="8" w16cid:durableId="1756169504">
    <w:abstractNumId w:val="15"/>
  </w:num>
  <w:num w:numId="9" w16cid:durableId="1616450430">
    <w:abstractNumId w:val="12"/>
  </w:num>
  <w:num w:numId="10" w16cid:durableId="687024437">
    <w:abstractNumId w:val="14"/>
  </w:num>
  <w:num w:numId="11" w16cid:durableId="350768002">
    <w:abstractNumId w:val="21"/>
  </w:num>
  <w:num w:numId="12" w16cid:durableId="1562059738">
    <w:abstractNumId w:val="19"/>
  </w:num>
  <w:num w:numId="13" w16cid:durableId="1131553792">
    <w:abstractNumId w:val="20"/>
  </w:num>
  <w:num w:numId="14" w16cid:durableId="416094908">
    <w:abstractNumId w:val="9"/>
  </w:num>
  <w:num w:numId="15" w16cid:durableId="1260990193">
    <w:abstractNumId w:val="1"/>
  </w:num>
  <w:num w:numId="16" w16cid:durableId="1387560122">
    <w:abstractNumId w:val="5"/>
  </w:num>
  <w:num w:numId="17" w16cid:durableId="1258564937">
    <w:abstractNumId w:val="0"/>
  </w:num>
  <w:num w:numId="18" w16cid:durableId="636036516">
    <w:abstractNumId w:val="17"/>
  </w:num>
  <w:num w:numId="19" w16cid:durableId="1431044389">
    <w:abstractNumId w:val="7"/>
  </w:num>
  <w:num w:numId="20" w16cid:durableId="279342839">
    <w:abstractNumId w:val="4"/>
  </w:num>
  <w:num w:numId="21" w16cid:durableId="1310592756">
    <w:abstractNumId w:val="8"/>
  </w:num>
  <w:num w:numId="22" w16cid:durableId="1056314103">
    <w:abstractNumId w:val="16"/>
  </w:num>
  <w:num w:numId="23" w16cid:durableId="211204837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A3NTY5YWY4ZGY1MjNmNjVkYzU5ZmYzNTQ2MTk0YTUifQ=="/>
  </w:docVars>
  <w:rsids>
    <w:rsidRoot w:val="008359C0"/>
    <w:rsid w:val="FFA757F2"/>
    <w:rsid w:val="FFFBF397"/>
    <w:rsid w:val="00003C08"/>
    <w:rsid w:val="00026FD9"/>
    <w:rsid w:val="00032506"/>
    <w:rsid w:val="00050C09"/>
    <w:rsid w:val="0007777B"/>
    <w:rsid w:val="000922DF"/>
    <w:rsid w:val="000A1C00"/>
    <w:rsid w:val="000A4EBD"/>
    <w:rsid w:val="00121C78"/>
    <w:rsid w:val="0013195D"/>
    <w:rsid w:val="00135959"/>
    <w:rsid w:val="0014289F"/>
    <w:rsid w:val="0014587F"/>
    <w:rsid w:val="00157A13"/>
    <w:rsid w:val="00175164"/>
    <w:rsid w:val="00180E93"/>
    <w:rsid w:val="00184EE2"/>
    <w:rsid w:val="001B719B"/>
    <w:rsid w:val="001C17AA"/>
    <w:rsid w:val="001C412A"/>
    <w:rsid w:val="001D6766"/>
    <w:rsid w:val="001F0AB1"/>
    <w:rsid w:val="001F178F"/>
    <w:rsid w:val="0021222F"/>
    <w:rsid w:val="00212E32"/>
    <w:rsid w:val="002243FE"/>
    <w:rsid w:val="0023383A"/>
    <w:rsid w:val="00242229"/>
    <w:rsid w:val="0024432D"/>
    <w:rsid w:val="00264EF6"/>
    <w:rsid w:val="00292131"/>
    <w:rsid w:val="002C0912"/>
    <w:rsid w:val="002C5A78"/>
    <w:rsid w:val="002D1BA7"/>
    <w:rsid w:val="002D77EF"/>
    <w:rsid w:val="002E6110"/>
    <w:rsid w:val="002F501E"/>
    <w:rsid w:val="0032019E"/>
    <w:rsid w:val="00381921"/>
    <w:rsid w:val="003B113C"/>
    <w:rsid w:val="003E4342"/>
    <w:rsid w:val="00407319"/>
    <w:rsid w:val="00407B7E"/>
    <w:rsid w:val="0041163F"/>
    <w:rsid w:val="00431E1F"/>
    <w:rsid w:val="0044042A"/>
    <w:rsid w:val="00442166"/>
    <w:rsid w:val="00450C06"/>
    <w:rsid w:val="0045599B"/>
    <w:rsid w:val="00455E4C"/>
    <w:rsid w:val="0046742D"/>
    <w:rsid w:val="00481906"/>
    <w:rsid w:val="004A7103"/>
    <w:rsid w:val="004B13E9"/>
    <w:rsid w:val="004C3175"/>
    <w:rsid w:val="004F7864"/>
    <w:rsid w:val="005016F9"/>
    <w:rsid w:val="005266CE"/>
    <w:rsid w:val="005343EA"/>
    <w:rsid w:val="0056601B"/>
    <w:rsid w:val="0058506F"/>
    <w:rsid w:val="005B2420"/>
    <w:rsid w:val="005B41E9"/>
    <w:rsid w:val="005C2354"/>
    <w:rsid w:val="0062278C"/>
    <w:rsid w:val="006264A6"/>
    <w:rsid w:val="00635C63"/>
    <w:rsid w:val="00693F5F"/>
    <w:rsid w:val="006B348C"/>
    <w:rsid w:val="006C0A20"/>
    <w:rsid w:val="006E4D3F"/>
    <w:rsid w:val="006F3C88"/>
    <w:rsid w:val="00705C84"/>
    <w:rsid w:val="007849DA"/>
    <w:rsid w:val="007A2F57"/>
    <w:rsid w:val="007A40B9"/>
    <w:rsid w:val="007A4169"/>
    <w:rsid w:val="007B1664"/>
    <w:rsid w:val="007D43F6"/>
    <w:rsid w:val="007D4778"/>
    <w:rsid w:val="007F01FC"/>
    <w:rsid w:val="007F0A02"/>
    <w:rsid w:val="007F21E9"/>
    <w:rsid w:val="008044C4"/>
    <w:rsid w:val="00811035"/>
    <w:rsid w:val="00824B92"/>
    <w:rsid w:val="008359C0"/>
    <w:rsid w:val="00835DBB"/>
    <w:rsid w:val="00857BF6"/>
    <w:rsid w:val="008935B0"/>
    <w:rsid w:val="008C1171"/>
    <w:rsid w:val="008F23F0"/>
    <w:rsid w:val="00920B54"/>
    <w:rsid w:val="00927D16"/>
    <w:rsid w:val="009422D6"/>
    <w:rsid w:val="00973833"/>
    <w:rsid w:val="009852A3"/>
    <w:rsid w:val="009D35C3"/>
    <w:rsid w:val="00A30295"/>
    <w:rsid w:val="00A465D5"/>
    <w:rsid w:val="00A57A1C"/>
    <w:rsid w:val="00A6228D"/>
    <w:rsid w:val="00A658BE"/>
    <w:rsid w:val="00A92268"/>
    <w:rsid w:val="00AE7A18"/>
    <w:rsid w:val="00B025B9"/>
    <w:rsid w:val="00B16DDE"/>
    <w:rsid w:val="00B3694B"/>
    <w:rsid w:val="00B97117"/>
    <w:rsid w:val="00BB2C85"/>
    <w:rsid w:val="00BB621A"/>
    <w:rsid w:val="00BC2E63"/>
    <w:rsid w:val="00BC4F2E"/>
    <w:rsid w:val="00BE021E"/>
    <w:rsid w:val="00BE4D52"/>
    <w:rsid w:val="00BF0893"/>
    <w:rsid w:val="00BF2854"/>
    <w:rsid w:val="00C147D6"/>
    <w:rsid w:val="00C36109"/>
    <w:rsid w:val="00C47BB2"/>
    <w:rsid w:val="00CA0120"/>
    <w:rsid w:val="00CB359D"/>
    <w:rsid w:val="00CC7B30"/>
    <w:rsid w:val="00CF040C"/>
    <w:rsid w:val="00D02E59"/>
    <w:rsid w:val="00D047CE"/>
    <w:rsid w:val="00D0789A"/>
    <w:rsid w:val="00D15758"/>
    <w:rsid w:val="00D31F98"/>
    <w:rsid w:val="00D346E9"/>
    <w:rsid w:val="00D54104"/>
    <w:rsid w:val="00D763CE"/>
    <w:rsid w:val="00D92777"/>
    <w:rsid w:val="00DD19FA"/>
    <w:rsid w:val="00DD3A15"/>
    <w:rsid w:val="00E10EF7"/>
    <w:rsid w:val="00E159F9"/>
    <w:rsid w:val="00E36682"/>
    <w:rsid w:val="00E477A0"/>
    <w:rsid w:val="00E60375"/>
    <w:rsid w:val="00E6622A"/>
    <w:rsid w:val="00EA3107"/>
    <w:rsid w:val="00EB3708"/>
    <w:rsid w:val="00EB3C53"/>
    <w:rsid w:val="00EB6212"/>
    <w:rsid w:val="00ED3A63"/>
    <w:rsid w:val="00EF70E0"/>
    <w:rsid w:val="00F0715B"/>
    <w:rsid w:val="00F5049E"/>
    <w:rsid w:val="00FB4DF5"/>
    <w:rsid w:val="00FE4FF8"/>
    <w:rsid w:val="02F474A0"/>
    <w:rsid w:val="04B332A2"/>
    <w:rsid w:val="098350DA"/>
    <w:rsid w:val="098D41AA"/>
    <w:rsid w:val="0B097861"/>
    <w:rsid w:val="0DEF71E2"/>
    <w:rsid w:val="12AD766B"/>
    <w:rsid w:val="1808018C"/>
    <w:rsid w:val="1D48246B"/>
    <w:rsid w:val="21107018"/>
    <w:rsid w:val="2446347C"/>
    <w:rsid w:val="24B96128"/>
    <w:rsid w:val="2B141880"/>
    <w:rsid w:val="306B3C78"/>
    <w:rsid w:val="307849BD"/>
    <w:rsid w:val="33835B53"/>
    <w:rsid w:val="348F9EC3"/>
    <w:rsid w:val="3AD7DE3A"/>
    <w:rsid w:val="453018B3"/>
    <w:rsid w:val="481728B6"/>
    <w:rsid w:val="48595560"/>
    <w:rsid w:val="533B56AA"/>
    <w:rsid w:val="57327EC8"/>
    <w:rsid w:val="58F54E45"/>
    <w:rsid w:val="59F760A3"/>
    <w:rsid w:val="64D57851"/>
    <w:rsid w:val="6A633A0D"/>
    <w:rsid w:val="6B5A1B17"/>
    <w:rsid w:val="6BAD75D4"/>
    <w:rsid w:val="6BDF730E"/>
    <w:rsid w:val="7A2D1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54AF"/>
  <w15:docId w15:val="{CBD3B67F-4E55-436C-ADC7-27AAD45F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asciiTheme="minorHAnsi" w:eastAsia="仿宋_GB2312" w:hAnsiTheme="minorHAnsi" w:cstheme="minorBidi"/>
      <w:kern w:val="2"/>
      <w:sz w:val="32"/>
      <w:szCs w:val="22"/>
    </w:rPr>
  </w:style>
  <w:style w:type="paragraph" w:styleId="1">
    <w:name w:val="heading 1"/>
    <w:basedOn w:val="a"/>
    <w:next w:val="a"/>
    <w:link w:val="10"/>
    <w:uiPriority w:val="9"/>
    <w:qFormat/>
    <w:pPr>
      <w:keepNext/>
      <w:keepLines/>
      <w:spacing w:before="120" w:after="120"/>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spacing w:line="240" w:lineRule="auto"/>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eastAsia="仿宋_GB2312"/>
      <w:b/>
      <w:bCs/>
      <w:kern w:val="44"/>
      <w:sz w:val="44"/>
      <w:szCs w:val="44"/>
    </w:rPr>
  </w:style>
  <w:style w:type="paragraph" w:styleId="a9">
    <w:name w:val="List Paragraph"/>
    <w:basedOn w:val="a"/>
    <w:uiPriority w:val="34"/>
    <w:qFormat/>
    <w:pPr>
      <w:ind w:firstLineChars="200" w:firstLine="420"/>
    </w:pPr>
  </w:style>
  <w:style w:type="character" w:customStyle="1" w:styleId="a7">
    <w:name w:val="页眉 字符"/>
    <w:basedOn w:val="a0"/>
    <w:link w:val="a6"/>
    <w:uiPriority w:val="99"/>
    <w:qFormat/>
    <w:rPr>
      <w:rFonts w:eastAsia="仿宋_GB2312"/>
      <w:sz w:val="18"/>
      <w:szCs w:val="18"/>
    </w:rPr>
  </w:style>
  <w:style w:type="character" w:customStyle="1" w:styleId="a5">
    <w:name w:val="页脚 字符"/>
    <w:basedOn w:val="a0"/>
    <w:link w:val="a4"/>
    <w:uiPriority w:val="99"/>
    <w:qFormat/>
    <w:rPr>
      <w:rFonts w:eastAsia="仿宋_GB2312"/>
      <w:sz w:val="18"/>
      <w:szCs w:val="18"/>
    </w:rPr>
  </w:style>
  <w:style w:type="paragraph" w:customStyle="1" w:styleId="11">
    <w:name w:val="修订1"/>
    <w:hidden/>
    <w:uiPriority w:val="99"/>
    <w:semiHidden/>
    <w:qFormat/>
    <w:rPr>
      <w:rFonts w:asciiTheme="minorHAnsi" w:eastAsia="仿宋_GB2312" w:hAnsiTheme="minorHAnsi" w:cstheme="minorBidi"/>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2360</Words>
  <Characters>13454</Characters>
  <Application>Microsoft Office Word</Application>
  <DocSecurity>0</DocSecurity>
  <Lines>112</Lines>
  <Paragraphs>31</Paragraphs>
  <ScaleCrop>false</ScaleCrop>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 yq</dc:creator>
  <cp:lastModifiedBy>姚 伟</cp:lastModifiedBy>
  <cp:revision>41</cp:revision>
  <dcterms:created xsi:type="dcterms:W3CDTF">2022-06-22T00:26:00Z</dcterms:created>
  <dcterms:modified xsi:type="dcterms:W3CDTF">2023-05-09T13:18:00Z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2778D785CC424DE9A20EF0056EC79DCD</vt:lpwstr>
  </property>
</Properties>
</file>