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outlineLvl w:val="1"/>
        <w:rPr>
          <w:rFonts w:ascii="Calibri" w:hAnsi="Calibri" w:eastAsia="仿宋_GB2312" w:cs="Times New Roman"/>
          <w:color w:val="000000"/>
          <w:sz w:val="32"/>
        </w:rPr>
      </w:pPr>
      <w:bookmarkStart w:id="0" w:name="_Toc23155"/>
      <w:bookmarkStart w:id="1" w:name="_Toc1366"/>
      <w:bookmarkStart w:id="2" w:name="_Toc132387199"/>
      <w:r>
        <w:rPr>
          <w:rFonts w:ascii="Calibri" w:hAnsi="Calibri" w:eastAsia="仿宋_GB2312" w:cs="Times New Roman"/>
          <w:color w:val="000000"/>
          <w:sz w:val="32"/>
        </w:rPr>
        <w:t>1.</w:t>
      </w:r>
      <w:r>
        <w:rPr>
          <w:rFonts w:hint="eastAsia" w:ascii="Calibri" w:hAnsi="Calibri" w:eastAsia="仿宋_GB2312" w:cs="Times New Roman"/>
          <w:color w:val="000000"/>
          <w:sz w:val="32"/>
        </w:rPr>
        <w:t>北京市城市轨道交通工程生产安全事故隐患目录</w:t>
      </w:r>
      <w:bookmarkEnd w:id="0"/>
      <w:bookmarkEnd w:id="1"/>
      <w:r>
        <w:rPr>
          <w:rFonts w:hint="eastAsia" w:ascii="Calibri" w:hAnsi="Calibri" w:eastAsia="仿宋_GB2312" w:cs="Times New Roman"/>
          <w:color w:val="000000"/>
          <w:sz w:val="32"/>
        </w:rPr>
        <w:t>（202</w:t>
      </w:r>
      <w:r>
        <w:rPr>
          <w:rFonts w:hint="eastAsia" w:eastAsia="仿宋_GB2312" w:cs="Times New Roman"/>
          <w:color w:val="000000"/>
          <w:sz w:val="32"/>
          <w:lang w:val="en-US" w:eastAsia="zh-CN"/>
        </w:rPr>
        <w:t>3</w:t>
      </w:r>
      <w:r>
        <w:rPr>
          <w:rFonts w:hint="eastAsia" w:ascii="Calibri" w:hAnsi="Calibri" w:eastAsia="仿宋_GB2312" w:cs="Times New Roman"/>
          <w:color w:val="000000"/>
          <w:sz w:val="32"/>
        </w:rPr>
        <w:t>年度）</w:t>
      </w:r>
      <w:bookmarkEnd w:id="2"/>
    </w:p>
    <w:tbl>
      <w:tblPr>
        <w:tblStyle w:val="5"/>
        <w:tblW w:w="14665" w:type="dxa"/>
        <w:jc w:val="center"/>
        <w:tblInd w:w="0" w:type="dxa"/>
        <w:tblLayout w:type="fixed"/>
        <w:tblCellMar>
          <w:top w:w="0" w:type="dxa"/>
          <w:left w:w="108" w:type="dxa"/>
          <w:bottom w:w="0" w:type="dxa"/>
          <w:right w:w="108" w:type="dxa"/>
        </w:tblCellMar>
      </w:tblPr>
      <w:tblGrid>
        <w:gridCol w:w="1668"/>
        <w:gridCol w:w="1002"/>
        <w:gridCol w:w="994"/>
        <w:gridCol w:w="4725"/>
        <w:gridCol w:w="5692"/>
        <w:gridCol w:w="584"/>
      </w:tblGrid>
      <w:tr>
        <w:tblPrEx>
          <w:tblLayout w:type="fixed"/>
          <w:tblCellMar>
            <w:top w:w="0" w:type="dxa"/>
            <w:left w:w="108" w:type="dxa"/>
            <w:bottom w:w="0" w:type="dxa"/>
            <w:right w:w="108" w:type="dxa"/>
          </w:tblCellMar>
        </w:tblPrEx>
        <w:trPr>
          <w:cantSplit/>
          <w:tblHeader/>
          <w:jc w:val="center"/>
        </w:trPr>
        <w:tc>
          <w:tcPr>
            <w:tcW w:w="1668" w:type="dxa"/>
            <w:vMerge w:val="restart"/>
            <w:tcBorders>
              <w:top w:val="single" w:color="auto" w:sz="12" w:space="0"/>
              <w:left w:val="single" w:color="auto" w:sz="12" w:space="0"/>
              <w:bottom w:val="single" w:color="auto" w:sz="4" w:space="0"/>
              <w:right w:val="single" w:color="auto" w:sz="4" w:space="0"/>
            </w:tcBorders>
            <w:shd w:val="clear" w:color="auto" w:fill="B4C6E7"/>
            <w:noWrap w:val="0"/>
            <w:vAlign w:val="center"/>
          </w:tcPr>
          <w:p>
            <w:pPr>
              <w:widowControl/>
              <w:snapToGrid w:val="0"/>
              <w:jc w:val="center"/>
              <w:rPr>
                <w:rFonts w:ascii="宋体" w:hAnsi="宋体" w:eastAsia="宋体"/>
                <w:b/>
                <w:bCs/>
                <w:color w:val="000000"/>
                <w:kern w:val="0"/>
                <w:sz w:val="18"/>
                <w:szCs w:val="18"/>
              </w:rPr>
            </w:pPr>
            <w:r>
              <w:rPr>
                <w:rFonts w:ascii="宋体" w:hAnsi="宋体" w:eastAsia="宋体"/>
                <w:b/>
                <w:bCs/>
                <w:color w:val="000000"/>
                <w:kern w:val="0"/>
                <w:sz w:val="18"/>
                <w:szCs w:val="18"/>
              </w:rPr>
              <w:t>编号</w:t>
            </w:r>
          </w:p>
        </w:tc>
        <w:tc>
          <w:tcPr>
            <w:tcW w:w="1996" w:type="dxa"/>
            <w:gridSpan w:val="2"/>
            <w:tcBorders>
              <w:top w:val="single" w:color="auto" w:sz="12" w:space="0"/>
              <w:left w:val="nil"/>
              <w:bottom w:val="single" w:color="auto" w:sz="4" w:space="0"/>
              <w:right w:val="single" w:color="auto" w:sz="4" w:space="0"/>
            </w:tcBorders>
            <w:shd w:val="clear" w:color="auto" w:fill="B4C6E7"/>
            <w:noWrap w:val="0"/>
            <w:vAlign w:val="center"/>
          </w:tcPr>
          <w:p>
            <w:pPr>
              <w:widowControl/>
              <w:snapToGrid w:val="0"/>
              <w:jc w:val="center"/>
              <w:rPr>
                <w:rFonts w:ascii="宋体" w:hAnsi="宋体" w:eastAsia="宋体"/>
                <w:b/>
                <w:bCs/>
                <w:color w:val="000000"/>
                <w:kern w:val="0"/>
                <w:sz w:val="18"/>
                <w:szCs w:val="18"/>
              </w:rPr>
            </w:pPr>
            <w:r>
              <w:rPr>
                <w:rFonts w:ascii="宋体" w:hAnsi="宋体" w:eastAsia="宋体"/>
                <w:b/>
                <w:bCs/>
                <w:color w:val="000000"/>
                <w:kern w:val="0"/>
                <w:sz w:val="18"/>
                <w:szCs w:val="18"/>
              </w:rPr>
              <w:t>分类</w:t>
            </w:r>
          </w:p>
        </w:tc>
        <w:tc>
          <w:tcPr>
            <w:tcW w:w="4725" w:type="dxa"/>
            <w:vMerge w:val="restart"/>
            <w:tcBorders>
              <w:top w:val="single" w:color="auto" w:sz="12" w:space="0"/>
              <w:left w:val="single" w:color="auto" w:sz="4" w:space="0"/>
              <w:bottom w:val="single" w:color="auto" w:sz="4" w:space="0"/>
              <w:right w:val="single" w:color="auto" w:sz="4" w:space="0"/>
            </w:tcBorders>
            <w:shd w:val="clear" w:color="auto" w:fill="B4C6E7"/>
            <w:noWrap w:val="0"/>
            <w:vAlign w:val="center"/>
          </w:tcPr>
          <w:p>
            <w:pPr>
              <w:widowControl/>
              <w:snapToGrid w:val="0"/>
              <w:jc w:val="center"/>
              <w:rPr>
                <w:rFonts w:ascii="宋体" w:hAnsi="宋体" w:eastAsia="宋体"/>
                <w:b/>
                <w:bCs/>
                <w:color w:val="000000"/>
                <w:kern w:val="0"/>
                <w:sz w:val="18"/>
                <w:szCs w:val="18"/>
              </w:rPr>
            </w:pPr>
            <w:r>
              <w:rPr>
                <w:rFonts w:ascii="宋体" w:hAnsi="宋体" w:eastAsia="宋体"/>
                <w:b/>
                <w:bCs/>
                <w:color w:val="000000"/>
                <w:kern w:val="0"/>
                <w:sz w:val="18"/>
                <w:szCs w:val="18"/>
              </w:rPr>
              <w:t>隐患内容</w:t>
            </w:r>
          </w:p>
        </w:tc>
        <w:tc>
          <w:tcPr>
            <w:tcW w:w="5692" w:type="dxa"/>
            <w:vMerge w:val="restart"/>
            <w:tcBorders>
              <w:top w:val="single" w:color="auto" w:sz="12" w:space="0"/>
              <w:left w:val="single" w:color="auto" w:sz="4" w:space="0"/>
              <w:bottom w:val="single" w:color="auto" w:sz="4" w:space="0"/>
              <w:right w:val="single" w:color="auto" w:sz="4" w:space="0"/>
            </w:tcBorders>
            <w:shd w:val="clear" w:color="auto" w:fill="B4C6E7"/>
            <w:noWrap w:val="0"/>
            <w:vAlign w:val="center"/>
          </w:tcPr>
          <w:p>
            <w:pPr>
              <w:widowControl/>
              <w:snapToGrid w:val="0"/>
              <w:jc w:val="center"/>
              <w:rPr>
                <w:rFonts w:ascii="宋体" w:hAnsi="宋体" w:eastAsia="宋体"/>
                <w:b/>
                <w:bCs/>
                <w:color w:val="000000"/>
                <w:kern w:val="0"/>
                <w:sz w:val="18"/>
                <w:szCs w:val="18"/>
              </w:rPr>
            </w:pPr>
            <w:r>
              <w:rPr>
                <w:rFonts w:ascii="宋体" w:hAnsi="宋体" w:eastAsia="宋体"/>
                <w:b/>
                <w:bCs/>
                <w:color w:val="000000"/>
                <w:kern w:val="0"/>
                <w:sz w:val="18"/>
                <w:szCs w:val="18"/>
              </w:rPr>
              <w:t>依据</w:t>
            </w:r>
          </w:p>
        </w:tc>
        <w:tc>
          <w:tcPr>
            <w:tcW w:w="584" w:type="dxa"/>
            <w:vMerge w:val="restart"/>
            <w:tcBorders>
              <w:top w:val="single" w:color="auto" w:sz="12" w:space="0"/>
              <w:left w:val="single" w:color="auto" w:sz="4" w:space="0"/>
              <w:bottom w:val="single" w:color="auto" w:sz="4" w:space="0"/>
              <w:right w:val="single" w:color="auto" w:sz="12" w:space="0"/>
            </w:tcBorders>
            <w:shd w:val="clear" w:color="auto" w:fill="B4C6E7"/>
            <w:noWrap w:val="0"/>
            <w:vAlign w:val="center"/>
          </w:tcPr>
          <w:p>
            <w:pPr>
              <w:widowControl/>
              <w:snapToGrid w:val="0"/>
              <w:jc w:val="center"/>
              <w:rPr>
                <w:rFonts w:ascii="宋体" w:hAnsi="宋体" w:eastAsia="宋体"/>
                <w:b/>
                <w:bCs/>
                <w:color w:val="000000"/>
                <w:kern w:val="0"/>
                <w:sz w:val="18"/>
                <w:szCs w:val="18"/>
              </w:rPr>
            </w:pPr>
            <w:r>
              <w:rPr>
                <w:rFonts w:ascii="宋体" w:hAnsi="宋体" w:eastAsia="宋体"/>
                <w:b/>
                <w:bCs/>
                <w:color w:val="000000"/>
                <w:kern w:val="0"/>
                <w:sz w:val="18"/>
                <w:szCs w:val="18"/>
              </w:rPr>
              <w:t>备注</w:t>
            </w:r>
          </w:p>
        </w:tc>
      </w:tr>
      <w:tr>
        <w:tblPrEx>
          <w:tblLayout w:type="fixed"/>
          <w:tblCellMar>
            <w:top w:w="0" w:type="dxa"/>
            <w:left w:w="108" w:type="dxa"/>
            <w:bottom w:w="0" w:type="dxa"/>
            <w:right w:w="108" w:type="dxa"/>
          </w:tblCellMar>
        </w:tblPrEx>
        <w:trPr>
          <w:cantSplit/>
          <w:tblHeader/>
          <w:jc w:val="center"/>
        </w:trPr>
        <w:tc>
          <w:tcPr>
            <w:tcW w:w="1668" w:type="dxa"/>
            <w:vMerge w:val="continue"/>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snapToGrid w:val="0"/>
              <w:jc w:val="left"/>
              <w:rPr>
                <w:rFonts w:ascii="宋体" w:hAnsi="宋体" w:eastAsia="宋体"/>
                <w:b/>
                <w:bCs/>
                <w:color w:val="000000"/>
                <w:kern w:val="0"/>
                <w:sz w:val="18"/>
                <w:szCs w:val="18"/>
              </w:rPr>
            </w:pPr>
          </w:p>
        </w:tc>
        <w:tc>
          <w:tcPr>
            <w:tcW w:w="1002" w:type="dxa"/>
            <w:tcBorders>
              <w:top w:val="single" w:color="auto" w:sz="4" w:space="0"/>
              <w:left w:val="nil"/>
              <w:bottom w:val="single" w:color="auto" w:sz="4" w:space="0"/>
              <w:right w:val="single" w:color="auto" w:sz="4" w:space="0"/>
            </w:tcBorders>
            <w:shd w:val="clear" w:color="auto" w:fill="B4C6E7"/>
            <w:noWrap w:val="0"/>
            <w:vAlign w:val="center"/>
          </w:tcPr>
          <w:p>
            <w:pPr>
              <w:widowControl/>
              <w:snapToGrid w:val="0"/>
              <w:jc w:val="center"/>
              <w:rPr>
                <w:rFonts w:ascii="宋体" w:hAnsi="宋体" w:eastAsia="宋体"/>
                <w:b/>
                <w:bCs/>
                <w:color w:val="000000"/>
                <w:kern w:val="0"/>
                <w:sz w:val="18"/>
                <w:szCs w:val="18"/>
              </w:rPr>
            </w:pPr>
            <w:r>
              <w:rPr>
                <w:rFonts w:ascii="宋体" w:hAnsi="宋体" w:eastAsia="宋体"/>
                <w:b/>
                <w:bCs/>
                <w:color w:val="000000"/>
                <w:kern w:val="0"/>
                <w:sz w:val="18"/>
                <w:szCs w:val="18"/>
              </w:rPr>
              <w:t>一类</w:t>
            </w:r>
          </w:p>
        </w:tc>
        <w:tc>
          <w:tcPr>
            <w:tcW w:w="994" w:type="dxa"/>
            <w:tcBorders>
              <w:top w:val="single" w:color="auto" w:sz="4" w:space="0"/>
              <w:left w:val="nil"/>
              <w:bottom w:val="single" w:color="auto" w:sz="4" w:space="0"/>
              <w:right w:val="single" w:color="auto" w:sz="4" w:space="0"/>
            </w:tcBorders>
            <w:shd w:val="clear" w:color="auto" w:fill="B4C6E7"/>
            <w:noWrap w:val="0"/>
            <w:vAlign w:val="center"/>
          </w:tcPr>
          <w:p>
            <w:pPr>
              <w:widowControl/>
              <w:snapToGrid w:val="0"/>
              <w:jc w:val="center"/>
              <w:rPr>
                <w:rFonts w:ascii="宋体" w:hAnsi="宋体" w:eastAsia="宋体"/>
                <w:b/>
                <w:bCs/>
                <w:color w:val="000000"/>
                <w:kern w:val="0"/>
                <w:sz w:val="18"/>
                <w:szCs w:val="18"/>
              </w:rPr>
            </w:pPr>
            <w:r>
              <w:rPr>
                <w:rFonts w:ascii="宋体" w:hAnsi="宋体" w:eastAsia="宋体"/>
                <w:b/>
                <w:bCs/>
                <w:color w:val="000000"/>
                <w:kern w:val="0"/>
                <w:sz w:val="18"/>
                <w:szCs w:val="18"/>
              </w:rPr>
              <w:t>二类</w:t>
            </w:r>
          </w:p>
        </w:tc>
        <w:tc>
          <w:tcPr>
            <w:tcW w:w="47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eastAsia="宋体"/>
                <w:b/>
                <w:bCs/>
                <w:color w:val="000000"/>
                <w:kern w:val="0"/>
                <w:sz w:val="18"/>
                <w:szCs w:val="18"/>
              </w:rPr>
            </w:pPr>
          </w:p>
        </w:tc>
        <w:tc>
          <w:tcPr>
            <w:tcW w:w="56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eastAsia="宋体"/>
                <w:b/>
                <w:bCs/>
                <w:color w:val="000000"/>
                <w:kern w:val="0"/>
                <w:sz w:val="18"/>
                <w:szCs w:val="18"/>
              </w:rPr>
            </w:pPr>
          </w:p>
        </w:tc>
        <w:tc>
          <w:tcPr>
            <w:tcW w:w="584" w:type="dxa"/>
            <w:vMerge w:val="continue"/>
            <w:tcBorders>
              <w:top w:val="single" w:color="auto" w:sz="4" w:space="0"/>
              <w:left w:val="single" w:color="auto" w:sz="4" w:space="0"/>
              <w:bottom w:val="single" w:color="auto" w:sz="4" w:space="0"/>
              <w:right w:val="single" w:color="auto" w:sz="12" w:space="0"/>
            </w:tcBorders>
            <w:noWrap w:val="0"/>
            <w:vAlign w:val="center"/>
          </w:tcPr>
          <w:p>
            <w:pPr>
              <w:widowControl/>
              <w:snapToGrid w:val="0"/>
              <w:jc w:val="left"/>
              <w:rPr>
                <w:rFonts w:ascii="宋体" w:hAnsi="宋体" w:eastAsia="宋体"/>
                <w:b/>
                <w:bCs/>
                <w:color w:val="000000"/>
                <w:kern w:val="0"/>
                <w:sz w:val="18"/>
                <w:szCs w:val="18"/>
              </w:rPr>
            </w:pPr>
          </w:p>
        </w:tc>
      </w:tr>
      <w:tr>
        <w:tblPrEx>
          <w:tblLayout w:type="fixed"/>
          <w:tblCellMar>
            <w:top w:w="0" w:type="dxa"/>
            <w:left w:w="108" w:type="dxa"/>
            <w:bottom w:w="0" w:type="dxa"/>
            <w:right w:w="108" w:type="dxa"/>
          </w:tblCellMar>
        </w:tblPrEx>
        <w:trPr>
          <w:cantSplit/>
          <w:jc w:val="center"/>
        </w:trPr>
        <w:tc>
          <w:tcPr>
            <w:tcW w:w="14665" w:type="dxa"/>
            <w:gridSpan w:val="6"/>
            <w:tcBorders>
              <w:top w:val="single" w:color="auto" w:sz="4" w:space="0"/>
              <w:left w:val="single" w:color="auto" w:sz="12" w:space="0"/>
              <w:bottom w:val="single" w:color="auto" w:sz="4" w:space="0"/>
              <w:right w:val="single" w:color="auto" w:sz="12" w:space="0"/>
            </w:tcBorders>
            <w:noWrap w:val="0"/>
            <w:vAlign w:val="center"/>
          </w:tcPr>
          <w:p>
            <w:pPr>
              <w:widowControl/>
              <w:snapToGrid w:val="0"/>
              <w:jc w:val="center"/>
              <w:rPr>
                <w:rFonts w:ascii="宋体" w:hAnsi="宋体" w:eastAsia="宋体"/>
                <w:b/>
                <w:bCs/>
                <w:color w:val="000000"/>
                <w:kern w:val="0"/>
                <w:sz w:val="18"/>
                <w:szCs w:val="18"/>
              </w:rPr>
            </w:pPr>
            <w:r>
              <w:rPr>
                <w:rFonts w:ascii="宋体" w:hAnsi="宋体" w:eastAsia="宋体"/>
                <w:b/>
                <w:bCs/>
                <w:color w:val="000000"/>
                <w:kern w:val="0"/>
                <w:sz w:val="18"/>
                <w:szCs w:val="18"/>
              </w:rPr>
              <w:t>基本条款</w:t>
            </w:r>
          </w:p>
        </w:tc>
      </w:tr>
      <w:tr>
        <w:tblPrEx>
          <w:tblLayout w:type="fixed"/>
          <w:tblCellMar>
            <w:top w:w="0" w:type="dxa"/>
            <w:left w:w="108" w:type="dxa"/>
            <w:bottom w:w="0" w:type="dxa"/>
            <w:right w:w="108" w:type="dxa"/>
          </w:tblCellMar>
        </w:tblPrEx>
        <w:trPr>
          <w:cantSplit/>
          <w:jc w:val="center"/>
        </w:trPr>
        <w:tc>
          <w:tcPr>
            <w:tcW w:w="1668" w:type="dxa"/>
            <w:tcBorders>
              <w:top w:val="nil"/>
              <w:left w:val="single" w:color="auto" w:sz="12" w:space="0"/>
              <w:bottom w:val="single" w:color="auto" w:sz="4" w:space="0"/>
              <w:right w:val="single" w:color="auto" w:sz="4" w:space="0"/>
            </w:tcBorders>
            <w:noWrap w:val="0"/>
            <w:vAlign w:val="center"/>
          </w:tcPr>
          <w:p>
            <w:pPr>
              <w:widowControl/>
              <w:snapToGrid w:val="0"/>
              <w:jc w:val="center"/>
              <w:rPr>
                <w:rFonts w:ascii="宋体" w:hAnsi="宋体" w:eastAsia="宋体"/>
                <w:color w:val="000000"/>
                <w:kern w:val="0"/>
                <w:sz w:val="18"/>
                <w:szCs w:val="18"/>
              </w:rPr>
            </w:pPr>
            <w:r>
              <w:rPr>
                <w:rFonts w:hint="eastAsia" w:ascii="宋体" w:hAnsi="宋体"/>
                <w:color w:val="000000"/>
                <w:kern w:val="0"/>
                <w:sz w:val="18"/>
                <w:szCs w:val="18"/>
                <w:lang w:eastAsia="zh-CN"/>
              </w:rPr>
              <w:t>2023</w:t>
            </w:r>
            <w:r>
              <w:rPr>
                <w:rFonts w:ascii="宋体" w:hAnsi="宋体" w:eastAsia="宋体"/>
                <w:color w:val="000000"/>
                <w:kern w:val="0"/>
                <w:sz w:val="18"/>
                <w:szCs w:val="18"/>
              </w:rPr>
              <w:t>.004.03.001</w:t>
            </w:r>
          </w:p>
        </w:tc>
        <w:tc>
          <w:tcPr>
            <w:tcW w:w="1002" w:type="dxa"/>
            <w:vMerge w:val="restart"/>
            <w:tcBorders>
              <w:top w:val="nil"/>
              <w:left w:val="nil"/>
              <w:right w:val="single" w:color="auto" w:sz="4" w:space="0"/>
            </w:tcBorders>
            <w:noWrap w:val="0"/>
            <w:vAlign w:val="center"/>
          </w:tcPr>
          <w:p>
            <w:pPr>
              <w:widowControl/>
              <w:snapToGrid w:val="0"/>
              <w:jc w:val="center"/>
              <w:rPr>
                <w:rFonts w:hint="eastAsia" w:ascii="宋体" w:hAnsi="宋体" w:eastAsia="宋体"/>
                <w:color w:val="000000"/>
                <w:kern w:val="0"/>
                <w:sz w:val="18"/>
                <w:szCs w:val="18"/>
                <w:lang w:eastAsia="zh-CN"/>
              </w:rPr>
            </w:pPr>
            <w:r>
              <w:rPr>
                <w:rFonts w:hint="eastAsia" w:ascii="宋体" w:hAnsi="宋体"/>
                <w:color w:val="000000"/>
                <w:kern w:val="0"/>
                <w:sz w:val="18"/>
                <w:szCs w:val="18"/>
                <w:lang w:eastAsia="zh-CN"/>
              </w:rPr>
              <w:t>基础资料类</w:t>
            </w:r>
          </w:p>
        </w:tc>
        <w:tc>
          <w:tcPr>
            <w:tcW w:w="994" w:type="dxa"/>
            <w:vMerge w:val="restart"/>
            <w:tcBorders>
              <w:top w:val="nil"/>
              <w:left w:val="nil"/>
              <w:right w:val="single" w:color="auto" w:sz="4" w:space="0"/>
            </w:tcBorders>
            <w:noWrap w:val="0"/>
            <w:vAlign w:val="center"/>
          </w:tcPr>
          <w:p>
            <w:pPr>
              <w:widowControl/>
              <w:snapToGrid w:val="0"/>
              <w:jc w:val="center"/>
              <w:rPr>
                <w:rFonts w:ascii="宋体" w:hAnsi="宋体" w:eastAsia="宋体"/>
                <w:color w:val="000000"/>
                <w:kern w:val="0"/>
                <w:sz w:val="18"/>
                <w:szCs w:val="18"/>
              </w:rPr>
            </w:pPr>
            <w:r>
              <w:rPr>
                <w:rFonts w:ascii="宋体" w:hAnsi="宋体" w:eastAsia="宋体"/>
                <w:color w:val="000000"/>
                <w:kern w:val="0"/>
                <w:sz w:val="18"/>
                <w:szCs w:val="18"/>
              </w:rPr>
              <w:t>相关方管理类</w:t>
            </w:r>
          </w:p>
        </w:tc>
        <w:tc>
          <w:tcPr>
            <w:tcW w:w="4725"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无资质证书或超资质承揽工程，或将工程进行转包、违法分包。</w:t>
            </w:r>
          </w:p>
        </w:tc>
        <w:tc>
          <w:tcPr>
            <w:tcW w:w="5692"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《北京市房屋建筑和市政基础设施工程重大生产安全事故隐患判定导则》第3.0.1条</w:t>
            </w:r>
          </w:p>
        </w:tc>
        <w:tc>
          <w:tcPr>
            <w:tcW w:w="584" w:type="dxa"/>
            <w:tcBorders>
              <w:top w:val="nil"/>
              <w:left w:val="nil"/>
              <w:bottom w:val="single" w:color="auto" w:sz="4" w:space="0"/>
              <w:right w:val="single" w:color="auto" w:sz="12" w:space="0"/>
            </w:tcBorders>
            <w:noWrap w:val="0"/>
            <w:vAlign w:val="center"/>
          </w:tcPr>
          <w:p>
            <w:pPr>
              <w:widowControl/>
              <w:snapToGrid w:val="0"/>
              <w:jc w:val="center"/>
              <w:rPr>
                <w:rFonts w:ascii="宋体" w:hAnsi="宋体" w:eastAsia="宋体"/>
                <w:color w:val="000000"/>
                <w:kern w:val="0"/>
                <w:sz w:val="18"/>
                <w:szCs w:val="18"/>
              </w:rPr>
            </w:pPr>
          </w:p>
        </w:tc>
      </w:tr>
      <w:tr>
        <w:tblPrEx>
          <w:tblLayout w:type="fixed"/>
          <w:tblCellMar>
            <w:top w:w="0" w:type="dxa"/>
            <w:left w:w="108" w:type="dxa"/>
            <w:bottom w:w="0" w:type="dxa"/>
            <w:right w:w="108" w:type="dxa"/>
          </w:tblCellMar>
        </w:tblPrEx>
        <w:trPr>
          <w:cantSplit/>
          <w:jc w:val="center"/>
        </w:trPr>
        <w:tc>
          <w:tcPr>
            <w:tcW w:w="1668" w:type="dxa"/>
            <w:tcBorders>
              <w:top w:val="nil"/>
              <w:left w:val="single" w:color="auto" w:sz="12" w:space="0"/>
              <w:bottom w:val="single" w:color="auto" w:sz="4" w:space="0"/>
              <w:right w:val="single" w:color="auto" w:sz="4" w:space="0"/>
            </w:tcBorders>
            <w:noWrap w:val="0"/>
            <w:vAlign w:val="center"/>
          </w:tcPr>
          <w:p>
            <w:pPr>
              <w:widowControl/>
              <w:snapToGrid w:val="0"/>
              <w:jc w:val="center"/>
              <w:rPr>
                <w:rFonts w:hint="eastAsia" w:ascii="宋体" w:hAnsi="宋体"/>
                <w:color w:val="000000"/>
                <w:kern w:val="0"/>
                <w:sz w:val="18"/>
                <w:szCs w:val="18"/>
                <w:lang w:eastAsia="zh-CN"/>
              </w:rPr>
            </w:pPr>
            <w:r>
              <w:rPr>
                <w:rFonts w:hint="eastAsia" w:ascii="宋体" w:hAnsi="宋体"/>
                <w:color w:val="000000"/>
                <w:kern w:val="0"/>
                <w:sz w:val="18"/>
                <w:szCs w:val="18"/>
                <w:lang w:eastAsia="zh-CN"/>
              </w:rPr>
              <w:t>2023</w:t>
            </w:r>
            <w:r>
              <w:rPr>
                <w:rFonts w:ascii="宋体" w:hAnsi="宋体" w:eastAsia="宋体"/>
                <w:color w:val="000000"/>
                <w:kern w:val="0"/>
                <w:sz w:val="18"/>
                <w:szCs w:val="18"/>
              </w:rPr>
              <w:t>.004.03.002</w:t>
            </w:r>
          </w:p>
        </w:tc>
        <w:tc>
          <w:tcPr>
            <w:tcW w:w="1002" w:type="dxa"/>
            <w:vMerge w:val="continue"/>
            <w:tcBorders>
              <w:left w:val="nil"/>
              <w:right w:val="single" w:color="auto" w:sz="4" w:space="0"/>
            </w:tcBorders>
            <w:noWrap w:val="0"/>
            <w:vAlign w:val="center"/>
          </w:tcPr>
          <w:p>
            <w:pPr>
              <w:widowControl/>
              <w:snapToGrid w:val="0"/>
              <w:jc w:val="center"/>
              <w:rPr>
                <w:rFonts w:hint="eastAsia" w:ascii="宋体" w:hAnsi="宋体" w:eastAsia="宋体"/>
                <w:color w:val="000000"/>
                <w:kern w:val="0"/>
                <w:sz w:val="18"/>
                <w:szCs w:val="18"/>
                <w:lang w:eastAsia="zh-CN"/>
              </w:rPr>
            </w:pPr>
          </w:p>
        </w:tc>
        <w:tc>
          <w:tcPr>
            <w:tcW w:w="994" w:type="dxa"/>
            <w:vMerge w:val="continue"/>
            <w:tcBorders>
              <w:left w:val="nil"/>
              <w:right w:val="single" w:color="auto" w:sz="4" w:space="0"/>
            </w:tcBorders>
            <w:noWrap w:val="0"/>
            <w:vAlign w:val="center"/>
          </w:tcPr>
          <w:p>
            <w:pPr>
              <w:widowControl/>
              <w:snapToGrid w:val="0"/>
              <w:jc w:val="center"/>
              <w:rPr>
                <w:rFonts w:ascii="宋体" w:hAnsi="宋体" w:eastAsia="宋体"/>
                <w:color w:val="000000"/>
                <w:kern w:val="0"/>
                <w:sz w:val="18"/>
                <w:szCs w:val="18"/>
              </w:rPr>
            </w:pPr>
          </w:p>
        </w:tc>
        <w:tc>
          <w:tcPr>
            <w:tcW w:w="4725"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olor w:val="000000"/>
                <w:kern w:val="0"/>
                <w:sz w:val="18"/>
                <w:szCs w:val="18"/>
                <w:lang w:eastAsia="zh-CN"/>
              </w:rPr>
            </w:pPr>
            <w:r>
              <w:rPr>
                <w:rFonts w:hint="eastAsia" w:ascii="宋体" w:hAnsi="宋体" w:eastAsia="宋体"/>
                <w:color w:val="000000"/>
                <w:kern w:val="0"/>
                <w:sz w:val="18"/>
                <w:szCs w:val="18"/>
              </w:rPr>
              <w:t>建筑施工企业未取得安全生产许可证擅自从事建筑施工活动</w:t>
            </w:r>
            <w:r>
              <w:rPr>
                <w:rFonts w:hint="eastAsia" w:ascii="宋体" w:hAnsi="宋体"/>
                <w:color w:val="000000"/>
                <w:kern w:val="0"/>
                <w:sz w:val="18"/>
                <w:szCs w:val="18"/>
                <w:lang w:eastAsia="zh-CN"/>
              </w:rPr>
              <w:t>。</w:t>
            </w:r>
          </w:p>
        </w:tc>
        <w:tc>
          <w:tcPr>
            <w:tcW w:w="5692"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olor w:val="000000"/>
                <w:kern w:val="0"/>
                <w:sz w:val="18"/>
                <w:szCs w:val="18"/>
                <w:lang w:eastAsia="zh-CN"/>
              </w:rPr>
            </w:pPr>
            <w:r>
              <w:rPr>
                <w:rFonts w:hint="eastAsia" w:ascii="宋体" w:hAnsi="宋体" w:eastAsia="宋体"/>
                <w:color w:val="000000"/>
                <w:kern w:val="0"/>
                <w:sz w:val="18"/>
                <w:szCs w:val="18"/>
              </w:rPr>
              <w:t>《房屋市政工程生产安全重大事故隐患判定标准（2022版）》</w:t>
            </w:r>
            <w:r>
              <w:rPr>
                <w:rFonts w:hint="eastAsia" w:ascii="宋体" w:hAnsi="宋体"/>
                <w:color w:val="000000"/>
                <w:kern w:val="0"/>
                <w:sz w:val="18"/>
                <w:szCs w:val="18"/>
                <w:lang w:eastAsia="zh-CN"/>
              </w:rPr>
              <w:t>第四条</w:t>
            </w:r>
          </w:p>
        </w:tc>
        <w:tc>
          <w:tcPr>
            <w:tcW w:w="584" w:type="dxa"/>
            <w:tcBorders>
              <w:top w:val="nil"/>
              <w:left w:val="nil"/>
              <w:bottom w:val="single" w:color="auto" w:sz="4" w:space="0"/>
              <w:right w:val="single" w:color="auto" w:sz="12" w:space="0"/>
            </w:tcBorders>
            <w:noWrap w:val="0"/>
            <w:vAlign w:val="center"/>
          </w:tcPr>
          <w:p>
            <w:pPr>
              <w:widowControl/>
              <w:snapToGrid w:val="0"/>
              <w:jc w:val="center"/>
              <w:rPr>
                <w:rFonts w:ascii="宋体" w:hAnsi="宋体" w:eastAsia="宋体"/>
                <w:color w:val="000000"/>
                <w:kern w:val="0"/>
                <w:sz w:val="18"/>
                <w:szCs w:val="18"/>
              </w:rPr>
            </w:pPr>
            <w:r>
              <w:rPr>
                <w:rFonts w:ascii="宋体" w:hAnsi="宋体" w:eastAsia="宋体" w:cs="Segoe UI Symbol"/>
                <w:color w:val="000000"/>
                <w:kern w:val="0"/>
                <w:sz w:val="18"/>
                <w:szCs w:val="18"/>
              </w:rPr>
              <w:t>★</w:t>
            </w:r>
          </w:p>
        </w:tc>
      </w:tr>
      <w:tr>
        <w:tblPrEx>
          <w:tblLayout w:type="fixed"/>
          <w:tblCellMar>
            <w:top w:w="0" w:type="dxa"/>
            <w:left w:w="108" w:type="dxa"/>
            <w:bottom w:w="0" w:type="dxa"/>
            <w:right w:w="108" w:type="dxa"/>
          </w:tblCellMar>
        </w:tblPrEx>
        <w:trPr>
          <w:cantSplit/>
          <w:jc w:val="center"/>
        </w:trPr>
        <w:tc>
          <w:tcPr>
            <w:tcW w:w="1668" w:type="dxa"/>
            <w:tcBorders>
              <w:top w:val="nil"/>
              <w:left w:val="single" w:color="auto" w:sz="12" w:space="0"/>
              <w:bottom w:val="single" w:color="auto" w:sz="4" w:space="0"/>
              <w:right w:val="single" w:color="auto" w:sz="4" w:space="0"/>
            </w:tcBorders>
            <w:noWrap w:val="0"/>
            <w:vAlign w:val="center"/>
          </w:tcPr>
          <w:p>
            <w:pPr>
              <w:widowControl/>
              <w:snapToGrid w:val="0"/>
              <w:jc w:val="center"/>
              <w:rPr>
                <w:rFonts w:hint="eastAsia" w:ascii="宋体" w:hAnsi="宋体"/>
                <w:color w:val="000000"/>
                <w:kern w:val="0"/>
                <w:sz w:val="18"/>
                <w:szCs w:val="18"/>
                <w:lang w:eastAsia="zh-CN"/>
              </w:rPr>
            </w:pPr>
          </w:p>
        </w:tc>
        <w:tc>
          <w:tcPr>
            <w:tcW w:w="1002" w:type="dxa"/>
            <w:vMerge w:val="continue"/>
            <w:tcBorders>
              <w:left w:val="nil"/>
              <w:right w:val="single" w:color="auto" w:sz="4" w:space="0"/>
            </w:tcBorders>
            <w:noWrap w:val="0"/>
            <w:vAlign w:val="center"/>
          </w:tcPr>
          <w:p>
            <w:pPr>
              <w:widowControl/>
              <w:snapToGrid w:val="0"/>
              <w:jc w:val="center"/>
              <w:rPr>
                <w:rFonts w:hint="eastAsia" w:ascii="宋体" w:hAnsi="宋体"/>
                <w:color w:val="000000"/>
                <w:kern w:val="0"/>
                <w:sz w:val="18"/>
                <w:szCs w:val="18"/>
                <w:lang w:eastAsia="zh-CN"/>
              </w:rPr>
            </w:pPr>
          </w:p>
        </w:tc>
        <w:tc>
          <w:tcPr>
            <w:tcW w:w="994" w:type="dxa"/>
            <w:vMerge w:val="continue"/>
            <w:tcBorders>
              <w:left w:val="nil"/>
              <w:right w:val="single" w:color="auto" w:sz="4" w:space="0"/>
            </w:tcBorders>
            <w:noWrap w:val="0"/>
            <w:vAlign w:val="center"/>
          </w:tcPr>
          <w:p>
            <w:pPr>
              <w:widowControl/>
              <w:snapToGrid w:val="0"/>
              <w:jc w:val="center"/>
              <w:rPr>
                <w:rFonts w:ascii="宋体" w:hAnsi="宋体" w:eastAsia="宋体"/>
                <w:color w:val="000000"/>
                <w:kern w:val="0"/>
                <w:sz w:val="18"/>
                <w:szCs w:val="18"/>
              </w:rPr>
            </w:pPr>
          </w:p>
        </w:tc>
        <w:tc>
          <w:tcPr>
            <w:tcW w:w="4725"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olor w:val="000000"/>
                <w:kern w:val="0"/>
                <w:sz w:val="18"/>
                <w:szCs w:val="18"/>
                <w:lang w:eastAsia="zh-CN"/>
              </w:rPr>
            </w:pPr>
            <w:r>
              <w:rPr>
                <w:rFonts w:hint="eastAsia" w:ascii="宋体" w:hAnsi="宋体"/>
                <w:color w:val="000000"/>
                <w:kern w:val="0"/>
                <w:sz w:val="18"/>
                <w:szCs w:val="18"/>
                <w:lang w:eastAsia="zh-CN"/>
              </w:rPr>
              <w:t>未按规定建立健全生产安全事故隐患排查治理制度</w:t>
            </w:r>
          </w:p>
        </w:tc>
        <w:tc>
          <w:tcPr>
            <w:tcW w:w="5692" w:type="dxa"/>
            <w:tcBorders>
              <w:top w:val="nil"/>
              <w:left w:val="nil"/>
              <w:bottom w:val="single" w:color="auto" w:sz="4" w:space="0"/>
              <w:right w:val="single" w:color="auto" w:sz="4" w:space="0"/>
            </w:tcBorders>
            <w:noWrap w:val="0"/>
            <w:vAlign w:val="center"/>
          </w:tcPr>
          <w:p>
            <w:pPr>
              <w:widowControl/>
              <w:snapToGrid w:val="0"/>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lang w:eastAsia="zh-CN"/>
              </w:rPr>
              <w:t>《安全生产法》第</w:t>
            </w:r>
            <w:r>
              <w:rPr>
                <w:rFonts w:hint="eastAsia" w:ascii="宋体" w:hAnsi="宋体"/>
                <w:color w:val="000000"/>
                <w:kern w:val="0"/>
                <w:sz w:val="18"/>
                <w:szCs w:val="18"/>
                <w:lang w:val="en-US" w:eastAsia="zh-CN"/>
              </w:rPr>
              <w:t>41条</w:t>
            </w:r>
          </w:p>
        </w:tc>
        <w:tc>
          <w:tcPr>
            <w:tcW w:w="584" w:type="dxa"/>
            <w:tcBorders>
              <w:top w:val="nil"/>
              <w:left w:val="nil"/>
              <w:bottom w:val="single" w:color="auto" w:sz="4" w:space="0"/>
              <w:right w:val="single" w:color="auto" w:sz="12" w:space="0"/>
            </w:tcBorders>
            <w:noWrap w:val="0"/>
            <w:vAlign w:val="center"/>
          </w:tcPr>
          <w:p>
            <w:pPr>
              <w:widowControl/>
              <w:snapToGrid w:val="0"/>
              <w:jc w:val="center"/>
              <w:rPr>
                <w:rFonts w:ascii="宋体" w:hAnsi="宋体" w:eastAsia="宋体" w:cs="Segoe UI Symbol"/>
                <w:color w:val="000000"/>
                <w:kern w:val="0"/>
                <w:sz w:val="18"/>
                <w:szCs w:val="18"/>
              </w:rPr>
            </w:pPr>
          </w:p>
        </w:tc>
      </w:tr>
      <w:tr>
        <w:tblPrEx>
          <w:tblLayout w:type="fixed"/>
          <w:tblCellMar>
            <w:top w:w="0" w:type="dxa"/>
            <w:left w:w="108" w:type="dxa"/>
            <w:bottom w:w="0" w:type="dxa"/>
            <w:right w:w="108" w:type="dxa"/>
          </w:tblCellMar>
        </w:tblPrEx>
        <w:trPr>
          <w:cantSplit/>
          <w:jc w:val="center"/>
        </w:trPr>
        <w:tc>
          <w:tcPr>
            <w:tcW w:w="1668" w:type="dxa"/>
            <w:tcBorders>
              <w:top w:val="nil"/>
              <w:left w:val="single" w:color="auto" w:sz="12" w:space="0"/>
              <w:bottom w:val="single" w:color="auto" w:sz="4" w:space="0"/>
              <w:right w:val="single" w:color="auto" w:sz="4" w:space="0"/>
            </w:tcBorders>
            <w:noWrap w:val="0"/>
            <w:vAlign w:val="center"/>
          </w:tcPr>
          <w:p>
            <w:pPr>
              <w:widowControl/>
              <w:snapToGrid w:val="0"/>
              <w:jc w:val="center"/>
              <w:rPr>
                <w:rFonts w:hint="eastAsia" w:ascii="宋体" w:hAnsi="宋体"/>
                <w:color w:val="000000"/>
                <w:kern w:val="0"/>
                <w:sz w:val="18"/>
                <w:szCs w:val="18"/>
                <w:lang w:eastAsia="zh-CN"/>
              </w:rPr>
            </w:pPr>
          </w:p>
        </w:tc>
        <w:tc>
          <w:tcPr>
            <w:tcW w:w="1002" w:type="dxa"/>
            <w:vMerge w:val="continue"/>
            <w:tcBorders>
              <w:left w:val="nil"/>
              <w:bottom w:val="single" w:color="auto" w:sz="4" w:space="0"/>
              <w:right w:val="single" w:color="auto" w:sz="4" w:space="0"/>
            </w:tcBorders>
            <w:noWrap w:val="0"/>
            <w:vAlign w:val="center"/>
          </w:tcPr>
          <w:p>
            <w:pPr>
              <w:widowControl/>
              <w:snapToGrid w:val="0"/>
              <w:jc w:val="center"/>
              <w:rPr>
                <w:rFonts w:hint="eastAsia" w:ascii="宋体" w:hAnsi="宋体"/>
                <w:color w:val="000000"/>
                <w:kern w:val="0"/>
                <w:sz w:val="18"/>
                <w:szCs w:val="18"/>
                <w:lang w:eastAsia="zh-CN"/>
              </w:rPr>
            </w:pPr>
          </w:p>
        </w:tc>
        <w:tc>
          <w:tcPr>
            <w:tcW w:w="994" w:type="dxa"/>
            <w:vMerge w:val="continue"/>
            <w:tcBorders>
              <w:left w:val="nil"/>
              <w:bottom w:val="single" w:color="auto" w:sz="4" w:space="0"/>
              <w:right w:val="single" w:color="auto" w:sz="4" w:space="0"/>
            </w:tcBorders>
            <w:noWrap w:val="0"/>
            <w:vAlign w:val="center"/>
          </w:tcPr>
          <w:p>
            <w:pPr>
              <w:widowControl/>
              <w:snapToGrid w:val="0"/>
              <w:jc w:val="center"/>
              <w:rPr>
                <w:rFonts w:ascii="宋体" w:hAnsi="宋体" w:eastAsia="宋体"/>
                <w:color w:val="000000"/>
                <w:kern w:val="0"/>
                <w:sz w:val="18"/>
                <w:szCs w:val="18"/>
              </w:rPr>
            </w:pPr>
          </w:p>
        </w:tc>
        <w:tc>
          <w:tcPr>
            <w:tcW w:w="4725"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olor w:val="000000"/>
                <w:kern w:val="0"/>
                <w:sz w:val="18"/>
                <w:szCs w:val="18"/>
                <w:lang w:eastAsia="zh-CN"/>
              </w:rPr>
            </w:pPr>
            <w:r>
              <w:rPr>
                <w:rFonts w:hint="eastAsia" w:ascii="宋体" w:hAnsi="宋体"/>
                <w:color w:val="000000"/>
                <w:kern w:val="0"/>
                <w:sz w:val="18"/>
                <w:szCs w:val="18"/>
                <w:lang w:eastAsia="zh-CN"/>
              </w:rPr>
              <w:t>未建立健全安全生产责任制度并按要求进行考核</w:t>
            </w:r>
          </w:p>
        </w:tc>
        <w:tc>
          <w:tcPr>
            <w:tcW w:w="5692" w:type="dxa"/>
            <w:tcBorders>
              <w:top w:val="nil"/>
              <w:left w:val="nil"/>
              <w:bottom w:val="single" w:color="auto" w:sz="4" w:space="0"/>
              <w:right w:val="single" w:color="auto" w:sz="4" w:space="0"/>
            </w:tcBorders>
            <w:noWrap w:val="0"/>
            <w:vAlign w:val="center"/>
          </w:tcPr>
          <w:p>
            <w:pPr>
              <w:widowControl/>
              <w:snapToGrid w:val="0"/>
              <w:jc w:val="left"/>
              <w:rPr>
                <w:rFonts w:hint="default" w:ascii="宋体" w:hAnsi="宋体" w:eastAsia="宋体"/>
                <w:color w:val="000000"/>
                <w:kern w:val="0"/>
                <w:sz w:val="18"/>
                <w:szCs w:val="18"/>
                <w:lang w:val="en-US"/>
              </w:rPr>
            </w:pPr>
            <w:r>
              <w:rPr>
                <w:rFonts w:hint="eastAsia" w:ascii="宋体" w:hAnsi="宋体"/>
                <w:color w:val="000000"/>
                <w:kern w:val="0"/>
                <w:sz w:val="18"/>
                <w:szCs w:val="18"/>
                <w:lang w:eastAsia="zh-CN"/>
              </w:rPr>
              <w:t>《安全生产法》第</w:t>
            </w:r>
            <w:r>
              <w:rPr>
                <w:rFonts w:hint="eastAsia" w:ascii="宋体" w:hAnsi="宋体"/>
                <w:color w:val="000000"/>
                <w:kern w:val="0"/>
                <w:sz w:val="18"/>
                <w:szCs w:val="18"/>
                <w:lang w:val="en-US" w:eastAsia="zh-CN"/>
              </w:rPr>
              <w:t>4条、第22条</w:t>
            </w:r>
          </w:p>
        </w:tc>
        <w:tc>
          <w:tcPr>
            <w:tcW w:w="584" w:type="dxa"/>
            <w:tcBorders>
              <w:top w:val="nil"/>
              <w:left w:val="nil"/>
              <w:bottom w:val="single" w:color="auto" w:sz="4" w:space="0"/>
              <w:right w:val="single" w:color="auto" w:sz="12" w:space="0"/>
            </w:tcBorders>
            <w:noWrap w:val="0"/>
            <w:vAlign w:val="center"/>
          </w:tcPr>
          <w:p>
            <w:pPr>
              <w:widowControl/>
              <w:snapToGrid w:val="0"/>
              <w:jc w:val="center"/>
              <w:rPr>
                <w:rFonts w:ascii="宋体" w:hAnsi="宋体" w:eastAsia="宋体" w:cs="Segoe UI Symbol"/>
                <w:color w:val="000000"/>
                <w:kern w:val="0"/>
                <w:sz w:val="18"/>
                <w:szCs w:val="18"/>
              </w:rPr>
            </w:pPr>
          </w:p>
        </w:tc>
      </w:tr>
      <w:tr>
        <w:tblPrEx>
          <w:tblLayout w:type="fixed"/>
          <w:tblCellMar>
            <w:top w:w="0" w:type="dxa"/>
            <w:left w:w="108" w:type="dxa"/>
            <w:bottom w:w="0" w:type="dxa"/>
            <w:right w:w="108" w:type="dxa"/>
          </w:tblCellMar>
        </w:tblPrEx>
        <w:trPr>
          <w:cantSplit/>
          <w:jc w:val="center"/>
        </w:trPr>
        <w:tc>
          <w:tcPr>
            <w:tcW w:w="1668" w:type="dxa"/>
            <w:tcBorders>
              <w:top w:val="nil"/>
              <w:left w:val="single" w:color="auto" w:sz="12" w:space="0"/>
              <w:bottom w:val="single" w:color="auto" w:sz="4" w:space="0"/>
              <w:right w:val="single" w:color="auto" w:sz="4" w:space="0"/>
            </w:tcBorders>
            <w:noWrap w:val="0"/>
            <w:vAlign w:val="center"/>
          </w:tcPr>
          <w:p>
            <w:pPr>
              <w:widowControl/>
              <w:snapToGrid w:val="0"/>
              <w:jc w:val="center"/>
              <w:rPr>
                <w:rFonts w:hint="eastAsia" w:ascii="宋体" w:hAnsi="宋体" w:eastAsia="宋体"/>
                <w:color w:val="000000"/>
                <w:kern w:val="0"/>
                <w:sz w:val="18"/>
                <w:szCs w:val="18"/>
                <w:lang w:eastAsia="zh-CN"/>
              </w:rPr>
            </w:pPr>
            <w:r>
              <w:rPr>
                <w:rFonts w:hint="eastAsia" w:ascii="宋体" w:hAnsi="宋体"/>
                <w:color w:val="000000"/>
                <w:kern w:val="0"/>
                <w:sz w:val="18"/>
                <w:szCs w:val="18"/>
                <w:lang w:eastAsia="zh-CN"/>
              </w:rPr>
              <w:t>2023</w:t>
            </w:r>
            <w:r>
              <w:rPr>
                <w:rFonts w:ascii="宋体" w:hAnsi="宋体" w:eastAsia="宋体"/>
                <w:color w:val="000000"/>
                <w:kern w:val="0"/>
                <w:sz w:val="18"/>
                <w:szCs w:val="18"/>
              </w:rPr>
              <w:t>.004.03.00</w:t>
            </w:r>
            <w:r>
              <w:rPr>
                <w:rFonts w:hint="eastAsia" w:ascii="宋体" w:hAnsi="宋体"/>
                <w:color w:val="000000"/>
                <w:kern w:val="0"/>
                <w:sz w:val="18"/>
                <w:szCs w:val="18"/>
                <w:lang w:val="en-US" w:eastAsia="zh-CN"/>
              </w:rPr>
              <w:t>3</w:t>
            </w:r>
          </w:p>
        </w:tc>
        <w:tc>
          <w:tcPr>
            <w:tcW w:w="1002" w:type="dxa"/>
            <w:tcBorders>
              <w:top w:val="nil"/>
              <w:left w:val="nil"/>
              <w:bottom w:val="single" w:color="auto" w:sz="4" w:space="0"/>
              <w:right w:val="single" w:color="auto" w:sz="4" w:space="0"/>
            </w:tcBorders>
            <w:noWrap w:val="0"/>
            <w:vAlign w:val="center"/>
          </w:tcPr>
          <w:p>
            <w:pPr>
              <w:widowControl/>
              <w:snapToGrid w:val="0"/>
              <w:jc w:val="center"/>
              <w:rPr>
                <w:rFonts w:ascii="宋体" w:hAnsi="宋体" w:eastAsia="宋体"/>
                <w:color w:val="000000"/>
                <w:kern w:val="0"/>
                <w:sz w:val="18"/>
                <w:szCs w:val="18"/>
              </w:rPr>
            </w:pPr>
            <w:r>
              <w:rPr>
                <w:rFonts w:ascii="宋体" w:hAnsi="宋体" w:eastAsia="宋体"/>
                <w:color w:val="000000"/>
                <w:kern w:val="0"/>
                <w:sz w:val="18"/>
                <w:szCs w:val="18"/>
              </w:rPr>
              <w:t>人员类</w:t>
            </w:r>
          </w:p>
        </w:tc>
        <w:tc>
          <w:tcPr>
            <w:tcW w:w="994" w:type="dxa"/>
            <w:tcBorders>
              <w:top w:val="nil"/>
              <w:left w:val="nil"/>
              <w:bottom w:val="single" w:color="auto" w:sz="4" w:space="0"/>
              <w:right w:val="single" w:color="auto" w:sz="4" w:space="0"/>
            </w:tcBorders>
            <w:noWrap w:val="0"/>
            <w:vAlign w:val="center"/>
          </w:tcPr>
          <w:p>
            <w:pPr>
              <w:widowControl/>
              <w:snapToGrid w:val="0"/>
              <w:jc w:val="center"/>
              <w:rPr>
                <w:rFonts w:ascii="宋体" w:hAnsi="宋体" w:eastAsia="宋体"/>
                <w:color w:val="000000"/>
                <w:kern w:val="0"/>
                <w:sz w:val="18"/>
                <w:szCs w:val="18"/>
              </w:rPr>
            </w:pPr>
            <w:r>
              <w:rPr>
                <w:rFonts w:ascii="宋体" w:hAnsi="宋体" w:eastAsia="宋体"/>
                <w:color w:val="000000"/>
                <w:kern w:val="0"/>
                <w:sz w:val="18"/>
                <w:szCs w:val="18"/>
              </w:rPr>
              <w:t>从业人员资格资质类</w:t>
            </w:r>
          </w:p>
        </w:tc>
        <w:tc>
          <w:tcPr>
            <w:tcW w:w="4725"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施工单位未按规定数量配备专职安全生产管理人员。</w:t>
            </w:r>
          </w:p>
        </w:tc>
        <w:tc>
          <w:tcPr>
            <w:tcW w:w="5692"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《北京市建设工程施工现场管理办法》第10条，《北京市房屋建筑和市政基础设施工程重大生产安全事故隐患判定导则》第3.0.2条</w:t>
            </w:r>
          </w:p>
        </w:tc>
        <w:tc>
          <w:tcPr>
            <w:tcW w:w="584" w:type="dxa"/>
            <w:tcBorders>
              <w:top w:val="nil"/>
              <w:left w:val="nil"/>
              <w:bottom w:val="single" w:color="auto" w:sz="4" w:space="0"/>
              <w:right w:val="single" w:color="auto" w:sz="12" w:space="0"/>
            </w:tcBorders>
            <w:noWrap w:val="0"/>
            <w:vAlign w:val="center"/>
          </w:tcPr>
          <w:p>
            <w:pPr>
              <w:widowControl/>
              <w:snapToGrid w:val="0"/>
              <w:jc w:val="center"/>
              <w:rPr>
                <w:rFonts w:ascii="宋体" w:hAnsi="宋体" w:eastAsia="宋体"/>
                <w:color w:val="000000"/>
                <w:kern w:val="0"/>
                <w:sz w:val="18"/>
                <w:szCs w:val="18"/>
              </w:rPr>
            </w:pPr>
          </w:p>
        </w:tc>
      </w:tr>
      <w:tr>
        <w:tblPrEx>
          <w:tblLayout w:type="fixed"/>
          <w:tblCellMar>
            <w:top w:w="0" w:type="dxa"/>
            <w:left w:w="108" w:type="dxa"/>
            <w:bottom w:w="0" w:type="dxa"/>
            <w:right w:w="108" w:type="dxa"/>
          </w:tblCellMar>
        </w:tblPrEx>
        <w:trPr>
          <w:cantSplit/>
          <w:jc w:val="center"/>
        </w:trPr>
        <w:tc>
          <w:tcPr>
            <w:tcW w:w="1668" w:type="dxa"/>
            <w:tcBorders>
              <w:top w:val="nil"/>
              <w:left w:val="single" w:color="auto" w:sz="12" w:space="0"/>
              <w:bottom w:val="single" w:color="auto" w:sz="4" w:space="0"/>
              <w:right w:val="single" w:color="auto" w:sz="4" w:space="0"/>
            </w:tcBorders>
            <w:noWrap w:val="0"/>
            <w:vAlign w:val="center"/>
          </w:tcPr>
          <w:p>
            <w:pPr>
              <w:widowControl/>
              <w:snapToGrid w:val="0"/>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eastAsia="zh-CN"/>
              </w:rPr>
              <w:t>2023</w:t>
            </w:r>
            <w:r>
              <w:rPr>
                <w:rFonts w:ascii="宋体" w:hAnsi="宋体" w:eastAsia="宋体"/>
                <w:color w:val="000000"/>
                <w:kern w:val="0"/>
                <w:sz w:val="18"/>
                <w:szCs w:val="18"/>
              </w:rPr>
              <w:t>.004.03.0</w:t>
            </w:r>
            <w:r>
              <w:rPr>
                <w:rFonts w:hint="eastAsia" w:ascii="宋体" w:hAnsi="宋体" w:eastAsia="宋体"/>
                <w:color w:val="000000"/>
                <w:kern w:val="0"/>
                <w:sz w:val="18"/>
                <w:szCs w:val="18"/>
                <w:lang w:val="en-US" w:eastAsia="zh-CN"/>
              </w:rPr>
              <w:t>04</w:t>
            </w:r>
          </w:p>
        </w:tc>
        <w:tc>
          <w:tcPr>
            <w:tcW w:w="1002"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olor w:val="000000"/>
                <w:kern w:val="0"/>
                <w:sz w:val="18"/>
                <w:szCs w:val="18"/>
                <w:lang w:eastAsia="zh-CN"/>
              </w:rPr>
            </w:pPr>
            <w:r>
              <w:rPr>
                <w:rFonts w:hint="eastAsia" w:ascii="宋体" w:hAnsi="宋体"/>
                <w:color w:val="000000"/>
                <w:kern w:val="0"/>
                <w:sz w:val="18"/>
                <w:szCs w:val="18"/>
                <w:lang w:eastAsia="zh-CN"/>
              </w:rPr>
              <w:t>人员类</w:t>
            </w:r>
          </w:p>
        </w:tc>
        <w:tc>
          <w:tcPr>
            <w:tcW w:w="994" w:type="dxa"/>
            <w:tcBorders>
              <w:top w:val="nil"/>
              <w:left w:val="nil"/>
              <w:bottom w:val="single" w:color="auto" w:sz="4" w:space="0"/>
              <w:right w:val="single" w:color="auto" w:sz="4" w:space="0"/>
            </w:tcBorders>
            <w:noWrap w:val="0"/>
            <w:vAlign w:val="center"/>
          </w:tcPr>
          <w:p>
            <w:pPr>
              <w:widowControl/>
              <w:snapToGrid w:val="0"/>
              <w:jc w:val="center"/>
              <w:rPr>
                <w:rFonts w:ascii="宋体" w:hAnsi="宋体" w:eastAsia="宋体"/>
                <w:color w:val="000000"/>
                <w:kern w:val="0"/>
                <w:sz w:val="18"/>
                <w:szCs w:val="18"/>
              </w:rPr>
            </w:pPr>
            <w:r>
              <w:rPr>
                <w:rFonts w:ascii="宋体" w:hAnsi="宋体" w:eastAsia="宋体"/>
                <w:color w:val="000000"/>
                <w:kern w:val="0"/>
                <w:sz w:val="18"/>
                <w:szCs w:val="18"/>
              </w:rPr>
              <w:t>从业人员资格资质类</w:t>
            </w:r>
          </w:p>
        </w:tc>
        <w:tc>
          <w:tcPr>
            <w:tcW w:w="4725"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olor w:val="000000"/>
                <w:kern w:val="0"/>
                <w:sz w:val="18"/>
                <w:szCs w:val="18"/>
                <w:lang w:eastAsia="zh-CN"/>
              </w:rPr>
            </w:pPr>
            <w:r>
              <w:rPr>
                <w:rFonts w:hint="eastAsia" w:ascii="宋体" w:hAnsi="宋体" w:eastAsia="宋体"/>
                <w:color w:val="000000"/>
                <w:kern w:val="0"/>
                <w:sz w:val="18"/>
                <w:szCs w:val="18"/>
              </w:rPr>
              <w:t>施工单位的主</w:t>
            </w:r>
            <w:bookmarkStart w:id="3" w:name="_GoBack"/>
            <w:bookmarkEnd w:id="3"/>
            <w:r>
              <w:rPr>
                <w:rFonts w:hint="eastAsia" w:ascii="宋体" w:hAnsi="宋体" w:eastAsia="宋体"/>
                <w:color w:val="000000"/>
                <w:kern w:val="0"/>
                <w:sz w:val="18"/>
                <w:szCs w:val="18"/>
              </w:rPr>
              <w:t>要负责人、项目负责人、专职安全生产管理人员未取得安全生产考核合格证书从事相关工作</w:t>
            </w:r>
            <w:r>
              <w:rPr>
                <w:rFonts w:hint="eastAsia" w:ascii="宋体" w:hAnsi="宋体"/>
                <w:color w:val="000000"/>
                <w:kern w:val="0"/>
                <w:sz w:val="18"/>
                <w:szCs w:val="18"/>
                <w:lang w:eastAsia="zh-CN"/>
              </w:rPr>
              <w:t>。</w:t>
            </w:r>
          </w:p>
        </w:tc>
        <w:tc>
          <w:tcPr>
            <w:tcW w:w="5692"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hint="eastAsia" w:ascii="宋体" w:hAnsi="宋体" w:eastAsia="宋体"/>
                <w:color w:val="000000"/>
                <w:kern w:val="0"/>
                <w:sz w:val="18"/>
                <w:szCs w:val="18"/>
              </w:rPr>
              <w:t>《房屋市政工程生产安全重大事故隐患判定标准（2022版）》</w:t>
            </w:r>
            <w:r>
              <w:rPr>
                <w:rFonts w:hint="eastAsia" w:ascii="宋体" w:hAnsi="宋体"/>
                <w:color w:val="000000"/>
                <w:kern w:val="0"/>
                <w:sz w:val="18"/>
                <w:szCs w:val="18"/>
                <w:lang w:eastAsia="zh-CN"/>
              </w:rPr>
              <w:t>第四条</w:t>
            </w:r>
          </w:p>
        </w:tc>
        <w:tc>
          <w:tcPr>
            <w:tcW w:w="584" w:type="dxa"/>
            <w:tcBorders>
              <w:top w:val="nil"/>
              <w:left w:val="nil"/>
              <w:bottom w:val="single" w:color="auto" w:sz="4" w:space="0"/>
              <w:right w:val="single" w:color="auto" w:sz="12" w:space="0"/>
            </w:tcBorders>
            <w:noWrap w:val="0"/>
            <w:vAlign w:val="center"/>
          </w:tcPr>
          <w:p>
            <w:pPr>
              <w:widowControl/>
              <w:snapToGrid w:val="0"/>
              <w:jc w:val="center"/>
              <w:rPr>
                <w:rFonts w:ascii="宋体" w:hAnsi="宋体" w:eastAsia="宋体"/>
                <w:color w:val="000000"/>
                <w:kern w:val="0"/>
                <w:sz w:val="18"/>
                <w:szCs w:val="18"/>
              </w:rPr>
            </w:pPr>
            <w:r>
              <w:rPr>
                <w:rFonts w:ascii="宋体" w:hAnsi="宋体" w:eastAsia="宋体" w:cs="Segoe UI Symbol"/>
                <w:color w:val="000000"/>
                <w:kern w:val="0"/>
                <w:sz w:val="18"/>
                <w:szCs w:val="18"/>
              </w:rPr>
              <w:t>★</w:t>
            </w:r>
          </w:p>
        </w:tc>
      </w:tr>
      <w:tr>
        <w:tblPrEx>
          <w:tblLayout w:type="fixed"/>
          <w:tblCellMar>
            <w:top w:w="0" w:type="dxa"/>
            <w:left w:w="108" w:type="dxa"/>
            <w:bottom w:w="0" w:type="dxa"/>
            <w:right w:w="108" w:type="dxa"/>
          </w:tblCellMar>
        </w:tblPrEx>
        <w:trPr>
          <w:cantSplit/>
          <w:jc w:val="center"/>
        </w:trPr>
        <w:tc>
          <w:tcPr>
            <w:tcW w:w="1668" w:type="dxa"/>
            <w:tcBorders>
              <w:top w:val="nil"/>
              <w:left w:val="single" w:color="auto" w:sz="12" w:space="0"/>
              <w:bottom w:val="single" w:color="auto" w:sz="4" w:space="0"/>
              <w:right w:val="single" w:color="auto" w:sz="4" w:space="0"/>
            </w:tcBorders>
            <w:noWrap w:val="0"/>
            <w:vAlign w:val="center"/>
          </w:tcPr>
          <w:p>
            <w:pPr>
              <w:widowControl/>
              <w:snapToGrid w:val="0"/>
              <w:jc w:val="center"/>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eastAsia="zh-CN"/>
              </w:rPr>
              <w:t>2023</w:t>
            </w:r>
            <w:r>
              <w:rPr>
                <w:rFonts w:ascii="宋体" w:hAnsi="宋体" w:eastAsia="宋体"/>
                <w:color w:val="000000"/>
                <w:kern w:val="0"/>
                <w:sz w:val="18"/>
                <w:szCs w:val="18"/>
              </w:rPr>
              <w:t>.004.03.00</w:t>
            </w:r>
            <w:r>
              <w:rPr>
                <w:rFonts w:hint="eastAsia" w:ascii="宋体" w:hAnsi="宋体"/>
                <w:color w:val="000000"/>
                <w:kern w:val="0"/>
                <w:sz w:val="18"/>
                <w:szCs w:val="18"/>
                <w:lang w:val="en-US" w:eastAsia="zh-CN"/>
              </w:rPr>
              <w:t>5</w:t>
            </w:r>
          </w:p>
        </w:tc>
        <w:tc>
          <w:tcPr>
            <w:tcW w:w="1002" w:type="dxa"/>
            <w:vMerge w:val="restart"/>
            <w:tcBorders>
              <w:top w:val="nil"/>
              <w:left w:val="nil"/>
              <w:right w:val="single" w:color="auto" w:sz="4" w:space="0"/>
            </w:tcBorders>
            <w:noWrap w:val="0"/>
            <w:vAlign w:val="center"/>
          </w:tcPr>
          <w:p>
            <w:pPr>
              <w:widowControl/>
              <w:snapToGrid w:val="0"/>
              <w:jc w:val="center"/>
              <w:rPr>
                <w:rFonts w:ascii="宋体" w:hAnsi="宋体" w:eastAsia="宋体"/>
                <w:color w:val="000000"/>
                <w:kern w:val="0"/>
                <w:sz w:val="18"/>
                <w:szCs w:val="18"/>
              </w:rPr>
            </w:pPr>
            <w:r>
              <w:rPr>
                <w:rFonts w:ascii="宋体" w:hAnsi="宋体" w:eastAsia="宋体"/>
                <w:color w:val="000000"/>
                <w:kern w:val="0"/>
                <w:sz w:val="18"/>
                <w:szCs w:val="18"/>
              </w:rPr>
              <w:t>安全管理类</w:t>
            </w:r>
          </w:p>
        </w:tc>
        <w:tc>
          <w:tcPr>
            <w:tcW w:w="994" w:type="dxa"/>
            <w:vMerge w:val="restart"/>
            <w:tcBorders>
              <w:top w:val="nil"/>
              <w:left w:val="nil"/>
              <w:right w:val="single" w:color="auto" w:sz="4" w:space="0"/>
            </w:tcBorders>
            <w:noWrap w:val="0"/>
            <w:vAlign w:val="center"/>
          </w:tcPr>
          <w:p>
            <w:pPr>
              <w:widowControl/>
              <w:snapToGrid w:val="0"/>
              <w:jc w:val="center"/>
              <w:rPr>
                <w:rFonts w:ascii="宋体" w:hAnsi="宋体" w:eastAsia="宋体"/>
                <w:color w:val="000000"/>
                <w:kern w:val="0"/>
                <w:sz w:val="18"/>
                <w:szCs w:val="18"/>
              </w:rPr>
            </w:pPr>
            <w:r>
              <w:rPr>
                <w:rFonts w:ascii="宋体" w:hAnsi="宋体" w:eastAsia="宋体"/>
                <w:color w:val="000000"/>
                <w:kern w:val="0"/>
                <w:sz w:val="18"/>
                <w:szCs w:val="18"/>
              </w:rPr>
              <w:t>其他安全管理类</w:t>
            </w:r>
          </w:p>
        </w:tc>
        <w:tc>
          <w:tcPr>
            <w:tcW w:w="4725"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危险性较大的分部分项工程（以下简称“危大工程”）未编制、审核专项施工方案，未按规定对超过一定规模的危险性较大的分部分项工程（以下简称“超危大工程”）专项施工方案进行专家论证；未根据专家论证报告对超危大工程专项施工方案进行修改，或者未重新组织专家论证；未严格按照专项施工方案组织施工。</w:t>
            </w:r>
          </w:p>
        </w:tc>
        <w:tc>
          <w:tcPr>
            <w:tcW w:w="5692"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《危险性较大的分部分项工程安全管理规定》第3章，</w:t>
            </w:r>
            <w:r>
              <w:rPr>
                <w:rFonts w:hint="eastAsia" w:ascii="宋体" w:hAnsi="宋体" w:eastAsia="宋体"/>
                <w:color w:val="000000"/>
                <w:kern w:val="0"/>
                <w:sz w:val="18"/>
                <w:szCs w:val="18"/>
              </w:rPr>
              <w:t>《房屋市政工程生产安全重大事故隐患判定标准（2022版）》</w:t>
            </w:r>
            <w:r>
              <w:rPr>
                <w:rFonts w:hint="eastAsia" w:ascii="宋体" w:hAnsi="宋体"/>
                <w:color w:val="000000"/>
                <w:kern w:val="0"/>
                <w:sz w:val="18"/>
                <w:szCs w:val="18"/>
                <w:lang w:eastAsia="zh-CN"/>
              </w:rPr>
              <w:t>第四条。</w:t>
            </w:r>
            <w:r>
              <w:rPr>
                <w:rFonts w:ascii="宋体" w:hAnsi="宋体" w:eastAsia="宋体"/>
                <w:color w:val="000000"/>
                <w:kern w:val="0"/>
                <w:sz w:val="18"/>
                <w:szCs w:val="18"/>
              </w:rPr>
              <w:t>《北京市房屋建筑和市政基础设施工程重大生产安全事故隐患判定导则》第3.0.3条</w:t>
            </w:r>
          </w:p>
        </w:tc>
        <w:tc>
          <w:tcPr>
            <w:tcW w:w="584" w:type="dxa"/>
            <w:tcBorders>
              <w:top w:val="nil"/>
              <w:left w:val="nil"/>
              <w:bottom w:val="single" w:color="auto" w:sz="4" w:space="0"/>
              <w:right w:val="single" w:color="auto" w:sz="12" w:space="0"/>
            </w:tcBorders>
            <w:noWrap w:val="0"/>
            <w:vAlign w:val="center"/>
          </w:tcPr>
          <w:p>
            <w:pPr>
              <w:widowControl/>
              <w:snapToGrid w:val="0"/>
              <w:jc w:val="center"/>
              <w:rPr>
                <w:rFonts w:ascii="宋体" w:hAnsi="宋体" w:eastAsia="宋体"/>
                <w:color w:val="000000"/>
                <w:kern w:val="0"/>
                <w:sz w:val="18"/>
                <w:szCs w:val="18"/>
              </w:rPr>
            </w:pPr>
            <w:r>
              <w:rPr>
                <w:rFonts w:ascii="宋体" w:hAnsi="宋体" w:eastAsia="宋体" w:cs="Segoe UI Symbol"/>
                <w:color w:val="000000"/>
                <w:kern w:val="0"/>
                <w:sz w:val="18"/>
                <w:szCs w:val="18"/>
              </w:rPr>
              <w:t>★</w:t>
            </w:r>
          </w:p>
        </w:tc>
      </w:tr>
      <w:tr>
        <w:tblPrEx>
          <w:tblLayout w:type="fixed"/>
          <w:tblCellMar>
            <w:top w:w="0" w:type="dxa"/>
            <w:left w:w="108" w:type="dxa"/>
            <w:bottom w:w="0" w:type="dxa"/>
            <w:right w:w="108" w:type="dxa"/>
          </w:tblCellMar>
        </w:tblPrEx>
        <w:trPr>
          <w:cantSplit/>
          <w:jc w:val="center"/>
        </w:trPr>
        <w:tc>
          <w:tcPr>
            <w:tcW w:w="1668" w:type="dxa"/>
            <w:tcBorders>
              <w:top w:val="nil"/>
              <w:left w:val="single" w:color="auto" w:sz="12" w:space="0"/>
              <w:bottom w:val="single" w:color="auto" w:sz="4" w:space="0"/>
              <w:right w:val="single" w:color="auto" w:sz="4" w:space="0"/>
            </w:tcBorders>
            <w:noWrap w:val="0"/>
            <w:vAlign w:val="center"/>
          </w:tcPr>
          <w:p>
            <w:pPr>
              <w:widowControl/>
              <w:snapToGrid w:val="0"/>
              <w:jc w:val="center"/>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eastAsia="zh-CN"/>
              </w:rPr>
              <w:t>2023</w:t>
            </w:r>
            <w:r>
              <w:rPr>
                <w:rFonts w:ascii="宋体" w:hAnsi="宋体" w:eastAsia="宋体"/>
                <w:color w:val="000000"/>
                <w:kern w:val="0"/>
                <w:sz w:val="18"/>
                <w:szCs w:val="18"/>
              </w:rPr>
              <w:t>.004.03.00</w:t>
            </w:r>
            <w:r>
              <w:rPr>
                <w:rFonts w:hint="eastAsia" w:ascii="宋体" w:hAnsi="宋体"/>
                <w:color w:val="000000"/>
                <w:kern w:val="0"/>
                <w:sz w:val="18"/>
                <w:szCs w:val="18"/>
                <w:lang w:val="en-US" w:eastAsia="zh-CN"/>
              </w:rPr>
              <w:t>6</w:t>
            </w:r>
          </w:p>
        </w:tc>
        <w:tc>
          <w:tcPr>
            <w:tcW w:w="1002" w:type="dxa"/>
            <w:vMerge w:val="continue"/>
            <w:tcBorders>
              <w:left w:val="nil"/>
              <w:bottom w:val="single" w:color="auto" w:sz="4" w:space="0"/>
              <w:right w:val="single" w:color="auto" w:sz="4" w:space="0"/>
            </w:tcBorders>
            <w:noWrap w:val="0"/>
            <w:vAlign w:val="center"/>
          </w:tcPr>
          <w:p>
            <w:pPr>
              <w:widowControl/>
              <w:snapToGrid w:val="0"/>
              <w:jc w:val="center"/>
              <w:rPr>
                <w:rFonts w:ascii="宋体" w:hAnsi="宋体" w:eastAsia="宋体"/>
                <w:color w:val="000000"/>
                <w:kern w:val="0"/>
                <w:sz w:val="18"/>
                <w:szCs w:val="18"/>
              </w:rPr>
            </w:pPr>
          </w:p>
        </w:tc>
        <w:tc>
          <w:tcPr>
            <w:tcW w:w="994" w:type="dxa"/>
            <w:vMerge w:val="continue"/>
            <w:tcBorders>
              <w:left w:val="nil"/>
              <w:bottom w:val="single" w:color="auto" w:sz="4" w:space="0"/>
              <w:right w:val="single" w:color="auto" w:sz="4" w:space="0"/>
            </w:tcBorders>
            <w:noWrap w:val="0"/>
            <w:vAlign w:val="center"/>
          </w:tcPr>
          <w:p>
            <w:pPr>
              <w:widowControl/>
              <w:snapToGrid w:val="0"/>
              <w:jc w:val="center"/>
              <w:rPr>
                <w:rFonts w:ascii="宋体" w:hAnsi="宋体" w:eastAsia="宋体"/>
                <w:color w:val="000000"/>
                <w:kern w:val="0"/>
                <w:sz w:val="18"/>
                <w:szCs w:val="18"/>
              </w:rPr>
            </w:pPr>
          </w:p>
        </w:tc>
        <w:tc>
          <w:tcPr>
            <w:tcW w:w="4725"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对于按照规定需要验收的危险性较大的分部分项工程，未验收合格即进入下一道工序。</w:t>
            </w:r>
          </w:p>
        </w:tc>
        <w:tc>
          <w:tcPr>
            <w:tcW w:w="5692"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《危险性较大的分部分项工程安全管理规定》第21条，《北京市房屋建筑和市政基础设施工程重大生产安全事故隐患判定导则》第3.0.4条</w:t>
            </w:r>
          </w:p>
        </w:tc>
        <w:tc>
          <w:tcPr>
            <w:tcW w:w="584" w:type="dxa"/>
            <w:tcBorders>
              <w:top w:val="nil"/>
              <w:left w:val="nil"/>
              <w:bottom w:val="single" w:color="auto" w:sz="4" w:space="0"/>
              <w:right w:val="single" w:color="auto" w:sz="12" w:space="0"/>
            </w:tcBorders>
            <w:noWrap w:val="0"/>
            <w:vAlign w:val="center"/>
          </w:tcPr>
          <w:p>
            <w:pPr>
              <w:widowControl/>
              <w:snapToGrid w:val="0"/>
              <w:jc w:val="center"/>
              <w:rPr>
                <w:rFonts w:ascii="宋体" w:hAnsi="宋体" w:eastAsia="宋体"/>
                <w:color w:val="000000"/>
                <w:kern w:val="0"/>
                <w:sz w:val="18"/>
                <w:szCs w:val="18"/>
              </w:rPr>
            </w:pPr>
          </w:p>
        </w:tc>
      </w:tr>
      <w:tr>
        <w:tblPrEx>
          <w:tblLayout w:type="fixed"/>
          <w:tblCellMar>
            <w:top w:w="0" w:type="dxa"/>
            <w:left w:w="108" w:type="dxa"/>
            <w:bottom w:w="0" w:type="dxa"/>
            <w:right w:w="108" w:type="dxa"/>
          </w:tblCellMar>
        </w:tblPrEx>
        <w:trPr>
          <w:cantSplit/>
          <w:jc w:val="center"/>
        </w:trPr>
        <w:tc>
          <w:tcPr>
            <w:tcW w:w="1668" w:type="dxa"/>
            <w:tcBorders>
              <w:top w:val="nil"/>
              <w:left w:val="single" w:color="auto" w:sz="12" w:space="0"/>
              <w:bottom w:val="single" w:color="auto" w:sz="4" w:space="0"/>
              <w:right w:val="single" w:color="auto" w:sz="4" w:space="0"/>
            </w:tcBorders>
            <w:noWrap w:val="0"/>
            <w:vAlign w:val="center"/>
          </w:tcPr>
          <w:p>
            <w:pPr>
              <w:widowControl/>
              <w:snapToGrid w:val="0"/>
              <w:jc w:val="center"/>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eastAsia="zh-CN"/>
              </w:rPr>
              <w:t>2023</w:t>
            </w:r>
            <w:r>
              <w:rPr>
                <w:rFonts w:ascii="宋体" w:hAnsi="宋体" w:eastAsia="宋体"/>
                <w:color w:val="000000"/>
                <w:kern w:val="0"/>
                <w:sz w:val="18"/>
                <w:szCs w:val="18"/>
              </w:rPr>
              <w:t>.004.03.00</w:t>
            </w:r>
            <w:r>
              <w:rPr>
                <w:rFonts w:hint="eastAsia" w:ascii="宋体" w:hAnsi="宋体"/>
                <w:color w:val="000000"/>
                <w:kern w:val="0"/>
                <w:sz w:val="18"/>
                <w:szCs w:val="18"/>
                <w:lang w:val="en-US" w:eastAsia="zh-CN"/>
              </w:rPr>
              <w:t>7</w:t>
            </w:r>
          </w:p>
        </w:tc>
        <w:tc>
          <w:tcPr>
            <w:tcW w:w="1002" w:type="dxa"/>
            <w:tcBorders>
              <w:top w:val="nil"/>
              <w:left w:val="nil"/>
              <w:bottom w:val="single" w:color="auto" w:sz="4" w:space="0"/>
              <w:right w:val="single" w:color="auto" w:sz="4" w:space="0"/>
            </w:tcBorders>
            <w:noWrap w:val="0"/>
            <w:vAlign w:val="center"/>
          </w:tcPr>
          <w:p>
            <w:pPr>
              <w:widowControl/>
              <w:snapToGrid w:val="0"/>
              <w:jc w:val="center"/>
              <w:rPr>
                <w:rFonts w:ascii="宋体" w:hAnsi="宋体" w:eastAsia="宋体"/>
                <w:color w:val="000000"/>
                <w:kern w:val="0"/>
                <w:sz w:val="18"/>
                <w:szCs w:val="18"/>
              </w:rPr>
            </w:pPr>
            <w:r>
              <w:rPr>
                <w:rFonts w:ascii="宋体" w:hAnsi="宋体" w:eastAsia="宋体"/>
                <w:color w:val="000000"/>
                <w:kern w:val="0"/>
                <w:sz w:val="18"/>
                <w:szCs w:val="18"/>
              </w:rPr>
              <w:t>人员类</w:t>
            </w:r>
          </w:p>
        </w:tc>
        <w:tc>
          <w:tcPr>
            <w:tcW w:w="994" w:type="dxa"/>
            <w:tcBorders>
              <w:top w:val="nil"/>
              <w:left w:val="nil"/>
              <w:bottom w:val="single" w:color="auto" w:sz="4" w:space="0"/>
              <w:right w:val="single" w:color="auto" w:sz="4" w:space="0"/>
            </w:tcBorders>
            <w:noWrap w:val="0"/>
            <w:vAlign w:val="center"/>
          </w:tcPr>
          <w:p>
            <w:pPr>
              <w:widowControl/>
              <w:snapToGrid w:val="0"/>
              <w:jc w:val="center"/>
              <w:rPr>
                <w:rFonts w:ascii="宋体" w:hAnsi="宋体" w:eastAsia="宋体"/>
                <w:color w:val="000000"/>
                <w:kern w:val="0"/>
                <w:sz w:val="18"/>
                <w:szCs w:val="18"/>
              </w:rPr>
            </w:pPr>
            <w:r>
              <w:rPr>
                <w:rFonts w:ascii="宋体" w:hAnsi="宋体" w:eastAsia="宋体"/>
                <w:color w:val="000000"/>
                <w:kern w:val="0"/>
                <w:sz w:val="18"/>
                <w:szCs w:val="18"/>
              </w:rPr>
              <w:t>从业人员资格资质类</w:t>
            </w:r>
          </w:p>
        </w:tc>
        <w:tc>
          <w:tcPr>
            <w:tcW w:w="4725"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特种作业人员未持证上岗。</w:t>
            </w:r>
          </w:p>
        </w:tc>
        <w:tc>
          <w:tcPr>
            <w:tcW w:w="5692"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《特种作业人员安全技术培训考核管理规定》第5条，</w:t>
            </w:r>
            <w:r>
              <w:rPr>
                <w:rFonts w:hint="eastAsia" w:ascii="宋体" w:hAnsi="宋体" w:eastAsia="宋体"/>
                <w:color w:val="000000"/>
                <w:kern w:val="0"/>
                <w:sz w:val="18"/>
                <w:szCs w:val="18"/>
              </w:rPr>
              <w:t>《房屋市政工程生产安全重大事故隐患判定标准（2022版）》</w:t>
            </w:r>
            <w:r>
              <w:rPr>
                <w:rFonts w:hint="eastAsia" w:ascii="宋体" w:hAnsi="宋体"/>
                <w:color w:val="000000"/>
                <w:kern w:val="0"/>
                <w:sz w:val="18"/>
                <w:szCs w:val="18"/>
                <w:lang w:eastAsia="zh-CN"/>
              </w:rPr>
              <w:t>第四条。</w:t>
            </w:r>
            <w:r>
              <w:rPr>
                <w:rFonts w:ascii="宋体" w:hAnsi="宋体" w:eastAsia="宋体"/>
                <w:color w:val="000000"/>
                <w:kern w:val="0"/>
                <w:sz w:val="18"/>
                <w:szCs w:val="18"/>
              </w:rPr>
              <w:t>《北京市房屋建筑和市政基础设施工程重大生产安全事故隐患判定导则》第3.0.5条</w:t>
            </w:r>
          </w:p>
        </w:tc>
        <w:tc>
          <w:tcPr>
            <w:tcW w:w="584" w:type="dxa"/>
            <w:tcBorders>
              <w:top w:val="nil"/>
              <w:left w:val="nil"/>
              <w:bottom w:val="single" w:color="auto" w:sz="4" w:space="0"/>
              <w:right w:val="single" w:color="auto" w:sz="12" w:space="0"/>
            </w:tcBorders>
            <w:noWrap w:val="0"/>
            <w:vAlign w:val="center"/>
          </w:tcPr>
          <w:p>
            <w:pPr>
              <w:widowControl/>
              <w:snapToGrid w:val="0"/>
              <w:jc w:val="center"/>
              <w:rPr>
                <w:rFonts w:ascii="宋体" w:hAnsi="宋体" w:eastAsia="宋体"/>
                <w:color w:val="000000"/>
                <w:kern w:val="0"/>
                <w:sz w:val="18"/>
                <w:szCs w:val="18"/>
              </w:rPr>
            </w:pPr>
            <w:r>
              <w:rPr>
                <w:rFonts w:ascii="宋体" w:hAnsi="宋体" w:eastAsia="宋体" w:cs="Segoe UI Symbol"/>
                <w:color w:val="000000"/>
                <w:kern w:val="0"/>
                <w:sz w:val="18"/>
                <w:szCs w:val="18"/>
              </w:rPr>
              <w:t>★</w:t>
            </w:r>
          </w:p>
        </w:tc>
      </w:tr>
      <w:tr>
        <w:tblPrEx>
          <w:tblLayout w:type="fixed"/>
          <w:tblCellMar>
            <w:top w:w="0" w:type="dxa"/>
            <w:left w:w="108" w:type="dxa"/>
            <w:bottom w:w="0" w:type="dxa"/>
            <w:right w:w="108" w:type="dxa"/>
          </w:tblCellMar>
        </w:tblPrEx>
        <w:trPr>
          <w:cantSplit/>
          <w:jc w:val="center"/>
        </w:trPr>
        <w:tc>
          <w:tcPr>
            <w:tcW w:w="1668" w:type="dxa"/>
            <w:tcBorders>
              <w:top w:val="nil"/>
              <w:left w:val="single" w:color="auto" w:sz="12" w:space="0"/>
              <w:bottom w:val="single" w:color="auto" w:sz="4" w:space="0"/>
              <w:right w:val="single" w:color="auto" w:sz="4" w:space="0"/>
            </w:tcBorders>
            <w:noWrap w:val="0"/>
            <w:vAlign w:val="center"/>
          </w:tcPr>
          <w:p>
            <w:pPr>
              <w:widowControl/>
              <w:snapToGrid w:val="0"/>
              <w:jc w:val="center"/>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eastAsia="zh-CN"/>
              </w:rPr>
              <w:t>2023</w:t>
            </w:r>
            <w:r>
              <w:rPr>
                <w:rFonts w:ascii="宋体" w:hAnsi="宋体" w:eastAsia="宋体"/>
                <w:color w:val="000000"/>
                <w:kern w:val="0"/>
                <w:sz w:val="18"/>
                <w:szCs w:val="18"/>
              </w:rPr>
              <w:t>.004.03.00</w:t>
            </w:r>
            <w:r>
              <w:rPr>
                <w:rFonts w:hint="eastAsia" w:ascii="宋体" w:hAnsi="宋体"/>
                <w:color w:val="000000"/>
                <w:kern w:val="0"/>
                <w:sz w:val="18"/>
                <w:szCs w:val="18"/>
                <w:lang w:val="en-US" w:eastAsia="zh-CN"/>
              </w:rPr>
              <w:t>8</w:t>
            </w:r>
          </w:p>
        </w:tc>
        <w:tc>
          <w:tcPr>
            <w:tcW w:w="1002" w:type="dxa"/>
            <w:tcBorders>
              <w:top w:val="nil"/>
              <w:left w:val="nil"/>
              <w:bottom w:val="single" w:color="auto" w:sz="4" w:space="0"/>
              <w:right w:val="single" w:color="auto" w:sz="4" w:space="0"/>
            </w:tcBorders>
            <w:noWrap w:val="0"/>
            <w:vAlign w:val="center"/>
          </w:tcPr>
          <w:p>
            <w:pPr>
              <w:widowControl/>
              <w:snapToGrid w:val="0"/>
              <w:jc w:val="center"/>
              <w:rPr>
                <w:rFonts w:ascii="宋体" w:hAnsi="宋体" w:eastAsia="宋体"/>
                <w:color w:val="000000"/>
                <w:kern w:val="0"/>
                <w:sz w:val="18"/>
                <w:szCs w:val="18"/>
              </w:rPr>
            </w:pPr>
            <w:r>
              <w:rPr>
                <w:rFonts w:ascii="宋体" w:hAnsi="宋体" w:eastAsia="宋体"/>
                <w:color w:val="000000"/>
                <w:kern w:val="0"/>
                <w:sz w:val="18"/>
                <w:szCs w:val="18"/>
              </w:rPr>
              <w:t>设备设施类</w:t>
            </w:r>
          </w:p>
        </w:tc>
        <w:tc>
          <w:tcPr>
            <w:tcW w:w="994" w:type="dxa"/>
            <w:tcBorders>
              <w:top w:val="nil"/>
              <w:left w:val="nil"/>
              <w:bottom w:val="single" w:color="auto" w:sz="4" w:space="0"/>
              <w:right w:val="single" w:color="auto" w:sz="4" w:space="0"/>
            </w:tcBorders>
            <w:noWrap w:val="0"/>
            <w:vAlign w:val="center"/>
          </w:tcPr>
          <w:p>
            <w:pPr>
              <w:widowControl/>
              <w:snapToGrid w:val="0"/>
              <w:jc w:val="center"/>
              <w:rPr>
                <w:rFonts w:ascii="宋体" w:hAnsi="宋体" w:eastAsia="宋体"/>
                <w:color w:val="000000"/>
                <w:kern w:val="0"/>
                <w:sz w:val="18"/>
                <w:szCs w:val="18"/>
              </w:rPr>
            </w:pPr>
            <w:r>
              <w:rPr>
                <w:rFonts w:ascii="宋体" w:hAnsi="宋体" w:eastAsia="宋体"/>
                <w:color w:val="000000"/>
                <w:kern w:val="0"/>
                <w:sz w:val="18"/>
                <w:szCs w:val="18"/>
              </w:rPr>
              <w:t>工艺及生产设备设施类</w:t>
            </w:r>
          </w:p>
        </w:tc>
        <w:tc>
          <w:tcPr>
            <w:tcW w:w="4725"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模板支撑体系和脚手架体系所使用的材料和构配件，未提供产品合格证及质量检验报告；未验收或验收不合格投入使用。</w:t>
            </w:r>
          </w:p>
        </w:tc>
        <w:tc>
          <w:tcPr>
            <w:tcW w:w="5692"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《北京市房屋建筑和市政基础设施工程重大生产安全事故隐患判定导则》第3.0.6条</w:t>
            </w:r>
          </w:p>
        </w:tc>
        <w:tc>
          <w:tcPr>
            <w:tcW w:w="584" w:type="dxa"/>
            <w:tcBorders>
              <w:top w:val="nil"/>
              <w:left w:val="nil"/>
              <w:bottom w:val="single" w:color="auto" w:sz="4" w:space="0"/>
              <w:right w:val="single" w:color="auto" w:sz="12" w:space="0"/>
            </w:tcBorders>
            <w:noWrap w:val="0"/>
            <w:vAlign w:val="center"/>
          </w:tcPr>
          <w:p>
            <w:pPr>
              <w:widowControl/>
              <w:snapToGrid w:val="0"/>
              <w:jc w:val="center"/>
              <w:rPr>
                <w:rFonts w:ascii="宋体" w:hAnsi="宋体" w:eastAsia="宋体"/>
                <w:color w:val="000000"/>
                <w:kern w:val="0"/>
                <w:sz w:val="18"/>
                <w:szCs w:val="18"/>
              </w:rPr>
            </w:pPr>
          </w:p>
        </w:tc>
      </w:tr>
      <w:tr>
        <w:tblPrEx>
          <w:tblLayout w:type="fixed"/>
          <w:tblCellMar>
            <w:top w:w="0" w:type="dxa"/>
            <w:left w:w="108" w:type="dxa"/>
            <w:bottom w:w="0" w:type="dxa"/>
            <w:right w:w="108" w:type="dxa"/>
          </w:tblCellMar>
        </w:tblPrEx>
        <w:trPr>
          <w:cantSplit/>
          <w:jc w:val="center"/>
        </w:trPr>
        <w:tc>
          <w:tcPr>
            <w:tcW w:w="1668" w:type="dxa"/>
            <w:tcBorders>
              <w:top w:val="nil"/>
              <w:left w:val="single" w:color="auto" w:sz="12" w:space="0"/>
              <w:bottom w:val="single" w:color="auto" w:sz="4" w:space="0"/>
              <w:right w:val="single" w:color="auto" w:sz="4" w:space="0"/>
            </w:tcBorders>
            <w:noWrap w:val="0"/>
            <w:vAlign w:val="center"/>
          </w:tcPr>
          <w:p>
            <w:pPr>
              <w:widowControl/>
              <w:snapToGrid w:val="0"/>
              <w:jc w:val="center"/>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eastAsia="zh-CN"/>
              </w:rPr>
              <w:t>2023</w:t>
            </w:r>
            <w:r>
              <w:rPr>
                <w:rFonts w:ascii="宋体" w:hAnsi="宋体" w:eastAsia="宋体"/>
                <w:color w:val="000000"/>
                <w:kern w:val="0"/>
                <w:sz w:val="18"/>
                <w:szCs w:val="18"/>
              </w:rPr>
              <w:t>.004.03.00</w:t>
            </w:r>
            <w:r>
              <w:rPr>
                <w:rFonts w:hint="eastAsia" w:ascii="宋体" w:hAnsi="宋体"/>
                <w:color w:val="000000"/>
                <w:kern w:val="0"/>
                <w:sz w:val="18"/>
                <w:szCs w:val="18"/>
                <w:lang w:val="en-US" w:eastAsia="zh-CN"/>
              </w:rPr>
              <w:t>9</w:t>
            </w:r>
          </w:p>
        </w:tc>
        <w:tc>
          <w:tcPr>
            <w:tcW w:w="1002" w:type="dxa"/>
            <w:vMerge w:val="restart"/>
            <w:tcBorders>
              <w:top w:val="nil"/>
              <w:left w:val="nil"/>
              <w:right w:val="single" w:color="auto" w:sz="4" w:space="0"/>
            </w:tcBorders>
            <w:noWrap w:val="0"/>
            <w:vAlign w:val="center"/>
          </w:tcPr>
          <w:p>
            <w:pPr>
              <w:widowControl/>
              <w:snapToGrid w:val="0"/>
              <w:jc w:val="center"/>
              <w:rPr>
                <w:rFonts w:ascii="宋体" w:hAnsi="宋体" w:eastAsia="宋体"/>
                <w:color w:val="000000"/>
                <w:kern w:val="0"/>
                <w:sz w:val="18"/>
                <w:szCs w:val="18"/>
              </w:rPr>
            </w:pPr>
            <w:r>
              <w:rPr>
                <w:rFonts w:ascii="宋体" w:hAnsi="宋体" w:eastAsia="宋体"/>
                <w:color w:val="000000"/>
                <w:kern w:val="0"/>
                <w:sz w:val="18"/>
                <w:szCs w:val="18"/>
              </w:rPr>
              <w:t>安全管理类</w:t>
            </w:r>
          </w:p>
        </w:tc>
        <w:tc>
          <w:tcPr>
            <w:tcW w:w="994" w:type="dxa"/>
            <w:vMerge w:val="restart"/>
            <w:tcBorders>
              <w:top w:val="nil"/>
              <w:left w:val="nil"/>
              <w:right w:val="single" w:color="auto" w:sz="4" w:space="0"/>
            </w:tcBorders>
            <w:noWrap w:val="0"/>
            <w:vAlign w:val="center"/>
          </w:tcPr>
          <w:p>
            <w:pPr>
              <w:widowControl/>
              <w:snapToGrid w:val="0"/>
              <w:jc w:val="center"/>
              <w:rPr>
                <w:rFonts w:ascii="宋体" w:hAnsi="宋体" w:eastAsia="宋体"/>
                <w:color w:val="000000"/>
                <w:kern w:val="0"/>
                <w:sz w:val="18"/>
                <w:szCs w:val="18"/>
              </w:rPr>
            </w:pPr>
            <w:r>
              <w:rPr>
                <w:rFonts w:ascii="宋体" w:hAnsi="宋体" w:eastAsia="宋体"/>
                <w:color w:val="000000"/>
                <w:kern w:val="0"/>
                <w:sz w:val="18"/>
                <w:szCs w:val="18"/>
              </w:rPr>
              <w:t>其他安全管理类</w:t>
            </w:r>
          </w:p>
        </w:tc>
        <w:tc>
          <w:tcPr>
            <w:tcW w:w="4725"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影响工程施工安全的新技术、新工艺、新材料、新设备进入施工现场，未提供企业标准、成果鉴定、检测报告、产品合格证，未进行专家论证。</w:t>
            </w:r>
          </w:p>
        </w:tc>
        <w:tc>
          <w:tcPr>
            <w:tcW w:w="5692"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《北京市房屋建筑和市政基础设施工程重大生产安全事故隐患判定导则》第3.0.7条</w:t>
            </w:r>
          </w:p>
        </w:tc>
        <w:tc>
          <w:tcPr>
            <w:tcW w:w="584" w:type="dxa"/>
            <w:tcBorders>
              <w:top w:val="nil"/>
              <w:left w:val="nil"/>
              <w:bottom w:val="single" w:color="auto" w:sz="4" w:space="0"/>
              <w:right w:val="single" w:color="auto" w:sz="12" w:space="0"/>
            </w:tcBorders>
            <w:noWrap w:val="0"/>
            <w:vAlign w:val="center"/>
          </w:tcPr>
          <w:p>
            <w:pPr>
              <w:widowControl/>
              <w:snapToGrid w:val="0"/>
              <w:jc w:val="center"/>
              <w:rPr>
                <w:rFonts w:ascii="宋体" w:hAnsi="宋体" w:eastAsia="宋体"/>
                <w:color w:val="000000"/>
                <w:kern w:val="0"/>
                <w:sz w:val="18"/>
                <w:szCs w:val="18"/>
              </w:rPr>
            </w:pPr>
          </w:p>
        </w:tc>
      </w:tr>
      <w:tr>
        <w:tblPrEx>
          <w:tblLayout w:type="fixed"/>
          <w:tblCellMar>
            <w:top w:w="0" w:type="dxa"/>
            <w:left w:w="108" w:type="dxa"/>
            <w:bottom w:w="0" w:type="dxa"/>
            <w:right w:w="108" w:type="dxa"/>
          </w:tblCellMar>
        </w:tblPrEx>
        <w:trPr>
          <w:cantSplit/>
          <w:jc w:val="center"/>
        </w:trPr>
        <w:tc>
          <w:tcPr>
            <w:tcW w:w="1668" w:type="dxa"/>
            <w:tcBorders>
              <w:top w:val="nil"/>
              <w:left w:val="single" w:color="auto" w:sz="12" w:space="0"/>
              <w:bottom w:val="single" w:color="auto" w:sz="4" w:space="0"/>
              <w:right w:val="single" w:color="auto" w:sz="4" w:space="0"/>
            </w:tcBorders>
            <w:noWrap w:val="0"/>
            <w:vAlign w:val="center"/>
          </w:tcPr>
          <w:p>
            <w:pPr>
              <w:widowControl/>
              <w:snapToGrid w:val="0"/>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eastAsia="zh-CN"/>
              </w:rPr>
              <w:t>2023</w:t>
            </w:r>
            <w:r>
              <w:rPr>
                <w:rFonts w:ascii="宋体" w:hAnsi="宋体" w:eastAsia="宋体"/>
                <w:color w:val="000000"/>
                <w:kern w:val="0"/>
                <w:sz w:val="18"/>
                <w:szCs w:val="18"/>
              </w:rPr>
              <w:t>.004.03.0</w:t>
            </w:r>
            <w:r>
              <w:rPr>
                <w:rFonts w:hint="eastAsia" w:ascii="宋体" w:hAnsi="宋体"/>
                <w:color w:val="000000"/>
                <w:kern w:val="0"/>
                <w:sz w:val="18"/>
                <w:szCs w:val="18"/>
                <w:lang w:val="en-US" w:eastAsia="zh-CN"/>
              </w:rPr>
              <w:t>10</w:t>
            </w:r>
          </w:p>
        </w:tc>
        <w:tc>
          <w:tcPr>
            <w:tcW w:w="1002" w:type="dxa"/>
            <w:vMerge w:val="continue"/>
            <w:tcBorders>
              <w:left w:val="nil"/>
              <w:bottom w:val="single" w:color="auto" w:sz="4" w:space="0"/>
              <w:right w:val="single" w:color="auto" w:sz="4" w:space="0"/>
            </w:tcBorders>
            <w:noWrap w:val="0"/>
            <w:vAlign w:val="center"/>
          </w:tcPr>
          <w:p>
            <w:pPr>
              <w:widowControl/>
              <w:snapToGrid w:val="0"/>
              <w:jc w:val="center"/>
              <w:rPr>
                <w:rFonts w:ascii="宋体" w:hAnsi="宋体" w:eastAsia="宋体"/>
                <w:color w:val="000000"/>
                <w:kern w:val="0"/>
                <w:sz w:val="18"/>
                <w:szCs w:val="18"/>
              </w:rPr>
            </w:pPr>
          </w:p>
        </w:tc>
        <w:tc>
          <w:tcPr>
            <w:tcW w:w="994" w:type="dxa"/>
            <w:vMerge w:val="continue"/>
            <w:tcBorders>
              <w:left w:val="nil"/>
              <w:bottom w:val="single" w:color="auto" w:sz="4" w:space="0"/>
              <w:right w:val="single" w:color="auto" w:sz="4" w:space="0"/>
            </w:tcBorders>
            <w:noWrap w:val="0"/>
            <w:vAlign w:val="center"/>
          </w:tcPr>
          <w:p>
            <w:pPr>
              <w:widowControl/>
              <w:snapToGrid w:val="0"/>
              <w:jc w:val="center"/>
              <w:rPr>
                <w:rFonts w:ascii="宋体" w:hAnsi="宋体" w:eastAsia="宋体"/>
                <w:color w:val="000000"/>
                <w:kern w:val="0"/>
                <w:sz w:val="18"/>
                <w:szCs w:val="18"/>
              </w:rPr>
            </w:pPr>
          </w:p>
        </w:tc>
        <w:tc>
          <w:tcPr>
            <w:tcW w:w="4725"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施工现场其他可能引起公共安全，较大及以上级别生产安全事故的隐患。</w:t>
            </w:r>
          </w:p>
        </w:tc>
        <w:tc>
          <w:tcPr>
            <w:tcW w:w="5692"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《北京市房屋建筑和市政基础设施工程重大生产安全事故隐患判定导则》第3.0.8条</w:t>
            </w:r>
          </w:p>
        </w:tc>
        <w:tc>
          <w:tcPr>
            <w:tcW w:w="584" w:type="dxa"/>
            <w:tcBorders>
              <w:top w:val="nil"/>
              <w:left w:val="nil"/>
              <w:bottom w:val="single" w:color="auto" w:sz="4" w:space="0"/>
              <w:right w:val="single" w:color="auto" w:sz="12" w:space="0"/>
            </w:tcBorders>
            <w:noWrap w:val="0"/>
            <w:vAlign w:val="center"/>
          </w:tcPr>
          <w:p>
            <w:pPr>
              <w:widowControl/>
              <w:snapToGrid w:val="0"/>
              <w:jc w:val="center"/>
              <w:rPr>
                <w:rFonts w:ascii="宋体" w:hAnsi="宋体" w:eastAsia="宋体"/>
                <w:color w:val="000000"/>
                <w:kern w:val="0"/>
                <w:sz w:val="18"/>
                <w:szCs w:val="18"/>
              </w:rPr>
            </w:pPr>
          </w:p>
        </w:tc>
      </w:tr>
      <w:tr>
        <w:tblPrEx>
          <w:tblLayout w:type="fixed"/>
          <w:tblCellMar>
            <w:top w:w="0" w:type="dxa"/>
            <w:left w:w="108" w:type="dxa"/>
            <w:bottom w:w="0" w:type="dxa"/>
            <w:right w:w="108" w:type="dxa"/>
          </w:tblCellMar>
        </w:tblPrEx>
        <w:trPr>
          <w:cantSplit/>
          <w:jc w:val="center"/>
        </w:trPr>
        <w:tc>
          <w:tcPr>
            <w:tcW w:w="14665" w:type="dxa"/>
            <w:gridSpan w:val="6"/>
            <w:tcBorders>
              <w:top w:val="single" w:color="auto" w:sz="4" w:space="0"/>
              <w:left w:val="single" w:color="auto" w:sz="12" w:space="0"/>
              <w:bottom w:val="single" w:color="auto" w:sz="4" w:space="0"/>
              <w:right w:val="single" w:color="auto" w:sz="12" w:space="0"/>
            </w:tcBorders>
            <w:noWrap w:val="0"/>
            <w:vAlign w:val="center"/>
          </w:tcPr>
          <w:p>
            <w:pPr>
              <w:widowControl/>
              <w:snapToGrid w:val="0"/>
              <w:jc w:val="center"/>
              <w:rPr>
                <w:rFonts w:ascii="宋体" w:hAnsi="宋体" w:eastAsia="宋体"/>
                <w:b/>
                <w:color w:val="000000"/>
                <w:kern w:val="0"/>
                <w:sz w:val="18"/>
                <w:szCs w:val="18"/>
              </w:rPr>
            </w:pPr>
            <w:r>
              <w:rPr>
                <w:rFonts w:ascii="宋体" w:hAnsi="宋体" w:eastAsia="宋体"/>
                <w:b/>
                <w:color w:val="000000"/>
                <w:kern w:val="0"/>
                <w:sz w:val="18"/>
                <w:szCs w:val="18"/>
              </w:rPr>
              <w:t>条件核查方面</w:t>
            </w:r>
          </w:p>
        </w:tc>
      </w:tr>
      <w:tr>
        <w:tblPrEx>
          <w:tblLayout w:type="fixed"/>
          <w:tblCellMar>
            <w:top w:w="0" w:type="dxa"/>
            <w:left w:w="108" w:type="dxa"/>
            <w:bottom w:w="0" w:type="dxa"/>
            <w:right w:w="108" w:type="dxa"/>
          </w:tblCellMar>
        </w:tblPrEx>
        <w:trPr>
          <w:cantSplit/>
          <w:jc w:val="center"/>
        </w:trPr>
        <w:tc>
          <w:tcPr>
            <w:tcW w:w="1668" w:type="dxa"/>
            <w:tcBorders>
              <w:top w:val="nil"/>
              <w:left w:val="single" w:color="auto" w:sz="12" w:space="0"/>
              <w:bottom w:val="single" w:color="auto" w:sz="4" w:space="0"/>
              <w:right w:val="single" w:color="auto" w:sz="4" w:space="0"/>
            </w:tcBorders>
            <w:noWrap w:val="0"/>
            <w:vAlign w:val="center"/>
          </w:tcPr>
          <w:p>
            <w:pPr>
              <w:widowControl/>
              <w:snapToGrid w:val="0"/>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eastAsia="zh-CN"/>
              </w:rPr>
              <w:t>2023</w:t>
            </w:r>
            <w:r>
              <w:rPr>
                <w:rFonts w:ascii="宋体" w:hAnsi="宋体" w:eastAsia="宋体"/>
                <w:color w:val="000000"/>
                <w:kern w:val="0"/>
                <w:sz w:val="18"/>
                <w:szCs w:val="18"/>
              </w:rPr>
              <w:t>.004.03.0</w:t>
            </w:r>
            <w:r>
              <w:rPr>
                <w:rFonts w:hint="eastAsia" w:ascii="宋体" w:hAnsi="宋体"/>
                <w:color w:val="000000"/>
                <w:kern w:val="0"/>
                <w:sz w:val="18"/>
                <w:szCs w:val="18"/>
                <w:lang w:val="en-US" w:eastAsia="zh-CN"/>
              </w:rPr>
              <w:t>11</w:t>
            </w:r>
          </w:p>
        </w:tc>
        <w:tc>
          <w:tcPr>
            <w:tcW w:w="1002" w:type="dxa"/>
            <w:vMerge w:val="restart"/>
            <w:tcBorders>
              <w:top w:val="nil"/>
              <w:left w:val="single" w:color="auto" w:sz="4" w:space="0"/>
              <w:right w:val="single" w:color="auto" w:sz="4" w:space="0"/>
            </w:tcBorders>
            <w:noWrap w:val="0"/>
            <w:vAlign w:val="center"/>
          </w:tcPr>
          <w:p>
            <w:pPr>
              <w:widowControl/>
              <w:snapToGrid w:val="0"/>
              <w:jc w:val="center"/>
              <w:rPr>
                <w:rFonts w:ascii="宋体" w:hAnsi="宋体" w:eastAsia="宋体"/>
                <w:color w:val="000000"/>
                <w:kern w:val="0"/>
                <w:sz w:val="18"/>
                <w:szCs w:val="18"/>
              </w:rPr>
            </w:pPr>
            <w:r>
              <w:rPr>
                <w:rFonts w:ascii="宋体" w:hAnsi="宋体" w:eastAsia="宋体"/>
                <w:color w:val="000000"/>
                <w:kern w:val="0"/>
                <w:sz w:val="18"/>
                <w:szCs w:val="18"/>
              </w:rPr>
              <w:t>基础资料类</w:t>
            </w:r>
          </w:p>
        </w:tc>
        <w:tc>
          <w:tcPr>
            <w:tcW w:w="994" w:type="dxa"/>
            <w:tcBorders>
              <w:top w:val="nil"/>
              <w:left w:val="nil"/>
              <w:bottom w:val="single" w:color="auto" w:sz="4" w:space="0"/>
              <w:right w:val="single" w:color="auto" w:sz="4" w:space="0"/>
            </w:tcBorders>
            <w:noWrap w:val="0"/>
            <w:vAlign w:val="center"/>
          </w:tcPr>
          <w:p>
            <w:pPr>
              <w:widowControl/>
              <w:snapToGrid w:val="0"/>
              <w:jc w:val="center"/>
              <w:rPr>
                <w:rFonts w:ascii="宋体" w:hAnsi="宋体" w:eastAsia="宋体"/>
                <w:color w:val="000000"/>
                <w:kern w:val="0"/>
                <w:sz w:val="18"/>
                <w:szCs w:val="18"/>
              </w:rPr>
            </w:pPr>
            <w:r>
              <w:rPr>
                <w:rFonts w:ascii="宋体" w:hAnsi="宋体" w:eastAsia="宋体"/>
                <w:color w:val="000000"/>
                <w:kern w:val="0"/>
                <w:sz w:val="18"/>
                <w:szCs w:val="18"/>
              </w:rPr>
              <w:t>制度类</w:t>
            </w:r>
          </w:p>
        </w:tc>
        <w:tc>
          <w:tcPr>
            <w:tcW w:w="4725"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关键节点施工前未按要求组织条件核查。</w:t>
            </w:r>
          </w:p>
        </w:tc>
        <w:tc>
          <w:tcPr>
            <w:tcW w:w="5692"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《住房城乡建设部办公厅关于加强城市轨道交通工程关键点风险管控的通知》（建办质【2017】68号）；《北京市房屋建筑和市政基础设施工程重大生产安全事故隐患判定导则》第6.1.1条</w:t>
            </w:r>
          </w:p>
        </w:tc>
        <w:tc>
          <w:tcPr>
            <w:tcW w:w="584" w:type="dxa"/>
            <w:tcBorders>
              <w:top w:val="nil"/>
              <w:left w:val="nil"/>
              <w:bottom w:val="single" w:color="auto" w:sz="4" w:space="0"/>
              <w:right w:val="single" w:color="auto" w:sz="12" w:space="0"/>
            </w:tcBorders>
            <w:noWrap w:val="0"/>
            <w:vAlign w:val="center"/>
          </w:tcPr>
          <w:p>
            <w:pPr>
              <w:widowControl/>
              <w:snapToGrid w:val="0"/>
              <w:jc w:val="center"/>
              <w:rPr>
                <w:rFonts w:ascii="宋体" w:hAnsi="宋体" w:eastAsia="宋体"/>
                <w:color w:val="000000"/>
                <w:kern w:val="0"/>
                <w:sz w:val="18"/>
                <w:szCs w:val="18"/>
              </w:rPr>
            </w:pPr>
          </w:p>
        </w:tc>
      </w:tr>
      <w:tr>
        <w:tblPrEx>
          <w:tblLayout w:type="fixed"/>
          <w:tblCellMar>
            <w:top w:w="0" w:type="dxa"/>
            <w:left w:w="108" w:type="dxa"/>
            <w:bottom w:w="0" w:type="dxa"/>
            <w:right w:w="108" w:type="dxa"/>
          </w:tblCellMar>
        </w:tblPrEx>
        <w:trPr>
          <w:cantSplit/>
          <w:jc w:val="center"/>
        </w:trPr>
        <w:tc>
          <w:tcPr>
            <w:tcW w:w="1668" w:type="dxa"/>
            <w:tcBorders>
              <w:top w:val="nil"/>
              <w:left w:val="single" w:color="auto" w:sz="12" w:space="0"/>
              <w:bottom w:val="single" w:color="auto" w:sz="4" w:space="0"/>
              <w:right w:val="single" w:color="auto" w:sz="4" w:space="0"/>
            </w:tcBorders>
            <w:noWrap w:val="0"/>
            <w:vAlign w:val="center"/>
          </w:tcPr>
          <w:p>
            <w:pPr>
              <w:widowControl/>
              <w:snapToGrid w:val="0"/>
              <w:jc w:val="center"/>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eastAsia="zh-CN"/>
              </w:rPr>
              <w:t>2023</w:t>
            </w:r>
            <w:r>
              <w:rPr>
                <w:rFonts w:ascii="宋体" w:hAnsi="宋体" w:eastAsia="宋体"/>
                <w:color w:val="000000"/>
                <w:kern w:val="0"/>
                <w:sz w:val="18"/>
                <w:szCs w:val="18"/>
              </w:rPr>
              <w:t>.004.03.01</w:t>
            </w:r>
            <w:r>
              <w:rPr>
                <w:rFonts w:hint="eastAsia" w:ascii="宋体" w:hAnsi="宋体"/>
                <w:color w:val="000000"/>
                <w:kern w:val="0"/>
                <w:sz w:val="18"/>
                <w:szCs w:val="18"/>
                <w:lang w:val="en-US" w:eastAsia="zh-CN"/>
              </w:rPr>
              <w:t>2</w:t>
            </w:r>
          </w:p>
        </w:tc>
        <w:tc>
          <w:tcPr>
            <w:tcW w:w="1002" w:type="dxa"/>
            <w:vMerge w:val="continue"/>
            <w:tcBorders>
              <w:left w:val="single" w:color="auto" w:sz="4" w:space="0"/>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p>
        </w:tc>
        <w:tc>
          <w:tcPr>
            <w:tcW w:w="994" w:type="dxa"/>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eastAsia="宋体"/>
                <w:color w:val="000000"/>
                <w:kern w:val="0"/>
                <w:sz w:val="18"/>
                <w:szCs w:val="18"/>
              </w:rPr>
            </w:pPr>
            <w:r>
              <w:rPr>
                <w:rFonts w:ascii="宋体" w:hAnsi="宋体" w:eastAsia="宋体"/>
                <w:color w:val="000000"/>
                <w:kern w:val="0"/>
                <w:sz w:val="18"/>
                <w:szCs w:val="18"/>
              </w:rPr>
              <w:t>记录档案类</w:t>
            </w:r>
          </w:p>
        </w:tc>
        <w:tc>
          <w:tcPr>
            <w:tcW w:w="4725"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施工工法发生重大变化，方案未及时调整并重新审核及论证且仍然继续施工。</w:t>
            </w:r>
          </w:p>
        </w:tc>
        <w:tc>
          <w:tcPr>
            <w:tcW w:w="5692"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GB50652-2011《城市轨道交通地下工程建设风险管理规范》；《北京市房屋建筑和市政基础设施工程重大生产安全事故隐患判定导则》第6.1.2条</w:t>
            </w:r>
          </w:p>
        </w:tc>
        <w:tc>
          <w:tcPr>
            <w:tcW w:w="584" w:type="dxa"/>
            <w:tcBorders>
              <w:top w:val="nil"/>
              <w:left w:val="nil"/>
              <w:bottom w:val="single" w:color="auto" w:sz="4" w:space="0"/>
              <w:right w:val="single" w:color="auto" w:sz="12" w:space="0"/>
            </w:tcBorders>
            <w:noWrap w:val="0"/>
            <w:vAlign w:val="center"/>
          </w:tcPr>
          <w:p>
            <w:pPr>
              <w:widowControl/>
              <w:snapToGrid w:val="0"/>
              <w:jc w:val="center"/>
              <w:rPr>
                <w:rFonts w:ascii="宋体" w:hAnsi="宋体" w:eastAsia="宋体"/>
                <w:color w:val="000000"/>
                <w:kern w:val="0"/>
                <w:sz w:val="18"/>
                <w:szCs w:val="18"/>
              </w:rPr>
            </w:pPr>
          </w:p>
        </w:tc>
      </w:tr>
      <w:tr>
        <w:tblPrEx>
          <w:tblLayout w:type="fixed"/>
          <w:tblCellMar>
            <w:top w:w="0" w:type="dxa"/>
            <w:left w:w="108" w:type="dxa"/>
            <w:bottom w:w="0" w:type="dxa"/>
            <w:right w:w="108" w:type="dxa"/>
          </w:tblCellMar>
        </w:tblPrEx>
        <w:trPr>
          <w:cantSplit/>
          <w:jc w:val="center"/>
        </w:trPr>
        <w:tc>
          <w:tcPr>
            <w:tcW w:w="1668" w:type="dxa"/>
            <w:tcBorders>
              <w:top w:val="nil"/>
              <w:left w:val="single" w:color="auto" w:sz="12" w:space="0"/>
              <w:bottom w:val="single" w:color="auto" w:sz="4" w:space="0"/>
              <w:right w:val="single" w:color="auto" w:sz="4" w:space="0"/>
            </w:tcBorders>
            <w:noWrap w:val="0"/>
            <w:vAlign w:val="center"/>
          </w:tcPr>
          <w:p>
            <w:pPr>
              <w:widowControl/>
              <w:snapToGrid w:val="0"/>
              <w:jc w:val="center"/>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eastAsia="zh-CN"/>
              </w:rPr>
              <w:t>2023</w:t>
            </w:r>
            <w:r>
              <w:rPr>
                <w:rFonts w:ascii="宋体" w:hAnsi="宋体" w:eastAsia="宋体"/>
                <w:color w:val="000000"/>
                <w:kern w:val="0"/>
                <w:sz w:val="18"/>
                <w:szCs w:val="18"/>
              </w:rPr>
              <w:t>.004.03.01</w:t>
            </w:r>
            <w:r>
              <w:rPr>
                <w:rFonts w:hint="eastAsia" w:ascii="宋体" w:hAnsi="宋体"/>
                <w:color w:val="000000"/>
                <w:kern w:val="0"/>
                <w:sz w:val="18"/>
                <w:szCs w:val="18"/>
                <w:lang w:val="en-US" w:eastAsia="zh-CN"/>
              </w:rPr>
              <w:t>3</w:t>
            </w:r>
          </w:p>
        </w:tc>
        <w:tc>
          <w:tcPr>
            <w:tcW w:w="1002" w:type="dxa"/>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eastAsia="宋体"/>
                <w:color w:val="000000"/>
                <w:kern w:val="0"/>
                <w:sz w:val="18"/>
                <w:szCs w:val="18"/>
              </w:rPr>
            </w:pPr>
            <w:r>
              <w:rPr>
                <w:rFonts w:ascii="宋体" w:hAnsi="宋体" w:eastAsia="宋体"/>
                <w:color w:val="000000"/>
                <w:kern w:val="0"/>
                <w:sz w:val="18"/>
                <w:szCs w:val="18"/>
              </w:rPr>
              <w:t>基础资料类</w:t>
            </w:r>
          </w:p>
        </w:tc>
        <w:tc>
          <w:tcPr>
            <w:tcW w:w="994" w:type="dxa"/>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eastAsia="宋体"/>
                <w:color w:val="000000"/>
                <w:kern w:val="0"/>
                <w:sz w:val="18"/>
                <w:szCs w:val="18"/>
              </w:rPr>
            </w:pPr>
            <w:r>
              <w:rPr>
                <w:rFonts w:ascii="宋体" w:hAnsi="宋体" w:eastAsia="宋体"/>
                <w:color w:val="000000"/>
                <w:kern w:val="0"/>
                <w:sz w:val="18"/>
                <w:szCs w:val="18"/>
              </w:rPr>
              <w:t>记录档案类</w:t>
            </w:r>
          </w:p>
        </w:tc>
        <w:tc>
          <w:tcPr>
            <w:tcW w:w="4725"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盾构开仓方案未组织论证。</w:t>
            </w:r>
          </w:p>
        </w:tc>
        <w:tc>
          <w:tcPr>
            <w:tcW w:w="5692"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GB50722-2011《城市轨道交通建设项目管理规范》；《北京市房屋建筑和市政基础设施工程重大生产安全事故隐患判定导则》第6.1.3条</w:t>
            </w:r>
          </w:p>
        </w:tc>
        <w:tc>
          <w:tcPr>
            <w:tcW w:w="584" w:type="dxa"/>
            <w:tcBorders>
              <w:top w:val="nil"/>
              <w:left w:val="nil"/>
              <w:bottom w:val="single" w:color="auto" w:sz="4" w:space="0"/>
              <w:right w:val="single" w:color="auto" w:sz="12" w:space="0"/>
            </w:tcBorders>
            <w:noWrap w:val="0"/>
            <w:vAlign w:val="center"/>
          </w:tcPr>
          <w:p>
            <w:pPr>
              <w:widowControl/>
              <w:snapToGrid w:val="0"/>
              <w:jc w:val="center"/>
              <w:rPr>
                <w:rFonts w:ascii="宋体" w:hAnsi="宋体" w:eastAsia="宋体"/>
                <w:color w:val="000000"/>
                <w:kern w:val="0"/>
                <w:sz w:val="18"/>
                <w:szCs w:val="18"/>
              </w:rPr>
            </w:pPr>
          </w:p>
        </w:tc>
      </w:tr>
      <w:tr>
        <w:tblPrEx>
          <w:tblLayout w:type="fixed"/>
          <w:tblCellMar>
            <w:top w:w="0" w:type="dxa"/>
            <w:left w:w="108" w:type="dxa"/>
            <w:bottom w:w="0" w:type="dxa"/>
            <w:right w:w="108" w:type="dxa"/>
          </w:tblCellMar>
        </w:tblPrEx>
        <w:trPr>
          <w:cantSplit/>
          <w:jc w:val="center"/>
        </w:trPr>
        <w:tc>
          <w:tcPr>
            <w:tcW w:w="14665" w:type="dxa"/>
            <w:gridSpan w:val="6"/>
            <w:tcBorders>
              <w:top w:val="single" w:color="auto" w:sz="4" w:space="0"/>
              <w:left w:val="single" w:color="auto" w:sz="12" w:space="0"/>
              <w:bottom w:val="single" w:color="auto" w:sz="4" w:space="0"/>
              <w:right w:val="single" w:color="auto" w:sz="12" w:space="0"/>
            </w:tcBorders>
            <w:noWrap w:val="0"/>
            <w:vAlign w:val="center"/>
          </w:tcPr>
          <w:p>
            <w:pPr>
              <w:widowControl/>
              <w:snapToGrid w:val="0"/>
              <w:jc w:val="center"/>
              <w:rPr>
                <w:rFonts w:ascii="宋体" w:hAnsi="宋体" w:eastAsia="宋体"/>
                <w:b/>
                <w:color w:val="000000"/>
                <w:kern w:val="0"/>
                <w:sz w:val="18"/>
                <w:szCs w:val="18"/>
              </w:rPr>
            </w:pPr>
            <w:r>
              <w:rPr>
                <w:rFonts w:ascii="宋体" w:hAnsi="宋体" w:eastAsia="宋体"/>
                <w:b/>
                <w:color w:val="000000"/>
                <w:kern w:val="0"/>
                <w:sz w:val="18"/>
                <w:szCs w:val="18"/>
              </w:rPr>
              <w:t>明挖工程方面</w:t>
            </w:r>
          </w:p>
        </w:tc>
      </w:tr>
      <w:tr>
        <w:tblPrEx>
          <w:tblLayout w:type="fixed"/>
          <w:tblCellMar>
            <w:top w:w="0" w:type="dxa"/>
            <w:left w:w="108" w:type="dxa"/>
            <w:bottom w:w="0" w:type="dxa"/>
            <w:right w:w="108" w:type="dxa"/>
          </w:tblCellMar>
        </w:tblPrEx>
        <w:trPr>
          <w:cantSplit/>
          <w:jc w:val="center"/>
        </w:trPr>
        <w:tc>
          <w:tcPr>
            <w:tcW w:w="1668" w:type="dxa"/>
            <w:tcBorders>
              <w:top w:val="nil"/>
              <w:left w:val="single" w:color="auto" w:sz="12" w:space="0"/>
              <w:bottom w:val="single" w:color="auto" w:sz="4" w:space="0"/>
              <w:right w:val="single" w:color="auto" w:sz="4" w:space="0"/>
            </w:tcBorders>
            <w:noWrap w:val="0"/>
            <w:vAlign w:val="center"/>
          </w:tcPr>
          <w:p>
            <w:pPr>
              <w:widowControl/>
              <w:snapToGrid w:val="0"/>
              <w:jc w:val="center"/>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eastAsia="zh-CN"/>
              </w:rPr>
              <w:t>2023</w:t>
            </w:r>
            <w:r>
              <w:rPr>
                <w:rFonts w:ascii="宋体" w:hAnsi="宋体" w:eastAsia="宋体"/>
                <w:color w:val="000000"/>
                <w:kern w:val="0"/>
                <w:sz w:val="18"/>
                <w:szCs w:val="18"/>
              </w:rPr>
              <w:t>.004.03.01</w:t>
            </w:r>
            <w:r>
              <w:rPr>
                <w:rFonts w:hint="eastAsia" w:ascii="宋体" w:hAnsi="宋体"/>
                <w:color w:val="000000"/>
                <w:kern w:val="0"/>
                <w:sz w:val="18"/>
                <w:szCs w:val="18"/>
                <w:lang w:val="en-US" w:eastAsia="zh-CN"/>
              </w:rPr>
              <w:t>4</w:t>
            </w:r>
          </w:p>
        </w:tc>
        <w:tc>
          <w:tcPr>
            <w:tcW w:w="1002"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eastAsia="宋体"/>
                <w:color w:val="000000"/>
                <w:kern w:val="0"/>
                <w:sz w:val="18"/>
                <w:szCs w:val="18"/>
              </w:rPr>
            </w:pPr>
            <w:r>
              <w:rPr>
                <w:rFonts w:ascii="宋体" w:hAnsi="宋体" w:eastAsia="宋体"/>
                <w:color w:val="000000"/>
                <w:kern w:val="0"/>
                <w:sz w:val="18"/>
                <w:szCs w:val="18"/>
              </w:rPr>
              <w:t>设备设施及物料类</w:t>
            </w:r>
          </w:p>
        </w:tc>
        <w:tc>
          <w:tcPr>
            <w:tcW w:w="994"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eastAsia="宋体"/>
                <w:color w:val="000000"/>
                <w:kern w:val="0"/>
                <w:sz w:val="18"/>
                <w:szCs w:val="18"/>
              </w:rPr>
            </w:pPr>
            <w:r>
              <w:rPr>
                <w:rFonts w:ascii="宋体" w:hAnsi="宋体" w:eastAsia="宋体"/>
                <w:color w:val="000000"/>
                <w:kern w:val="0"/>
                <w:sz w:val="18"/>
                <w:szCs w:val="18"/>
              </w:rPr>
              <w:t>辅助系统设备设施类</w:t>
            </w:r>
          </w:p>
        </w:tc>
        <w:tc>
          <w:tcPr>
            <w:tcW w:w="4725"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支护结构施工中基坑阳角、明暗挖结合段支撑架设滞后、锚索未按设计要求拉拔锁定即进行下层土开挖、未设置抗剪蹬，且监测数据已达到红色预警值仍未停止作业并采取措施。</w:t>
            </w:r>
          </w:p>
        </w:tc>
        <w:tc>
          <w:tcPr>
            <w:tcW w:w="5692"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DB11/T1316-2016《城市轨道交通工程建设安全风险技术管理规范》；《北京市房屋建筑和市政基础设施工程重大生产安全事故隐患判定导则》第6.2.1条</w:t>
            </w:r>
          </w:p>
        </w:tc>
        <w:tc>
          <w:tcPr>
            <w:tcW w:w="584" w:type="dxa"/>
            <w:tcBorders>
              <w:top w:val="nil"/>
              <w:left w:val="nil"/>
              <w:bottom w:val="single" w:color="auto" w:sz="4" w:space="0"/>
              <w:right w:val="single" w:color="auto" w:sz="12" w:space="0"/>
            </w:tcBorders>
            <w:noWrap w:val="0"/>
            <w:vAlign w:val="center"/>
          </w:tcPr>
          <w:p>
            <w:pPr>
              <w:widowControl/>
              <w:snapToGrid w:val="0"/>
              <w:jc w:val="center"/>
              <w:rPr>
                <w:rFonts w:ascii="宋体" w:hAnsi="宋体" w:eastAsia="宋体"/>
                <w:color w:val="000000"/>
                <w:kern w:val="0"/>
                <w:sz w:val="18"/>
                <w:szCs w:val="18"/>
              </w:rPr>
            </w:pPr>
          </w:p>
        </w:tc>
      </w:tr>
      <w:tr>
        <w:tblPrEx>
          <w:tblLayout w:type="fixed"/>
          <w:tblCellMar>
            <w:top w:w="0" w:type="dxa"/>
            <w:left w:w="108" w:type="dxa"/>
            <w:bottom w:w="0" w:type="dxa"/>
            <w:right w:w="108" w:type="dxa"/>
          </w:tblCellMar>
        </w:tblPrEx>
        <w:trPr>
          <w:cantSplit/>
          <w:jc w:val="center"/>
        </w:trPr>
        <w:tc>
          <w:tcPr>
            <w:tcW w:w="1668" w:type="dxa"/>
            <w:tcBorders>
              <w:top w:val="nil"/>
              <w:left w:val="single" w:color="auto" w:sz="12" w:space="0"/>
              <w:bottom w:val="single" w:color="auto" w:sz="4" w:space="0"/>
              <w:right w:val="single" w:color="auto" w:sz="4" w:space="0"/>
            </w:tcBorders>
            <w:noWrap w:val="0"/>
            <w:vAlign w:val="center"/>
          </w:tcPr>
          <w:p>
            <w:pPr>
              <w:widowControl/>
              <w:snapToGrid w:val="0"/>
              <w:jc w:val="center"/>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eastAsia="zh-CN"/>
              </w:rPr>
              <w:t>2023</w:t>
            </w:r>
            <w:r>
              <w:rPr>
                <w:rFonts w:ascii="宋体" w:hAnsi="宋体" w:eastAsia="宋体"/>
                <w:color w:val="000000"/>
                <w:kern w:val="0"/>
                <w:sz w:val="18"/>
                <w:szCs w:val="18"/>
              </w:rPr>
              <w:t>.004.03.01</w:t>
            </w:r>
            <w:r>
              <w:rPr>
                <w:rFonts w:hint="eastAsia" w:ascii="宋体" w:hAnsi="宋体"/>
                <w:color w:val="000000"/>
                <w:kern w:val="0"/>
                <w:sz w:val="18"/>
                <w:szCs w:val="18"/>
                <w:lang w:val="en-US" w:eastAsia="zh-CN"/>
              </w:rPr>
              <w:t>5</w:t>
            </w:r>
          </w:p>
        </w:tc>
        <w:tc>
          <w:tcPr>
            <w:tcW w:w="1002"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p>
        </w:tc>
        <w:tc>
          <w:tcPr>
            <w:tcW w:w="994"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p>
        </w:tc>
        <w:tc>
          <w:tcPr>
            <w:tcW w:w="4725"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基坑边沿堆载超出设计限值，且监测数据已达到红色预警值仍未采取措施停止作业。</w:t>
            </w:r>
          </w:p>
        </w:tc>
        <w:tc>
          <w:tcPr>
            <w:tcW w:w="5692"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DB11/T1316-2016《城市轨道交通工程建设安全风险技术管理规范》；《北京市房屋建筑和市政基础设施工程重大生产安全事故隐患判定导则》第6.2.2条</w:t>
            </w:r>
          </w:p>
        </w:tc>
        <w:tc>
          <w:tcPr>
            <w:tcW w:w="584" w:type="dxa"/>
            <w:tcBorders>
              <w:top w:val="nil"/>
              <w:left w:val="nil"/>
              <w:bottom w:val="single" w:color="auto" w:sz="4" w:space="0"/>
              <w:right w:val="single" w:color="auto" w:sz="12" w:space="0"/>
            </w:tcBorders>
            <w:noWrap w:val="0"/>
            <w:vAlign w:val="center"/>
          </w:tcPr>
          <w:p>
            <w:pPr>
              <w:widowControl/>
              <w:snapToGrid w:val="0"/>
              <w:jc w:val="center"/>
              <w:rPr>
                <w:rFonts w:ascii="宋体" w:hAnsi="宋体" w:eastAsia="宋体"/>
                <w:color w:val="000000"/>
                <w:kern w:val="0"/>
                <w:sz w:val="18"/>
                <w:szCs w:val="18"/>
              </w:rPr>
            </w:pPr>
          </w:p>
        </w:tc>
      </w:tr>
      <w:tr>
        <w:tblPrEx>
          <w:tblLayout w:type="fixed"/>
          <w:tblCellMar>
            <w:top w:w="0" w:type="dxa"/>
            <w:left w:w="108" w:type="dxa"/>
            <w:bottom w:w="0" w:type="dxa"/>
            <w:right w:w="108" w:type="dxa"/>
          </w:tblCellMar>
        </w:tblPrEx>
        <w:trPr>
          <w:cantSplit/>
          <w:jc w:val="center"/>
        </w:trPr>
        <w:tc>
          <w:tcPr>
            <w:tcW w:w="14665" w:type="dxa"/>
            <w:gridSpan w:val="6"/>
            <w:tcBorders>
              <w:top w:val="nil"/>
              <w:left w:val="single" w:color="auto" w:sz="12" w:space="0"/>
              <w:bottom w:val="single" w:color="auto" w:sz="4" w:space="0"/>
              <w:right w:val="single" w:color="auto" w:sz="12" w:space="0"/>
            </w:tcBorders>
            <w:noWrap w:val="0"/>
            <w:vAlign w:val="center"/>
          </w:tcPr>
          <w:p>
            <w:pPr>
              <w:widowControl/>
              <w:snapToGrid w:val="0"/>
              <w:jc w:val="center"/>
              <w:rPr>
                <w:rFonts w:hint="eastAsia" w:ascii="宋体" w:hAnsi="宋体" w:eastAsia="宋体"/>
                <w:color w:val="000000"/>
                <w:kern w:val="0"/>
                <w:sz w:val="18"/>
                <w:szCs w:val="18"/>
                <w:lang w:eastAsia="zh-CN"/>
              </w:rPr>
            </w:pPr>
            <w:r>
              <w:rPr>
                <w:rFonts w:hint="eastAsia" w:ascii="宋体" w:hAnsi="宋体"/>
                <w:b/>
                <w:bCs/>
                <w:color w:val="000000"/>
                <w:kern w:val="0"/>
                <w:sz w:val="18"/>
                <w:szCs w:val="18"/>
                <w:lang w:eastAsia="zh-CN"/>
              </w:rPr>
              <w:t>基坑工程方面</w:t>
            </w:r>
          </w:p>
        </w:tc>
      </w:tr>
      <w:tr>
        <w:tblPrEx>
          <w:tblLayout w:type="fixed"/>
          <w:tblCellMar>
            <w:top w:w="0" w:type="dxa"/>
            <w:left w:w="108" w:type="dxa"/>
            <w:bottom w:w="0" w:type="dxa"/>
            <w:right w:w="108" w:type="dxa"/>
          </w:tblCellMar>
        </w:tblPrEx>
        <w:trPr>
          <w:cantSplit/>
          <w:jc w:val="center"/>
        </w:trPr>
        <w:tc>
          <w:tcPr>
            <w:tcW w:w="1668" w:type="dxa"/>
            <w:tcBorders>
              <w:top w:val="nil"/>
              <w:left w:val="single" w:color="auto" w:sz="12" w:space="0"/>
              <w:bottom w:val="single" w:color="auto" w:sz="4" w:space="0"/>
              <w:right w:val="single" w:color="auto" w:sz="4" w:space="0"/>
            </w:tcBorders>
            <w:noWrap w:val="0"/>
            <w:vAlign w:val="center"/>
          </w:tcPr>
          <w:p>
            <w:pPr>
              <w:widowControl/>
              <w:snapToGrid w:val="0"/>
              <w:jc w:val="center"/>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eastAsia="zh-CN"/>
              </w:rPr>
              <w:t>2023</w:t>
            </w:r>
            <w:r>
              <w:rPr>
                <w:rFonts w:ascii="宋体" w:hAnsi="宋体" w:eastAsia="宋体"/>
                <w:color w:val="000000"/>
                <w:kern w:val="0"/>
                <w:sz w:val="18"/>
                <w:szCs w:val="18"/>
              </w:rPr>
              <w:t>.004.03.01</w:t>
            </w:r>
            <w:r>
              <w:rPr>
                <w:rFonts w:hint="eastAsia" w:ascii="宋体" w:hAnsi="宋体" w:eastAsia="宋体"/>
                <w:color w:val="000000"/>
                <w:kern w:val="0"/>
                <w:sz w:val="18"/>
                <w:szCs w:val="18"/>
                <w:lang w:val="en-US" w:eastAsia="zh-CN"/>
              </w:rPr>
              <w:t>6</w:t>
            </w:r>
          </w:p>
        </w:tc>
        <w:tc>
          <w:tcPr>
            <w:tcW w:w="1002" w:type="dxa"/>
            <w:vMerge w:val="restart"/>
            <w:tcBorders>
              <w:top w:val="nil"/>
              <w:left w:val="single" w:color="auto" w:sz="4" w:space="0"/>
              <w:right w:val="single" w:color="auto" w:sz="4" w:space="0"/>
            </w:tcBorders>
            <w:noWrap w:val="0"/>
            <w:vAlign w:val="center"/>
          </w:tcPr>
          <w:p>
            <w:pPr>
              <w:widowControl/>
              <w:snapToGrid w:val="0"/>
              <w:jc w:val="center"/>
              <w:rPr>
                <w:rFonts w:ascii="宋体" w:hAnsi="宋体" w:eastAsia="宋体"/>
                <w:color w:val="000000"/>
                <w:kern w:val="0"/>
                <w:sz w:val="18"/>
                <w:szCs w:val="18"/>
              </w:rPr>
            </w:pPr>
            <w:r>
              <w:rPr>
                <w:rFonts w:hint="eastAsia" w:ascii="宋体" w:hAnsi="宋体"/>
                <w:color w:val="000000"/>
                <w:kern w:val="0"/>
                <w:sz w:val="18"/>
                <w:szCs w:val="18"/>
                <w:lang w:eastAsia="zh-CN"/>
              </w:rPr>
              <w:t>环境类</w:t>
            </w:r>
          </w:p>
        </w:tc>
        <w:tc>
          <w:tcPr>
            <w:tcW w:w="994" w:type="dxa"/>
            <w:vMerge w:val="restart"/>
            <w:tcBorders>
              <w:top w:val="nil"/>
              <w:left w:val="single" w:color="auto" w:sz="4" w:space="0"/>
              <w:right w:val="single" w:color="auto" w:sz="4" w:space="0"/>
            </w:tcBorders>
            <w:noWrap w:val="0"/>
            <w:vAlign w:val="center"/>
          </w:tcPr>
          <w:p>
            <w:pPr>
              <w:widowControl/>
              <w:snapToGrid w:val="0"/>
              <w:jc w:val="center"/>
              <w:rPr>
                <w:rFonts w:hint="eastAsia" w:ascii="宋体" w:hAnsi="宋体" w:eastAsia="宋体"/>
                <w:color w:val="000000"/>
                <w:kern w:val="0"/>
                <w:sz w:val="18"/>
                <w:szCs w:val="18"/>
                <w:lang w:eastAsia="zh-CN"/>
              </w:rPr>
            </w:pPr>
            <w:r>
              <w:rPr>
                <w:rFonts w:hint="eastAsia" w:ascii="宋体" w:hAnsi="宋体"/>
                <w:color w:val="000000"/>
                <w:kern w:val="0"/>
                <w:sz w:val="18"/>
                <w:szCs w:val="18"/>
                <w:lang w:eastAsia="zh-CN"/>
              </w:rPr>
              <w:t>防护措施类</w:t>
            </w:r>
          </w:p>
        </w:tc>
        <w:tc>
          <w:tcPr>
            <w:tcW w:w="4725"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hint="eastAsia" w:ascii="宋体" w:hAnsi="宋体" w:eastAsia="宋体"/>
                <w:color w:val="000000"/>
                <w:kern w:val="0"/>
                <w:sz w:val="18"/>
                <w:szCs w:val="18"/>
              </w:rPr>
              <w:t>对因基坑工程施工可能造成损害的毗邻重要建筑物、构筑物和地下管线等,未采取专项防护措施</w:t>
            </w:r>
          </w:p>
        </w:tc>
        <w:tc>
          <w:tcPr>
            <w:tcW w:w="5692"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hint="eastAsia" w:ascii="宋体" w:hAnsi="宋体" w:eastAsia="宋体"/>
                <w:color w:val="000000"/>
                <w:kern w:val="0"/>
                <w:sz w:val="18"/>
                <w:szCs w:val="18"/>
              </w:rPr>
              <w:t>《房屋市政工程生产安全重大事故隐患判定标准（2022版）》</w:t>
            </w:r>
            <w:r>
              <w:rPr>
                <w:rFonts w:hint="eastAsia" w:ascii="宋体" w:hAnsi="宋体"/>
                <w:color w:val="000000"/>
                <w:kern w:val="0"/>
                <w:sz w:val="18"/>
                <w:szCs w:val="18"/>
                <w:lang w:eastAsia="zh-CN"/>
              </w:rPr>
              <w:t>第四条</w:t>
            </w:r>
          </w:p>
        </w:tc>
        <w:tc>
          <w:tcPr>
            <w:tcW w:w="584" w:type="dxa"/>
            <w:tcBorders>
              <w:top w:val="nil"/>
              <w:left w:val="nil"/>
              <w:bottom w:val="single" w:color="auto" w:sz="4" w:space="0"/>
              <w:right w:val="single" w:color="auto" w:sz="12" w:space="0"/>
            </w:tcBorders>
            <w:noWrap w:val="0"/>
            <w:vAlign w:val="center"/>
          </w:tcPr>
          <w:p>
            <w:pPr>
              <w:widowControl/>
              <w:snapToGrid w:val="0"/>
              <w:jc w:val="center"/>
              <w:rPr>
                <w:rFonts w:ascii="宋体" w:hAnsi="宋体" w:eastAsia="宋体"/>
                <w:color w:val="000000"/>
                <w:kern w:val="0"/>
                <w:sz w:val="18"/>
                <w:szCs w:val="18"/>
              </w:rPr>
            </w:pPr>
            <w:r>
              <w:rPr>
                <w:rFonts w:ascii="宋体" w:hAnsi="宋体" w:eastAsia="宋体" w:cs="Segoe UI Symbol"/>
                <w:color w:val="000000"/>
                <w:kern w:val="0"/>
                <w:sz w:val="18"/>
                <w:szCs w:val="18"/>
              </w:rPr>
              <w:t>★</w:t>
            </w:r>
          </w:p>
        </w:tc>
      </w:tr>
      <w:tr>
        <w:tblPrEx>
          <w:tblLayout w:type="fixed"/>
          <w:tblCellMar>
            <w:top w:w="0" w:type="dxa"/>
            <w:left w:w="108" w:type="dxa"/>
            <w:bottom w:w="0" w:type="dxa"/>
            <w:right w:w="108" w:type="dxa"/>
          </w:tblCellMar>
        </w:tblPrEx>
        <w:trPr>
          <w:cantSplit/>
          <w:trHeight w:val="90" w:hRule="atLeast"/>
          <w:jc w:val="center"/>
        </w:trPr>
        <w:tc>
          <w:tcPr>
            <w:tcW w:w="1668" w:type="dxa"/>
            <w:tcBorders>
              <w:top w:val="nil"/>
              <w:left w:val="single" w:color="auto" w:sz="12" w:space="0"/>
              <w:bottom w:val="single" w:color="auto" w:sz="4" w:space="0"/>
              <w:right w:val="single" w:color="auto" w:sz="4" w:space="0"/>
            </w:tcBorders>
            <w:noWrap w:val="0"/>
            <w:vAlign w:val="center"/>
          </w:tcPr>
          <w:p>
            <w:pPr>
              <w:widowControl/>
              <w:snapToGrid w:val="0"/>
              <w:jc w:val="center"/>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eastAsia="zh-CN"/>
              </w:rPr>
              <w:t>2023</w:t>
            </w:r>
            <w:r>
              <w:rPr>
                <w:rFonts w:ascii="宋体" w:hAnsi="宋体" w:eastAsia="宋体"/>
                <w:color w:val="000000"/>
                <w:kern w:val="0"/>
                <w:sz w:val="18"/>
                <w:szCs w:val="18"/>
              </w:rPr>
              <w:t>.004.03.01</w:t>
            </w:r>
            <w:r>
              <w:rPr>
                <w:rFonts w:hint="eastAsia" w:ascii="宋体" w:hAnsi="宋体" w:eastAsia="宋体"/>
                <w:color w:val="000000"/>
                <w:kern w:val="0"/>
                <w:sz w:val="18"/>
                <w:szCs w:val="18"/>
                <w:lang w:val="en-US" w:eastAsia="zh-CN"/>
              </w:rPr>
              <w:t>7</w:t>
            </w:r>
          </w:p>
        </w:tc>
        <w:tc>
          <w:tcPr>
            <w:tcW w:w="1002" w:type="dxa"/>
            <w:vMerge w:val="continue"/>
            <w:tcBorders>
              <w:left w:val="single" w:color="auto" w:sz="4" w:space="0"/>
              <w:right w:val="single" w:color="auto" w:sz="4" w:space="0"/>
            </w:tcBorders>
            <w:noWrap w:val="0"/>
            <w:vAlign w:val="center"/>
          </w:tcPr>
          <w:p>
            <w:pPr>
              <w:widowControl/>
              <w:snapToGrid w:val="0"/>
              <w:jc w:val="center"/>
              <w:rPr>
                <w:rFonts w:ascii="宋体" w:hAnsi="宋体" w:eastAsia="宋体"/>
                <w:color w:val="000000"/>
                <w:kern w:val="0"/>
                <w:sz w:val="18"/>
                <w:szCs w:val="18"/>
              </w:rPr>
            </w:pPr>
          </w:p>
        </w:tc>
        <w:tc>
          <w:tcPr>
            <w:tcW w:w="994" w:type="dxa"/>
            <w:vMerge w:val="continue"/>
            <w:tcBorders>
              <w:left w:val="single" w:color="auto" w:sz="4" w:space="0"/>
              <w:right w:val="single" w:color="auto" w:sz="4" w:space="0"/>
            </w:tcBorders>
            <w:noWrap w:val="0"/>
            <w:vAlign w:val="center"/>
          </w:tcPr>
          <w:p>
            <w:pPr>
              <w:widowControl/>
              <w:snapToGrid w:val="0"/>
              <w:jc w:val="center"/>
              <w:rPr>
                <w:rFonts w:hint="eastAsia" w:ascii="宋体" w:hAnsi="宋体" w:eastAsia="宋体"/>
                <w:color w:val="000000"/>
                <w:kern w:val="0"/>
                <w:sz w:val="18"/>
                <w:szCs w:val="18"/>
                <w:lang w:eastAsia="zh-CN"/>
              </w:rPr>
            </w:pPr>
          </w:p>
        </w:tc>
        <w:tc>
          <w:tcPr>
            <w:tcW w:w="4725"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hint="eastAsia" w:ascii="宋体" w:hAnsi="宋体" w:eastAsia="宋体"/>
                <w:color w:val="000000"/>
                <w:kern w:val="0"/>
                <w:sz w:val="18"/>
                <w:szCs w:val="18"/>
              </w:rPr>
              <w:t>深基坑施工未进行第三方监测</w:t>
            </w:r>
          </w:p>
        </w:tc>
        <w:tc>
          <w:tcPr>
            <w:tcW w:w="5692"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hint="eastAsia" w:ascii="宋体" w:hAnsi="宋体" w:eastAsia="宋体"/>
                <w:color w:val="000000"/>
                <w:kern w:val="0"/>
                <w:sz w:val="18"/>
                <w:szCs w:val="18"/>
              </w:rPr>
              <w:t>《房屋市政工程生产安全重大事故隐患判定标准（2022版）》</w:t>
            </w:r>
            <w:r>
              <w:rPr>
                <w:rFonts w:hint="eastAsia" w:ascii="宋体" w:hAnsi="宋体"/>
                <w:color w:val="000000"/>
                <w:kern w:val="0"/>
                <w:sz w:val="18"/>
                <w:szCs w:val="18"/>
                <w:lang w:eastAsia="zh-CN"/>
              </w:rPr>
              <w:t>第四条</w:t>
            </w:r>
          </w:p>
        </w:tc>
        <w:tc>
          <w:tcPr>
            <w:tcW w:w="584" w:type="dxa"/>
            <w:tcBorders>
              <w:top w:val="nil"/>
              <w:left w:val="nil"/>
              <w:bottom w:val="single" w:color="auto" w:sz="4" w:space="0"/>
              <w:right w:val="single" w:color="auto" w:sz="12" w:space="0"/>
            </w:tcBorders>
            <w:noWrap w:val="0"/>
            <w:vAlign w:val="center"/>
          </w:tcPr>
          <w:p>
            <w:pPr>
              <w:widowControl/>
              <w:snapToGrid w:val="0"/>
              <w:jc w:val="center"/>
              <w:rPr>
                <w:rFonts w:ascii="宋体" w:hAnsi="宋体" w:eastAsia="宋体"/>
                <w:color w:val="000000"/>
                <w:kern w:val="0"/>
                <w:sz w:val="18"/>
                <w:szCs w:val="18"/>
              </w:rPr>
            </w:pPr>
            <w:r>
              <w:rPr>
                <w:rFonts w:ascii="宋体" w:hAnsi="宋体" w:eastAsia="宋体" w:cs="Segoe UI Symbol"/>
                <w:color w:val="000000"/>
                <w:kern w:val="0"/>
                <w:sz w:val="18"/>
                <w:szCs w:val="18"/>
              </w:rPr>
              <w:t>★</w:t>
            </w:r>
          </w:p>
        </w:tc>
      </w:tr>
      <w:tr>
        <w:tblPrEx>
          <w:tblLayout w:type="fixed"/>
          <w:tblCellMar>
            <w:top w:w="0" w:type="dxa"/>
            <w:left w:w="108" w:type="dxa"/>
            <w:bottom w:w="0" w:type="dxa"/>
            <w:right w:w="108" w:type="dxa"/>
          </w:tblCellMar>
        </w:tblPrEx>
        <w:trPr>
          <w:cantSplit/>
          <w:jc w:val="center"/>
        </w:trPr>
        <w:tc>
          <w:tcPr>
            <w:tcW w:w="1668" w:type="dxa"/>
            <w:tcBorders>
              <w:top w:val="nil"/>
              <w:left w:val="single" w:color="auto" w:sz="12" w:space="0"/>
              <w:bottom w:val="single" w:color="auto" w:sz="4" w:space="0"/>
              <w:right w:val="single" w:color="auto" w:sz="4" w:space="0"/>
            </w:tcBorders>
            <w:noWrap w:val="0"/>
            <w:vAlign w:val="center"/>
          </w:tcPr>
          <w:p>
            <w:pPr>
              <w:widowControl/>
              <w:snapToGrid w:val="0"/>
              <w:jc w:val="center"/>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eastAsia="zh-CN"/>
              </w:rPr>
              <w:t>2023</w:t>
            </w:r>
            <w:r>
              <w:rPr>
                <w:rFonts w:ascii="宋体" w:hAnsi="宋体" w:eastAsia="宋体"/>
                <w:color w:val="000000"/>
                <w:kern w:val="0"/>
                <w:sz w:val="18"/>
                <w:szCs w:val="18"/>
              </w:rPr>
              <w:t>.004.03.01</w:t>
            </w:r>
            <w:r>
              <w:rPr>
                <w:rFonts w:hint="eastAsia" w:ascii="宋体" w:hAnsi="宋体" w:eastAsia="宋体"/>
                <w:color w:val="000000"/>
                <w:kern w:val="0"/>
                <w:sz w:val="18"/>
                <w:szCs w:val="18"/>
                <w:lang w:val="en-US" w:eastAsia="zh-CN"/>
              </w:rPr>
              <w:t>8</w:t>
            </w:r>
          </w:p>
        </w:tc>
        <w:tc>
          <w:tcPr>
            <w:tcW w:w="1002" w:type="dxa"/>
            <w:vMerge w:val="continue"/>
            <w:tcBorders>
              <w:left w:val="single" w:color="auto" w:sz="4" w:space="0"/>
              <w:bottom w:val="single" w:color="auto" w:sz="4" w:space="0"/>
              <w:right w:val="single" w:color="auto" w:sz="4" w:space="0"/>
            </w:tcBorders>
            <w:noWrap w:val="0"/>
            <w:vAlign w:val="center"/>
          </w:tcPr>
          <w:p>
            <w:pPr>
              <w:widowControl/>
              <w:snapToGrid w:val="0"/>
              <w:jc w:val="center"/>
              <w:rPr>
                <w:rFonts w:ascii="宋体" w:hAnsi="宋体" w:eastAsia="宋体"/>
                <w:color w:val="000000"/>
                <w:kern w:val="0"/>
                <w:sz w:val="18"/>
                <w:szCs w:val="18"/>
              </w:rPr>
            </w:pPr>
          </w:p>
        </w:tc>
        <w:tc>
          <w:tcPr>
            <w:tcW w:w="994" w:type="dxa"/>
            <w:vMerge w:val="continue"/>
            <w:tcBorders>
              <w:left w:val="single" w:color="auto" w:sz="4" w:space="0"/>
              <w:bottom w:val="single" w:color="auto" w:sz="4" w:space="0"/>
              <w:right w:val="single" w:color="auto" w:sz="4" w:space="0"/>
            </w:tcBorders>
            <w:noWrap w:val="0"/>
            <w:vAlign w:val="center"/>
          </w:tcPr>
          <w:p>
            <w:pPr>
              <w:widowControl/>
              <w:snapToGrid w:val="0"/>
              <w:jc w:val="center"/>
              <w:rPr>
                <w:rFonts w:ascii="宋体" w:hAnsi="宋体" w:eastAsia="宋体"/>
                <w:color w:val="000000"/>
                <w:kern w:val="0"/>
                <w:sz w:val="18"/>
                <w:szCs w:val="18"/>
              </w:rPr>
            </w:pPr>
          </w:p>
        </w:tc>
        <w:tc>
          <w:tcPr>
            <w:tcW w:w="4725"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olor w:val="000000"/>
                <w:kern w:val="0"/>
                <w:sz w:val="18"/>
                <w:szCs w:val="18"/>
              </w:rPr>
            </w:pPr>
            <w:r>
              <w:rPr>
                <w:rFonts w:hint="eastAsia" w:ascii="宋体" w:hAnsi="宋体" w:eastAsia="宋体"/>
                <w:color w:val="000000"/>
                <w:kern w:val="0"/>
                <w:sz w:val="18"/>
                <w:szCs w:val="18"/>
              </w:rPr>
              <w:t>有下列基坑坍塌风险预兆之一，且未及时处理：</w:t>
            </w:r>
          </w:p>
          <w:p>
            <w:pPr>
              <w:widowControl/>
              <w:snapToGrid w:val="0"/>
              <w:jc w:val="left"/>
              <w:rPr>
                <w:rFonts w:hint="eastAsia" w:ascii="宋体" w:hAnsi="宋体" w:eastAsia="宋体"/>
                <w:color w:val="000000"/>
                <w:kern w:val="0"/>
                <w:sz w:val="18"/>
                <w:szCs w:val="18"/>
              </w:rPr>
            </w:pPr>
            <w:r>
              <w:rPr>
                <w:rFonts w:hint="eastAsia" w:ascii="宋体" w:hAnsi="宋体" w:eastAsia="宋体"/>
                <w:color w:val="000000"/>
                <w:kern w:val="0"/>
                <w:sz w:val="18"/>
                <w:szCs w:val="18"/>
              </w:rPr>
              <w:t>1.支护结构或周边建筑物变形值超过设计变形控制值；</w:t>
            </w:r>
          </w:p>
          <w:p>
            <w:pPr>
              <w:widowControl/>
              <w:snapToGrid w:val="0"/>
              <w:jc w:val="left"/>
              <w:rPr>
                <w:rFonts w:hint="eastAsia" w:ascii="宋体" w:hAnsi="宋体" w:eastAsia="宋体"/>
                <w:color w:val="000000"/>
                <w:kern w:val="0"/>
                <w:sz w:val="18"/>
                <w:szCs w:val="18"/>
              </w:rPr>
            </w:pPr>
            <w:r>
              <w:rPr>
                <w:rFonts w:hint="eastAsia" w:ascii="宋体" w:hAnsi="宋体" w:eastAsia="宋体"/>
                <w:color w:val="000000"/>
                <w:kern w:val="0"/>
                <w:sz w:val="18"/>
                <w:szCs w:val="18"/>
              </w:rPr>
              <w:t>2.基坑侧壁出现大量漏水、流土；</w:t>
            </w:r>
          </w:p>
          <w:p>
            <w:pPr>
              <w:widowControl/>
              <w:snapToGrid w:val="0"/>
              <w:jc w:val="left"/>
              <w:rPr>
                <w:rFonts w:hint="eastAsia" w:ascii="宋体" w:hAnsi="宋体" w:eastAsia="宋体"/>
                <w:color w:val="000000"/>
                <w:kern w:val="0"/>
                <w:sz w:val="18"/>
                <w:szCs w:val="18"/>
              </w:rPr>
            </w:pPr>
            <w:r>
              <w:rPr>
                <w:rFonts w:hint="eastAsia" w:ascii="宋体" w:hAnsi="宋体" w:eastAsia="宋体"/>
                <w:color w:val="000000"/>
                <w:kern w:val="0"/>
                <w:sz w:val="18"/>
                <w:szCs w:val="18"/>
              </w:rPr>
              <w:t>3.基坑底部出现管涌；</w:t>
            </w:r>
          </w:p>
          <w:p>
            <w:pPr>
              <w:widowControl/>
              <w:snapToGrid w:val="0"/>
              <w:jc w:val="left"/>
              <w:rPr>
                <w:rFonts w:ascii="宋体" w:hAnsi="宋体" w:eastAsia="宋体"/>
                <w:color w:val="000000"/>
                <w:kern w:val="0"/>
                <w:sz w:val="18"/>
                <w:szCs w:val="18"/>
              </w:rPr>
            </w:pPr>
            <w:r>
              <w:rPr>
                <w:rFonts w:hint="eastAsia" w:ascii="宋体" w:hAnsi="宋体" w:eastAsia="宋体"/>
                <w:color w:val="000000"/>
                <w:kern w:val="0"/>
                <w:sz w:val="18"/>
                <w:szCs w:val="18"/>
              </w:rPr>
              <w:t>4.桩间土流失孔洞深度超过桩径。</w:t>
            </w:r>
          </w:p>
        </w:tc>
        <w:tc>
          <w:tcPr>
            <w:tcW w:w="5692"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hint="eastAsia" w:ascii="宋体" w:hAnsi="宋体" w:eastAsia="宋体"/>
                <w:color w:val="000000"/>
                <w:kern w:val="0"/>
                <w:sz w:val="18"/>
                <w:szCs w:val="18"/>
              </w:rPr>
              <w:t>《房屋市政工程生产安全重大事故隐患判定标准（2022版）》</w:t>
            </w:r>
            <w:r>
              <w:rPr>
                <w:rFonts w:hint="eastAsia" w:ascii="宋体" w:hAnsi="宋体"/>
                <w:color w:val="000000"/>
                <w:kern w:val="0"/>
                <w:sz w:val="18"/>
                <w:szCs w:val="18"/>
                <w:lang w:eastAsia="zh-CN"/>
              </w:rPr>
              <w:t>第四条</w:t>
            </w:r>
          </w:p>
        </w:tc>
        <w:tc>
          <w:tcPr>
            <w:tcW w:w="584" w:type="dxa"/>
            <w:tcBorders>
              <w:top w:val="nil"/>
              <w:left w:val="nil"/>
              <w:bottom w:val="single" w:color="auto" w:sz="4" w:space="0"/>
              <w:right w:val="single" w:color="auto" w:sz="12" w:space="0"/>
            </w:tcBorders>
            <w:noWrap w:val="0"/>
            <w:vAlign w:val="center"/>
          </w:tcPr>
          <w:p>
            <w:pPr>
              <w:widowControl/>
              <w:snapToGrid w:val="0"/>
              <w:jc w:val="center"/>
              <w:rPr>
                <w:rFonts w:ascii="宋体" w:hAnsi="宋体" w:eastAsia="宋体"/>
                <w:color w:val="000000"/>
                <w:kern w:val="0"/>
                <w:sz w:val="18"/>
                <w:szCs w:val="18"/>
              </w:rPr>
            </w:pPr>
            <w:r>
              <w:rPr>
                <w:rFonts w:ascii="宋体" w:hAnsi="宋体" w:eastAsia="宋体" w:cs="Segoe UI Symbol"/>
                <w:color w:val="000000"/>
                <w:kern w:val="0"/>
                <w:sz w:val="18"/>
                <w:szCs w:val="18"/>
              </w:rPr>
              <w:t>★</w:t>
            </w:r>
          </w:p>
        </w:tc>
      </w:tr>
      <w:tr>
        <w:tblPrEx>
          <w:tblLayout w:type="fixed"/>
          <w:tblCellMar>
            <w:top w:w="0" w:type="dxa"/>
            <w:left w:w="108" w:type="dxa"/>
            <w:bottom w:w="0" w:type="dxa"/>
            <w:right w:w="108" w:type="dxa"/>
          </w:tblCellMar>
        </w:tblPrEx>
        <w:trPr>
          <w:cantSplit/>
          <w:jc w:val="center"/>
        </w:trPr>
        <w:tc>
          <w:tcPr>
            <w:tcW w:w="14665" w:type="dxa"/>
            <w:gridSpan w:val="6"/>
            <w:tcBorders>
              <w:top w:val="single" w:color="auto" w:sz="4" w:space="0"/>
              <w:left w:val="single" w:color="auto" w:sz="12" w:space="0"/>
              <w:bottom w:val="single" w:color="auto" w:sz="4" w:space="0"/>
              <w:right w:val="single" w:color="auto" w:sz="12" w:space="0"/>
            </w:tcBorders>
            <w:noWrap w:val="0"/>
            <w:vAlign w:val="center"/>
          </w:tcPr>
          <w:p>
            <w:pPr>
              <w:widowControl/>
              <w:snapToGrid w:val="0"/>
              <w:jc w:val="center"/>
              <w:rPr>
                <w:rFonts w:ascii="宋体" w:hAnsi="宋体" w:eastAsia="宋体"/>
                <w:b/>
                <w:color w:val="000000"/>
                <w:kern w:val="0"/>
                <w:sz w:val="18"/>
                <w:szCs w:val="18"/>
              </w:rPr>
            </w:pPr>
            <w:r>
              <w:rPr>
                <w:rFonts w:ascii="宋体" w:hAnsi="宋体" w:eastAsia="宋体"/>
                <w:b/>
                <w:color w:val="000000"/>
                <w:kern w:val="0"/>
                <w:sz w:val="18"/>
                <w:szCs w:val="18"/>
              </w:rPr>
              <w:t>矿山法工程方面</w:t>
            </w:r>
          </w:p>
        </w:tc>
      </w:tr>
      <w:tr>
        <w:tblPrEx>
          <w:tblLayout w:type="fixed"/>
          <w:tblCellMar>
            <w:top w:w="0" w:type="dxa"/>
            <w:left w:w="108" w:type="dxa"/>
            <w:bottom w:w="0" w:type="dxa"/>
            <w:right w:w="108" w:type="dxa"/>
          </w:tblCellMar>
        </w:tblPrEx>
        <w:trPr>
          <w:cantSplit/>
          <w:jc w:val="center"/>
        </w:trPr>
        <w:tc>
          <w:tcPr>
            <w:tcW w:w="1668" w:type="dxa"/>
            <w:tcBorders>
              <w:top w:val="nil"/>
              <w:left w:val="single" w:color="auto" w:sz="12" w:space="0"/>
              <w:bottom w:val="single" w:color="auto" w:sz="4" w:space="0"/>
              <w:right w:val="single" w:color="auto" w:sz="4" w:space="0"/>
            </w:tcBorders>
            <w:noWrap w:val="0"/>
            <w:vAlign w:val="center"/>
          </w:tcPr>
          <w:p>
            <w:pPr>
              <w:widowControl/>
              <w:snapToGrid w:val="0"/>
              <w:jc w:val="center"/>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eastAsia="zh-CN"/>
              </w:rPr>
              <w:t>2023</w:t>
            </w:r>
            <w:r>
              <w:rPr>
                <w:rFonts w:ascii="宋体" w:hAnsi="宋体" w:eastAsia="宋体"/>
                <w:color w:val="000000"/>
                <w:kern w:val="0"/>
                <w:sz w:val="18"/>
                <w:szCs w:val="18"/>
              </w:rPr>
              <w:t>.004.03.01</w:t>
            </w:r>
            <w:r>
              <w:rPr>
                <w:rFonts w:hint="eastAsia" w:ascii="宋体" w:hAnsi="宋体"/>
                <w:color w:val="000000"/>
                <w:kern w:val="0"/>
                <w:sz w:val="18"/>
                <w:szCs w:val="18"/>
                <w:lang w:val="en-US" w:eastAsia="zh-CN"/>
              </w:rPr>
              <w:t>9</w:t>
            </w:r>
          </w:p>
        </w:tc>
        <w:tc>
          <w:tcPr>
            <w:tcW w:w="1002" w:type="dxa"/>
            <w:vMerge w:val="restart"/>
            <w:tcBorders>
              <w:top w:val="nil"/>
              <w:left w:val="single" w:color="auto" w:sz="4" w:space="0"/>
              <w:right w:val="single" w:color="auto" w:sz="4" w:space="0"/>
            </w:tcBorders>
            <w:noWrap w:val="0"/>
            <w:vAlign w:val="center"/>
          </w:tcPr>
          <w:p>
            <w:pPr>
              <w:widowControl/>
              <w:snapToGrid w:val="0"/>
              <w:jc w:val="center"/>
              <w:rPr>
                <w:rFonts w:ascii="宋体" w:hAnsi="宋体" w:eastAsia="宋体"/>
                <w:color w:val="000000"/>
                <w:kern w:val="0"/>
                <w:sz w:val="18"/>
                <w:szCs w:val="18"/>
              </w:rPr>
            </w:pPr>
            <w:r>
              <w:rPr>
                <w:rFonts w:ascii="宋体" w:hAnsi="宋体" w:eastAsia="宋体"/>
                <w:color w:val="000000"/>
                <w:kern w:val="0"/>
                <w:sz w:val="18"/>
                <w:szCs w:val="18"/>
              </w:rPr>
              <w:t>设备设施及物料类</w:t>
            </w:r>
          </w:p>
        </w:tc>
        <w:tc>
          <w:tcPr>
            <w:tcW w:w="994" w:type="dxa"/>
            <w:vMerge w:val="restart"/>
            <w:tcBorders>
              <w:top w:val="nil"/>
              <w:left w:val="single" w:color="auto" w:sz="4" w:space="0"/>
              <w:right w:val="single" w:color="auto" w:sz="4" w:space="0"/>
            </w:tcBorders>
            <w:noWrap w:val="0"/>
            <w:vAlign w:val="center"/>
          </w:tcPr>
          <w:p>
            <w:pPr>
              <w:widowControl/>
              <w:snapToGrid w:val="0"/>
              <w:jc w:val="center"/>
              <w:rPr>
                <w:rFonts w:ascii="宋体" w:hAnsi="宋体" w:eastAsia="宋体"/>
                <w:color w:val="000000"/>
                <w:kern w:val="0"/>
                <w:sz w:val="18"/>
                <w:szCs w:val="18"/>
              </w:rPr>
            </w:pPr>
            <w:r>
              <w:rPr>
                <w:rFonts w:ascii="宋体" w:hAnsi="宋体" w:eastAsia="宋体"/>
                <w:color w:val="000000"/>
                <w:kern w:val="0"/>
                <w:sz w:val="18"/>
                <w:szCs w:val="18"/>
              </w:rPr>
              <w:t>辅助系统设备设施类</w:t>
            </w:r>
          </w:p>
        </w:tc>
        <w:tc>
          <w:tcPr>
            <w:tcW w:w="4725"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马头门破除、大断面、变断面或多导洞施工时，施工顺序与方案不符、</w:t>
            </w:r>
            <w:r>
              <w:rPr>
                <w:rFonts w:hint="eastAsia" w:ascii="宋体" w:hAnsi="宋体" w:eastAsia="宋体"/>
                <w:color w:val="000000"/>
                <w:kern w:val="0"/>
                <w:sz w:val="18"/>
                <w:szCs w:val="18"/>
              </w:rPr>
              <w:t>未做</w:t>
            </w:r>
            <w:r>
              <w:rPr>
                <w:rFonts w:ascii="宋体" w:hAnsi="宋体" w:eastAsia="宋体"/>
                <w:color w:val="000000"/>
                <w:kern w:val="0"/>
                <w:sz w:val="18"/>
                <w:szCs w:val="18"/>
              </w:rPr>
              <w:t>超前支护、拱部一次开挖施工两榀及以上，且达发布红色综合预警条件。</w:t>
            </w:r>
          </w:p>
        </w:tc>
        <w:tc>
          <w:tcPr>
            <w:tcW w:w="5692"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《北京市房屋建筑和市政基础设施工程重大生产安全事故隐患判定导则》第6.3.1条</w:t>
            </w:r>
          </w:p>
        </w:tc>
        <w:tc>
          <w:tcPr>
            <w:tcW w:w="584" w:type="dxa"/>
            <w:tcBorders>
              <w:top w:val="nil"/>
              <w:left w:val="nil"/>
              <w:bottom w:val="single" w:color="auto" w:sz="4" w:space="0"/>
              <w:right w:val="single" w:color="auto" w:sz="12" w:space="0"/>
            </w:tcBorders>
            <w:noWrap w:val="0"/>
            <w:vAlign w:val="center"/>
          </w:tcPr>
          <w:p>
            <w:pPr>
              <w:widowControl/>
              <w:snapToGrid w:val="0"/>
              <w:jc w:val="center"/>
              <w:rPr>
                <w:rFonts w:ascii="宋体" w:hAnsi="宋体" w:eastAsia="宋体"/>
                <w:b/>
                <w:bCs/>
                <w:color w:val="000000"/>
                <w:kern w:val="0"/>
                <w:sz w:val="18"/>
                <w:szCs w:val="18"/>
              </w:rPr>
            </w:pPr>
          </w:p>
        </w:tc>
      </w:tr>
      <w:tr>
        <w:tblPrEx>
          <w:tblLayout w:type="fixed"/>
          <w:tblCellMar>
            <w:top w:w="0" w:type="dxa"/>
            <w:left w:w="108" w:type="dxa"/>
            <w:bottom w:w="0" w:type="dxa"/>
            <w:right w:w="108" w:type="dxa"/>
          </w:tblCellMar>
        </w:tblPrEx>
        <w:trPr>
          <w:cantSplit/>
          <w:jc w:val="center"/>
        </w:trPr>
        <w:tc>
          <w:tcPr>
            <w:tcW w:w="1668" w:type="dxa"/>
            <w:tcBorders>
              <w:top w:val="nil"/>
              <w:left w:val="single" w:color="auto" w:sz="12" w:space="0"/>
              <w:bottom w:val="single" w:color="auto" w:sz="4" w:space="0"/>
              <w:right w:val="single" w:color="auto" w:sz="4" w:space="0"/>
            </w:tcBorders>
            <w:noWrap w:val="0"/>
            <w:vAlign w:val="center"/>
          </w:tcPr>
          <w:p>
            <w:pPr>
              <w:widowControl/>
              <w:snapToGrid w:val="0"/>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eastAsia="zh-CN"/>
              </w:rPr>
              <w:t>2023</w:t>
            </w:r>
            <w:r>
              <w:rPr>
                <w:rFonts w:ascii="宋体" w:hAnsi="宋体" w:eastAsia="宋体"/>
                <w:color w:val="000000"/>
                <w:kern w:val="0"/>
                <w:sz w:val="18"/>
                <w:szCs w:val="18"/>
              </w:rPr>
              <w:t>.004.03.0</w:t>
            </w:r>
            <w:r>
              <w:rPr>
                <w:rFonts w:hint="eastAsia" w:ascii="宋体" w:hAnsi="宋体"/>
                <w:color w:val="000000"/>
                <w:kern w:val="0"/>
                <w:sz w:val="18"/>
                <w:szCs w:val="18"/>
                <w:lang w:val="en-US" w:eastAsia="zh-CN"/>
              </w:rPr>
              <w:t>20</w:t>
            </w:r>
          </w:p>
        </w:tc>
        <w:tc>
          <w:tcPr>
            <w:tcW w:w="1002" w:type="dxa"/>
            <w:vMerge w:val="continue"/>
            <w:tcBorders>
              <w:left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p>
        </w:tc>
        <w:tc>
          <w:tcPr>
            <w:tcW w:w="994" w:type="dxa"/>
            <w:vMerge w:val="continue"/>
            <w:tcBorders>
              <w:left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p>
        </w:tc>
        <w:tc>
          <w:tcPr>
            <w:tcW w:w="4725"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同向或相向开挖隧道距离小于规范及设计规定时，另一端未停止开挖，且达发布红色综合预警条件。</w:t>
            </w:r>
          </w:p>
        </w:tc>
        <w:tc>
          <w:tcPr>
            <w:tcW w:w="5692"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GB50652-2011《城市轨道交通地下工程建设风险管理规范》；《北京市房屋建筑和市政基础设施工程重大生产安全事故隐患判定导则》第6.3.2条</w:t>
            </w:r>
          </w:p>
        </w:tc>
        <w:tc>
          <w:tcPr>
            <w:tcW w:w="584" w:type="dxa"/>
            <w:tcBorders>
              <w:top w:val="nil"/>
              <w:left w:val="nil"/>
              <w:bottom w:val="single" w:color="auto" w:sz="4" w:space="0"/>
              <w:right w:val="single" w:color="auto" w:sz="12" w:space="0"/>
            </w:tcBorders>
            <w:noWrap w:val="0"/>
            <w:vAlign w:val="center"/>
          </w:tcPr>
          <w:p>
            <w:pPr>
              <w:widowControl/>
              <w:snapToGrid w:val="0"/>
              <w:jc w:val="center"/>
              <w:rPr>
                <w:rFonts w:ascii="宋体" w:hAnsi="宋体" w:eastAsia="宋体"/>
                <w:b/>
                <w:bCs/>
                <w:color w:val="000000"/>
                <w:kern w:val="0"/>
                <w:sz w:val="18"/>
                <w:szCs w:val="18"/>
              </w:rPr>
            </w:pPr>
          </w:p>
        </w:tc>
      </w:tr>
      <w:tr>
        <w:tblPrEx>
          <w:tblLayout w:type="fixed"/>
          <w:tblCellMar>
            <w:top w:w="0" w:type="dxa"/>
            <w:left w:w="108" w:type="dxa"/>
            <w:bottom w:w="0" w:type="dxa"/>
            <w:right w:w="108" w:type="dxa"/>
          </w:tblCellMar>
        </w:tblPrEx>
        <w:trPr>
          <w:cantSplit/>
          <w:jc w:val="center"/>
        </w:trPr>
        <w:tc>
          <w:tcPr>
            <w:tcW w:w="1668" w:type="dxa"/>
            <w:tcBorders>
              <w:top w:val="nil"/>
              <w:left w:val="single" w:color="auto" w:sz="12" w:space="0"/>
              <w:bottom w:val="single" w:color="auto" w:sz="4" w:space="0"/>
              <w:right w:val="single" w:color="auto" w:sz="4" w:space="0"/>
            </w:tcBorders>
            <w:noWrap w:val="0"/>
            <w:vAlign w:val="center"/>
          </w:tcPr>
          <w:p>
            <w:pPr>
              <w:widowControl/>
              <w:snapToGrid w:val="0"/>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eastAsia="zh-CN"/>
              </w:rPr>
              <w:t>2023</w:t>
            </w:r>
            <w:r>
              <w:rPr>
                <w:rFonts w:ascii="宋体" w:hAnsi="宋体" w:eastAsia="宋体"/>
                <w:color w:val="000000"/>
                <w:kern w:val="0"/>
                <w:sz w:val="18"/>
                <w:szCs w:val="18"/>
              </w:rPr>
              <w:t>.004.03.0</w:t>
            </w:r>
            <w:r>
              <w:rPr>
                <w:rFonts w:hint="eastAsia" w:ascii="宋体" w:hAnsi="宋体"/>
                <w:color w:val="000000"/>
                <w:kern w:val="0"/>
                <w:sz w:val="18"/>
                <w:szCs w:val="18"/>
                <w:lang w:val="en-US" w:eastAsia="zh-CN"/>
              </w:rPr>
              <w:t>21</w:t>
            </w:r>
          </w:p>
        </w:tc>
        <w:tc>
          <w:tcPr>
            <w:tcW w:w="1002" w:type="dxa"/>
            <w:vMerge w:val="continue"/>
            <w:tcBorders>
              <w:left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p>
        </w:tc>
        <w:tc>
          <w:tcPr>
            <w:tcW w:w="994" w:type="dxa"/>
            <w:vMerge w:val="continue"/>
            <w:tcBorders>
              <w:left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p>
        </w:tc>
        <w:tc>
          <w:tcPr>
            <w:tcW w:w="4725"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平顶直墙段、斜坡段或大断面段等临时支撑拆除超过设计规定长度，且监测数据已达到红色预警值。</w:t>
            </w:r>
          </w:p>
        </w:tc>
        <w:tc>
          <w:tcPr>
            <w:tcW w:w="5692"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GB50652-2011《城市轨道交通地下工程建设风险管理规范》；《北京市房屋建筑和市政基础设施工程重大生产安全事故隐患判定导则》第6.3.3条</w:t>
            </w:r>
          </w:p>
        </w:tc>
        <w:tc>
          <w:tcPr>
            <w:tcW w:w="584" w:type="dxa"/>
            <w:tcBorders>
              <w:top w:val="nil"/>
              <w:left w:val="nil"/>
              <w:bottom w:val="single" w:color="auto" w:sz="4" w:space="0"/>
              <w:right w:val="single" w:color="auto" w:sz="12" w:space="0"/>
            </w:tcBorders>
            <w:noWrap w:val="0"/>
            <w:vAlign w:val="center"/>
          </w:tcPr>
          <w:p>
            <w:pPr>
              <w:widowControl/>
              <w:snapToGrid w:val="0"/>
              <w:jc w:val="center"/>
              <w:rPr>
                <w:rFonts w:ascii="宋体" w:hAnsi="宋体" w:eastAsia="宋体"/>
                <w:b/>
                <w:bCs/>
                <w:color w:val="000000"/>
                <w:kern w:val="0"/>
                <w:sz w:val="18"/>
                <w:szCs w:val="18"/>
              </w:rPr>
            </w:pPr>
          </w:p>
        </w:tc>
      </w:tr>
      <w:tr>
        <w:tblPrEx>
          <w:tblLayout w:type="fixed"/>
          <w:tblCellMar>
            <w:top w:w="0" w:type="dxa"/>
            <w:left w:w="108" w:type="dxa"/>
            <w:bottom w:w="0" w:type="dxa"/>
            <w:right w:w="108" w:type="dxa"/>
          </w:tblCellMar>
        </w:tblPrEx>
        <w:trPr>
          <w:cantSplit/>
          <w:jc w:val="center"/>
        </w:trPr>
        <w:tc>
          <w:tcPr>
            <w:tcW w:w="1668" w:type="dxa"/>
            <w:tcBorders>
              <w:top w:val="nil"/>
              <w:left w:val="single" w:color="auto" w:sz="12" w:space="0"/>
              <w:bottom w:val="single" w:color="auto" w:sz="4" w:space="0"/>
              <w:right w:val="single" w:color="auto" w:sz="4" w:space="0"/>
            </w:tcBorders>
            <w:noWrap w:val="0"/>
            <w:vAlign w:val="center"/>
          </w:tcPr>
          <w:p>
            <w:pPr>
              <w:widowControl/>
              <w:snapToGrid w:val="0"/>
              <w:jc w:val="center"/>
              <w:rPr>
                <w:rFonts w:hint="default" w:ascii="宋体" w:hAnsi="宋体"/>
                <w:color w:val="000000"/>
                <w:kern w:val="0"/>
                <w:sz w:val="18"/>
                <w:szCs w:val="18"/>
                <w:lang w:val="en-US" w:eastAsia="zh-CN"/>
              </w:rPr>
            </w:pPr>
            <w:r>
              <w:rPr>
                <w:rFonts w:hint="eastAsia" w:ascii="宋体" w:hAnsi="宋体"/>
                <w:color w:val="000000"/>
                <w:kern w:val="0"/>
                <w:sz w:val="18"/>
                <w:szCs w:val="18"/>
                <w:lang w:eastAsia="zh-CN"/>
              </w:rPr>
              <w:t>2023</w:t>
            </w:r>
            <w:r>
              <w:rPr>
                <w:rFonts w:ascii="宋体" w:hAnsi="宋体" w:eastAsia="宋体"/>
                <w:color w:val="000000"/>
                <w:kern w:val="0"/>
                <w:sz w:val="18"/>
                <w:szCs w:val="18"/>
              </w:rPr>
              <w:t>.004.03.0</w:t>
            </w:r>
            <w:r>
              <w:rPr>
                <w:rFonts w:hint="eastAsia" w:ascii="宋体" w:hAnsi="宋体"/>
                <w:color w:val="000000"/>
                <w:kern w:val="0"/>
                <w:sz w:val="18"/>
                <w:szCs w:val="18"/>
                <w:lang w:val="en-US" w:eastAsia="zh-CN"/>
              </w:rPr>
              <w:t>22</w:t>
            </w:r>
          </w:p>
        </w:tc>
        <w:tc>
          <w:tcPr>
            <w:tcW w:w="1002" w:type="dxa"/>
            <w:vMerge w:val="continue"/>
            <w:tcBorders>
              <w:left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p>
        </w:tc>
        <w:tc>
          <w:tcPr>
            <w:tcW w:w="994" w:type="dxa"/>
            <w:vMerge w:val="continue"/>
            <w:tcBorders>
              <w:left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p>
        </w:tc>
        <w:tc>
          <w:tcPr>
            <w:tcW w:w="4725"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hint="eastAsia" w:ascii="宋体" w:hAnsi="宋体" w:eastAsia="宋体"/>
                <w:color w:val="000000"/>
                <w:kern w:val="0"/>
                <w:sz w:val="18"/>
                <w:szCs w:val="18"/>
              </w:rPr>
              <w:t>作业面带水施工未采取相关措施，或地下水控制措施失效且继续施工</w:t>
            </w:r>
          </w:p>
        </w:tc>
        <w:tc>
          <w:tcPr>
            <w:tcW w:w="5692"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hint="eastAsia" w:ascii="宋体" w:hAnsi="宋体" w:eastAsia="宋体"/>
                <w:color w:val="000000"/>
                <w:kern w:val="0"/>
                <w:sz w:val="18"/>
                <w:szCs w:val="18"/>
              </w:rPr>
              <w:t>《房屋市政工程生产安全重大事故隐患判定标准（2022版）》</w:t>
            </w:r>
            <w:r>
              <w:rPr>
                <w:rFonts w:hint="eastAsia" w:ascii="宋体" w:hAnsi="宋体"/>
                <w:color w:val="000000"/>
                <w:kern w:val="0"/>
                <w:sz w:val="18"/>
                <w:szCs w:val="18"/>
                <w:lang w:eastAsia="zh-CN"/>
              </w:rPr>
              <w:t>第四条</w:t>
            </w:r>
          </w:p>
        </w:tc>
        <w:tc>
          <w:tcPr>
            <w:tcW w:w="584" w:type="dxa"/>
            <w:tcBorders>
              <w:top w:val="nil"/>
              <w:left w:val="nil"/>
              <w:bottom w:val="single" w:color="auto" w:sz="4" w:space="0"/>
              <w:right w:val="single" w:color="auto" w:sz="12" w:space="0"/>
            </w:tcBorders>
            <w:noWrap w:val="0"/>
            <w:vAlign w:val="center"/>
          </w:tcPr>
          <w:p>
            <w:pPr>
              <w:widowControl/>
              <w:snapToGrid w:val="0"/>
              <w:jc w:val="center"/>
              <w:rPr>
                <w:rFonts w:ascii="宋体" w:hAnsi="宋体" w:eastAsia="宋体"/>
                <w:b/>
                <w:bCs/>
                <w:color w:val="000000"/>
                <w:kern w:val="0"/>
                <w:sz w:val="18"/>
                <w:szCs w:val="18"/>
              </w:rPr>
            </w:pPr>
            <w:r>
              <w:rPr>
                <w:rFonts w:ascii="宋体" w:hAnsi="宋体" w:eastAsia="宋体" w:cs="Segoe UI Symbol"/>
                <w:color w:val="000000"/>
                <w:kern w:val="0"/>
                <w:sz w:val="18"/>
                <w:szCs w:val="18"/>
              </w:rPr>
              <w:t>★</w:t>
            </w:r>
          </w:p>
        </w:tc>
      </w:tr>
      <w:tr>
        <w:tblPrEx>
          <w:tblLayout w:type="fixed"/>
          <w:tblCellMar>
            <w:top w:w="0" w:type="dxa"/>
            <w:left w:w="108" w:type="dxa"/>
            <w:bottom w:w="0" w:type="dxa"/>
            <w:right w:w="108" w:type="dxa"/>
          </w:tblCellMar>
        </w:tblPrEx>
        <w:trPr>
          <w:cantSplit/>
          <w:jc w:val="center"/>
        </w:trPr>
        <w:tc>
          <w:tcPr>
            <w:tcW w:w="1668" w:type="dxa"/>
            <w:tcBorders>
              <w:top w:val="nil"/>
              <w:left w:val="single" w:color="auto" w:sz="12" w:space="0"/>
              <w:bottom w:val="single" w:color="auto" w:sz="4" w:space="0"/>
              <w:right w:val="single" w:color="auto" w:sz="4" w:space="0"/>
            </w:tcBorders>
            <w:noWrap w:val="0"/>
            <w:vAlign w:val="center"/>
          </w:tcPr>
          <w:p>
            <w:pPr>
              <w:widowControl/>
              <w:snapToGrid w:val="0"/>
              <w:jc w:val="center"/>
              <w:rPr>
                <w:rFonts w:hint="default" w:ascii="宋体" w:hAnsi="宋体"/>
                <w:color w:val="000000"/>
                <w:kern w:val="0"/>
                <w:sz w:val="18"/>
                <w:szCs w:val="18"/>
                <w:lang w:val="en-US" w:eastAsia="zh-CN"/>
              </w:rPr>
            </w:pPr>
            <w:r>
              <w:rPr>
                <w:rFonts w:hint="eastAsia" w:ascii="宋体" w:hAnsi="宋体"/>
                <w:color w:val="000000"/>
                <w:kern w:val="0"/>
                <w:sz w:val="18"/>
                <w:szCs w:val="18"/>
                <w:lang w:eastAsia="zh-CN"/>
              </w:rPr>
              <w:t>2023</w:t>
            </w:r>
            <w:r>
              <w:rPr>
                <w:rFonts w:ascii="宋体" w:hAnsi="宋体" w:eastAsia="宋体"/>
                <w:color w:val="000000"/>
                <w:kern w:val="0"/>
                <w:sz w:val="18"/>
                <w:szCs w:val="18"/>
              </w:rPr>
              <w:t>.004.03.0</w:t>
            </w:r>
            <w:r>
              <w:rPr>
                <w:rFonts w:hint="eastAsia" w:ascii="宋体" w:hAnsi="宋体"/>
                <w:color w:val="000000"/>
                <w:kern w:val="0"/>
                <w:sz w:val="18"/>
                <w:szCs w:val="18"/>
                <w:lang w:val="en-US" w:eastAsia="zh-CN"/>
              </w:rPr>
              <w:t>23</w:t>
            </w:r>
          </w:p>
        </w:tc>
        <w:tc>
          <w:tcPr>
            <w:tcW w:w="1002" w:type="dxa"/>
            <w:vMerge w:val="continue"/>
            <w:tcBorders>
              <w:left w:val="single" w:color="auto" w:sz="4" w:space="0"/>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p>
        </w:tc>
        <w:tc>
          <w:tcPr>
            <w:tcW w:w="994" w:type="dxa"/>
            <w:vMerge w:val="continue"/>
            <w:tcBorders>
              <w:left w:val="single" w:color="auto" w:sz="4" w:space="0"/>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p>
        </w:tc>
        <w:tc>
          <w:tcPr>
            <w:tcW w:w="4725"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olor w:val="000000"/>
                <w:kern w:val="0"/>
                <w:sz w:val="18"/>
                <w:szCs w:val="18"/>
              </w:rPr>
            </w:pPr>
            <w:r>
              <w:rPr>
                <w:rFonts w:hint="eastAsia" w:ascii="宋体" w:hAnsi="宋体" w:eastAsia="宋体"/>
                <w:color w:val="000000"/>
                <w:kern w:val="0"/>
                <w:sz w:val="18"/>
                <w:szCs w:val="18"/>
              </w:rPr>
              <w:t>施工时出现涌水、涌沙、局部坍塌，支护结构扭曲变形或出现裂缝，且有不断增大趋势，未及时采取措施</w:t>
            </w:r>
          </w:p>
        </w:tc>
        <w:tc>
          <w:tcPr>
            <w:tcW w:w="5692"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color w:val="000000"/>
                <w:kern w:val="0"/>
                <w:sz w:val="18"/>
                <w:szCs w:val="18"/>
              </w:rPr>
            </w:pPr>
            <w:r>
              <w:rPr>
                <w:rFonts w:hint="eastAsia" w:ascii="宋体" w:hAnsi="宋体" w:eastAsia="宋体"/>
                <w:color w:val="000000"/>
                <w:kern w:val="0"/>
                <w:sz w:val="18"/>
                <w:szCs w:val="18"/>
              </w:rPr>
              <w:t>《房屋市政工程生产安全重大事故隐患判定标准（2022版）》</w:t>
            </w:r>
            <w:r>
              <w:rPr>
                <w:rFonts w:hint="eastAsia" w:ascii="宋体" w:hAnsi="宋体"/>
                <w:color w:val="000000"/>
                <w:kern w:val="0"/>
                <w:sz w:val="18"/>
                <w:szCs w:val="18"/>
                <w:lang w:eastAsia="zh-CN"/>
              </w:rPr>
              <w:t>第四条</w:t>
            </w:r>
          </w:p>
        </w:tc>
        <w:tc>
          <w:tcPr>
            <w:tcW w:w="584" w:type="dxa"/>
            <w:tcBorders>
              <w:top w:val="nil"/>
              <w:left w:val="nil"/>
              <w:bottom w:val="single" w:color="auto" w:sz="4" w:space="0"/>
              <w:right w:val="single" w:color="auto" w:sz="12" w:space="0"/>
            </w:tcBorders>
            <w:noWrap w:val="0"/>
            <w:vAlign w:val="center"/>
          </w:tcPr>
          <w:p>
            <w:pPr>
              <w:widowControl/>
              <w:snapToGrid w:val="0"/>
              <w:jc w:val="center"/>
              <w:rPr>
                <w:rFonts w:ascii="宋体" w:hAnsi="宋体" w:eastAsia="宋体" w:cs="Segoe UI Symbol"/>
                <w:color w:val="000000"/>
                <w:kern w:val="0"/>
                <w:sz w:val="18"/>
                <w:szCs w:val="18"/>
              </w:rPr>
            </w:pPr>
            <w:r>
              <w:rPr>
                <w:rFonts w:ascii="宋体" w:hAnsi="宋体" w:eastAsia="宋体" w:cs="Segoe UI Symbol"/>
                <w:color w:val="000000"/>
                <w:kern w:val="0"/>
                <w:sz w:val="18"/>
                <w:szCs w:val="18"/>
              </w:rPr>
              <w:t>★</w:t>
            </w:r>
          </w:p>
        </w:tc>
      </w:tr>
      <w:tr>
        <w:tblPrEx>
          <w:tblLayout w:type="fixed"/>
          <w:tblCellMar>
            <w:top w:w="0" w:type="dxa"/>
            <w:left w:w="108" w:type="dxa"/>
            <w:bottom w:w="0" w:type="dxa"/>
            <w:right w:w="108" w:type="dxa"/>
          </w:tblCellMar>
        </w:tblPrEx>
        <w:trPr>
          <w:cantSplit/>
          <w:jc w:val="center"/>
        </w:trPr>
        <w:tc>
          <w:tcPr>
            <w:tcW w:w="14665" w:type="dxa"/>
            <w:gridSpan w:val="6"/>
            <w:tcBorders>
              <w:top w:val="single" w:color="auto" w:sz="4" w:space="0"/>
              <w:left w:val="single" w:color="auto" w:sz="12" w:space="0"/>
              <w:bottom w:val="single" w:color="auto" w:sz="4" w:space="0"/>
              <w:right w:val="single" w:color="auto" w:sz="12" w:space="0"/>
            </w:tcBorders>
            <w:noWrap w:val="0"/>
            <w:vAlign w:val="center"/>
          </w:tcPr>
          <w:p>
            <w:pPr>
              <w:widowControl/>
              <w:snapToGrid w:val="0"/>
              <w:jc w:val="center"/>
              <w:rPr>
                <w:rFonts w:ascii="宋体" w:hAnsi="宋体" w:eastAsia="宋体"/>
                <w:b/>
                <w:color w:val="000000"/>
                <w:kern w:val="0"/>
                <w:sz w:val="18"/>
                <w:szCs w:val="18"/>
              </w:rPr>
            </w:pPr>
            <w:r>
              <w:rPr>
                <w:rFonts w:ascii="宋体" w:hAnsi="宋体" w:eastAsia="宋体"/>
                <w:b/>
                <w:color w:val="000000"/>
                <w:kern w:val="0"/>
                <w:sz w:val="18"/>
                <w:szCs w:val="18"/>
              </w:rPr>
              <w:t>盾构工程方面</w:t>
            </w:r>
          </w:p>
        </w:tc>
      </w:tr>
      <w:tr>
        <w:tblPrEx>
          <w:tblLayout w:type="fixed"/>
          <w:tblCellMar>
            <w:top w:w="0" w:type="dxa"/>
            <w:left w:w="108" w:type="dxa"/>
            <w:bottom w:w="0" w:type="dxa"/>
            <w:right w:w="108" w:type="dxa"/>
          </w:tblCellMar>
        </w:tblPrEx>
        <w:trPr>
          <w:cantSplit/>
          <w:jc w:val="center"/>
        </w:trPr>
        <w:tc>
          <w:tcPr>
            <w:tcW w:w="1668" w:type="dxa"/>
            <w:tcBorders>
              <w:top w:val="nil"/>
              <w:left w:val="single" w:color="auto" w:sz="12" w:space="0"/>
              <w:bottom w:val="single" w:color="auto" w:sz="4" w:space="0"/>
              <w:right w:val="single" w:color="auto" w:sz="4" w:space="0"/>
            </w:tcBorders>
            <w:noWrap w:val="0"/>
            <w:vAlign w:val="center"/>
          </w:tcPr>
          <w:p>
            <w:pPr>
              <w:widowControl/>
              <w:snapToGrid w:val="0"/>
              <w:jc w:val="center"/>
              <w:rPr>
                <w:rFonts w:hint="default" w:ascii="宋体" w:hAnsi="宋体" w:eastAsia="宋体"/>
                <w:color w:val="000000"/>
                <w:kern w:val="0"/>
                <w:sz w:val="18"/>
                <w:szCs w:val="18"/>
                <w:lang w:val="en-US"/>
              </w:rPr>
            </w:pPr>
            <w:r>
              <w:rPr>
                <w:rFonts w:hint="eastAsia" w:ascii="宋体" w:hAnsi="宋体"/>
                <w:color w:val="000000"/>
                <w:kern w:val="0"/>
                <w:sz w:val="18"/>
                <w:szCs w:val="18"/>
                <w:lang w:eastAsia="zh-CN"/>
              </w:rPr>
              <w:t>2023</w:t>
            </w:r>
            <w:r>
              <w:rPr>
                <w:rFonts w:ascii="宋体" w:hAnsi="宋体" w:eastAsia="宋体"/>
                <w:color w:val="000000"/>
                <w:kern w:val="0"/>
                <w:sz w:val="18"/>
                <w:szCs w:val="18"/>
              </w:rPr>
              <w:t>.004.03.0</w:t>
            </w:r>
            <w:r>
              <w:rPr>
                <w:rFonts w:hint="eastAsia" w:ascii="宋体" w:hAnsi="宋体"/>
                <w:color w:val="000000"/>
                <w:kern w:val="0"/>
                <w:sz w:val="18"/>
                <w:szCs w:val="18"/>
                <w:lang w:val="en-US" w:eastAsia="zh-CN"/>
              </w:rPr>
              <w:t>24</w:t>
            </w:r>
          </w:p>
        </w:tc>
        <w:tc>
          <w:tcPr>
            <w:tcW w:w="1002"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eastAsia="宋体"/>
                <w:color w:val="000000"/>
                <w:kern w:val="0"/>
                <w:sz w:val="18"/>
                <w:szCs w:val="18"/>
              </w:rPr>
            </w:pPr>
            <w:r>
              <w:rPr>
                <w:rFonts w:ascii="宋体" w:hAnsi="宋体" w:eastAsia="宋体"/>
                <w:color w:val="000000"/>
                <w:kern w:val="0"/>
                <w:sz w:val="18"/>
                <w:szCs w:val="18"/>
              </w:rPr>
              <w:t>基础资料类</w:t>
            </w:r>
          </w:p>
        </w:tc>
        <w:tc>
          <w:tcPr>
            <w:tcW w:w="994" w:type="dxa"/>
            <w:tcBorders>
              <w:top w:val="nil"/>
              <w:left w:val="nil"/>
              <w:bottom w:val="single" w:color="auto" w:sz="4" w:space="0"/>
              <w:right w:val="single" w:color="auto" w:sz="4" w:space="0"/>
            </w:tcBorders>
            <w:noWrap w:val="0"/>
            <w:vAlign w:val="center"/>
          </w:tcPr>
          <w:p>
            <w:pPr>
              <w:widowControl/>
              <w:snapToGrid w:val="0"/>
              <w:jc w:val="center"/>
              <w:rPr>
                <w:rFonts w:ascii="宋体" w:hAnsi="宋体" w:eastAsia="宋体"/>
                <w:color w:val="000000"/>
                <w:kern w:val="0"/>
                <w:sz w:val="18"/>
                <w:szCs w:val="18"/>
              </w:rPr>
            </w:pPr>
            <w:r>
              <w:rPr>
                <w:rFonts w:ascii="宋体" w:hAnsi="宋体" w:eastAsia="宋体"/>
                <w:color w:val="000000"/>
                <w:kern w:val="0"/>
                <w:sz w:val="18"/>
                <w:szCs w:val="18"/>
              </w:rPr>
              <w:t>操作规程类</w:t>
            </w:r>
          </w:p>
        </w:tc>
        <w:tc>
          <w:tcPr>
            <w:tcW w:w="4725"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盾构始发、接收端头未进行加固即开始施工。</w:t>
            </w:r>
          </w:p>
        </w:tc>
        <w:tc>
          <w:tcPr>
            <w:tcW w:w="5692"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GB50652-2011《城市轨道交通地下工程建设风险管理规范》；《北京市房屋建筑和市政基础设施工程重大生产安全事故隐患判定导则》第6.4.1条</w:t>
            </w:r>
          </w:p>
        </w:tc>
        <w:tc>
          <w:tcPr>
            <w:tcW w:w="584" w:type="dxa"/>
            <w:tcBorders>
              <w:top w:val="nil"/>
              <w:left w:val="nil"/>
              <w:bottom w:val="single" w:color="auto" w:sz="4" w:space="0"/>
              <w:right w:val="single" w:color="auto" w:sz="12" w:space="0"/>
            </w:tcBorders>
            <w:noWrap w:val="0"/>
            <w:vAlign w:val="center"/>
          </w:tcPr>
          <w:p>
            <w:pPr>
              <w:widowControl/>
              <w:snapToGrid w:val="0"/>
              <w:jc w:val="center"/>
              <w:rPr>
                <w:rFonts w:ascii="宋体" w:hAnsi="宋体" w:eastAsia="宋体"/>
                <w:b/>
                <w:bCs/>
                <w:color w:val="000000"/>
                <w:kern w:val="0"/>
                <w:sz w:val="18"/>
                <w:szCs w:val="18"/>
              </w:rPr>
            </w:pPr>
          </w:p>
        </w:tc>
      </w:tr>
      <w:tr>
        <w:tblPrEx>
          <w:tblLayout w:type="fixed"/>
          <w:tblCellMar>
            <w:top w:w="0" w:type="dxa"/>
            <w:left w:w="108" w:type="dxa"/>
            <w:bottom w:w="0" w:type="dxa"/>
            <w:right w:w="108" w:type="dxa"/>
          </w:tblCellMar>
        </w:tblPrEx>
        <w:trPr>
          <w:cantSplit/>
          <w:jc w:val="center"/>
        </w:trPr>
        <w:tc>
          <w:tcPr>
            <w:tcW w:w="1668" w:type="dxa"/>
            <w:tcBorders>
              <w:top w:val="nil"/>
              <w:left w:val="single" w:color="auto" w:sz="12" w:space="0"/>
              <w:bottom w:val="single" w:color="auto" w:sz="4" w:space="0"/>
              <w:right w:val="single" w:color="auto" w:sz="4" w:space="0"/>
            </w:tcBorders>
            <w:noWrap w:val="0"/>
            <w:vAlign w:val="center"/>
          </w:tcPr>
          <w:p>
            <w:pPr>
              <w:widowControl/>
              <w:snapToGrid w:val="0"/>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eastAsia="zh-CN"/>
              </w:rPr>
              <w:t>2023</w:t>
            </w:r>
            <w:r>
              <w:rPr>
                <w:rFonts w:ascii="宋体" w:hAnsi="宋体" w:eastAsia="宋体"/>
                <w:color w:val="000000"/>
                <w:kern w:val="0"/>
                <w:sz w:val="18"/>
                <w:szCs w:val="18"/>
              </w:rPr>
              <w:t>.004.03.0</w:t>
            </w:r>
            <w:r>
              <w:rPr>
                <w:rFonts w:hint="eastAsia" w:ascii="宋体" w:hAnsi="宋体"/>
                <w:color w:val="000000"/>
                <w:kern w:val="0"/>
                <w:sz w:val="18"/>
                <w:szCs w:val="18"/>
                <w:lang w:val="en-US" w:eastAsia="zh-CN"/>
              </w:rPr>
              <w:t>25</w:t>
            </w:r>
          </w:p>
        </w:tc>
        <w:tc>
          <w:tcPr>
            <w:tcW w:w="1002"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p>
        </w:tc>
        <w:tc>
          <w:tcPr>
            <w:tcW w:w="994" w:type="dxa"/>
            <w:tcBorders>
              <w:top w:val="nil"/>
              <w:left w:val="nil"/>
              <w:bottom w:val="single" w:color="auto" w:sz="4" w:space="0"/>
              <w:right w:val="single" w:color="auto" w:sz="4" w:space="0"/>
            </w:tcBorders>
            <w:noWrap w:val="0"/>
            <w:vAlign w:val="center"/>
          </w:tcPr>
          <w:p>
            <w:pPr>
              <w:widowControl/>
              <w:snapToGrid w:val="0"/>
              <w:jc w:val="center"/>
              <w:rPr>
                <w:rFonts w:ascii="宋体" w:hAnsi="宋体" w:eastAsia="宋体"/>
                <w:color w:val="000000"/>
                <w:kern w:val="0"/>
                <w:sz w:val="18"/>
                <w:szCs w:val="18"/>
              </w:rPr>
            </w:pPr>
            <w:r>
              <w:rPr>
                <w:rFonts w:ascii="宋体" w:hAnsi="宋体" w:eastAsia="宋体"/>
                <w:color w:val="000000"/>
                <w:kern w:val="0"/>
                <w:sz w:val="18"/>
                <w:szCs w:val="18"/>
              </w:rPr>
              <w:t>记录档案类</w:t>
            </w:r>
          </w:p>
        </w:tc>
        <w:tc>
          <w:tcPr>
            <w:tcW w:w="4725"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盾构机组装及拆卸时，未编制专项吊装施工方案或方案未经专家论证。</w:t>
            </w:r>
          </w:p>
        </w:tc>
        <w:tc>
          <w:tcPr>
            <w:tcW w:w="5692"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GB50722-2011《城市轨道交通建设项目管理规范》；《北京市房屋建筑和市政基础设施工程重大生产安全事故隐患判定导则》第6.4.3条</w:t>
            </w:r>
          </w:p>
        </w:tc>
        <w:tc>
          <w:tcPr>
            <w:tcW w:w="584" w:type="dxa"/>
            <w:tcBorders>
              <w:top w:val="nil"/>
              <w:left w:val="nil"/>
              <w:bottom w:val="single" w:color="auto" w:sz="4" w:space="0"/>
              <w:right w:val="single" w:color="auto" w:sz="12" w:space="0"/>
            </w:tcBorders>
            <w:noWrap w:val="0"/>
            <w:vAlign w:val="center"/>
          </w:tcPr>
          <w:p>
            <w:pPr>
              <w:widowControl/>
              <w:snapToGrid w:val="0"/>
              <w:jc w:val="center"/>
              <w:rPr>
                <w:rFonts w:ascii="宋体" w:hAnsi="宋体" w:eastAsia="宋体"/>
                <w:b/>
                <w:bCs/>
                <w:color w:val="000000"/>
                <w:kern w:val="0"/>
                <w:sz w:val="18"/>
                <w:szCs w:val="18"/>
              </w:rPr>
            </w:pPr>
          </w:p>
        </w:tc>
      </w:tr>
      <w:tr>
        <w:tblPrEx>
          <w:tblLayout w:type="fixed"/>
          <w:tblCellMar>
            <w:top w:w="0" w:type="dxa"/>
            <w:left w:w="108" w:type="dxa"/>
            <w:bottom w:w="0" w:type="dxa"/>
            <w:right w:w="108" w:type="dxa"/>
          </w:tblCellMar>
        </w:tblPrEx>
        <w:trPr>
          <w:cantSplit/>
          <w:jc w:val="center"/>
        </w:trPr>
        <w:tc>
          <w:tcPr>
            <w:tcW w:w="1668" w:type="dxa"/>
            <w:tcBorders>
              <w:top w:val="nil"/>
              <w:left w:val="single" w:color="auto" w:sz="12" w:space="0"/>
              <w:bottom w:val="single" w:color="auto" w:sz="4" w:space="0"/>
              <w:right w:val="single" w:color="auto" w:sz="4" w:space="0"/>
            </w:tcBorders>
            <w:noWrap w:val="0"/>
            <w:vAlign w:val="center"/>
          </w:tcPr>
          <w:p>
            <w:pPr>
              <w:widowControl/>
              <w:snapToGrid w:val="0"/>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eastAsia="zh-CN"/>
              </w:rPr>
              <w:t>2023</w:t>
            </w:r>
            <w:r>
              <w:rPr>
                <w:rFonts w:ascii="宋体" w:hAnsi="宋体" w:eastAsia="宋体"/>
                <w:color w:val="000000"/>
                <w:kern w:val="0"/>
                <w:sz w:val="18"/>
                <w:szCs w:val="18"/>
              </w:rPr>
              <w:t>.004.03.0</w:t>
            </w:r>
            <w:r>
              <w:rPr>
                <w:rFonts w:hint="eastAsia" w:ascii="宋体" w:hAnsi="宋体"/>
                <w:color w:val="000000"/>
                <w:kern w:val="0"/>
                <w:sz w:val="18"/>
                <w:szCs w:val="18"/>
                <w:lang w:val="en-US" w:eastAsia="zh-CN"/>
              </w:rPr>
              <w:t>26</w:t>
            </w:r>
          </w:p>
        </w:tc>
        <w:tc>
          <w:tcPr>
            <w:tcW w:w="1002" w:type="dxa"/>
            <w:tcBorders>
              <w:top w:val="nil"/>
              <w:left w:val="nil"/>
              <w:bottom w:val="single" w:color="auto" w:sz="4" w:space="0"/>
              <w:right w:val="single" w:color="auto" w:sz="4" w:space="0"/>
            </w:tcBorders>
            <w:noWrap w:val="0"/>
            <w:vAlign w:val="center"/>
          </w:tcPr>
          <w:p>
            <w:pPr>
              <w:widowControl/>
              <w:snapToGrid w:val="0"/>
              <w:jc w:val="center"/>
              <w:rPr>
                <w:rFonts w:ascii="宋体" w:hAnsi="宋体" w:eastAsia="宋体"/>
                <w:color w:val="000000"/>
                <w:kern w:val="0"/>
                <w:sz w:val="18"/>
                <w:szCs w:val="18"/>
              </w:rPr>
            </w:pPr>
            <w:r>
              <w:rPr>
                <w:rFonts w:ascii="宋体" w:hAnsi="宋体" w:eastAsia="宋体"/>
                <w:color w:val="000000"/>
                <w:kern w:val="0"/>
                <w:sz w:val="18"/>
                <w:szCs w:val="18"/>
              </w:rPr>
              <w:t>设备设施及物料类</w:t>
            </w:r>
          </w:p>
        </w:tc>
        <w:tc>
          <w:tcPr>
            <w:tcW w:w="994" w:type="dxa"/>
            <w:tcBorders>
              <w:top w:val="nil"/>
              <w:left w:val="nil"/>
              <w:bottom w:val="single" w:color="auto" w:sz="4" w:space="0"/>
              <w:right w:val="single" w:color="auto" w:sz="4" w:space="0"/>
            </w:tcBorders>
            <w:noWrap w:val="0"/>
            <w:vAlign w:val="center"/>
          </w:tcPr>
          <w:p>
            <w:pPr>
              <w:widowControl/>
              <w:snapToGrid w:val="0"/>
              <w:jc w:val="center"/>
              <w:rPr>
                <w:rFonts w:ascii="宋体" w:hAnsi="宋体" w:eastAsia="宋体"/>
                <w:color w:val="000000"/>
                <w:kern w:val="0"/>
                <w:sz w:val="18"/>
                <w:szCs w:val="18"/>
              </w:rPr>
            </w:pPr>
            <w:r>
              <w:rPr>
                <w:rFonts w:ascii="宋体" w:hAnsi="宋体" w:eastAsia="宋体"/>
                <w:color w:val="000000"/>
                <w:kern w:val="0"/>
                <w:sz w:val="18"/>
                <w:szCs w:val="18"/>
              </w:rPr>
              <w:t>辅助系统设备设施类</w:t>
            </w:r>
          </w:p>
        </w:tc>
        <w:tc>
          <w:tcPr>
            <w:tcW w:w="4725"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进入承压水层的盾构区间联络通道开口、泵房不按方案施工，作业面涌水涌沙，且监测数据已达到红色预警值。</w:t>
            </w:r>
          </w:p>
        </w:tc>
        <w:tc>
          <w:tcPr>
            <w:tcW w:w="5692"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GB50652-2011《城市轨道交通地下工程建设风险管理规范》；《北京市房屋建筑和市政基础设施工程重大生产安全事故隐患判定导则》第6.4.2条</w:t>
            </w:r>
          </w:p>
        </w:tc>
        <w:tc>
          <w:tcPr>
            <w:tcW w:w="584" w:type="dxa"/>
            <w:tcBorders>
              <w:top w:val="nil"/>
              <w:left w:val="nil"/>
              <w:bottom w:val="single" w:color="auto" w:sz="4" w:space="0"/>
              <w:right w:val="single" w:color="auto" w:sz="12" w:space="0"/>
            </w:tcBorders>
            <w:noWrap w:val="0"/>
            <w:vAlign w:val="center"/>
          </w:tcPr>
          <w:p>
            <w:pPr>
              <w:widowControl/>
              <w:snapToGrid w:val="0"/>
              <w:jc w:val="center"/>
              <w:rPr>
                <w:rFonts w:ascii="宋体" w:hAnsi="宋体" w:eastAsia="宋体"/>
                <w:b/>
                <w:bCs/>
                <w:color w:val="000000"/>
                <w:kern w:val="0"/>
                <w:sz w:val="18"/>
                <w:szCs w:val="18"/>
              </w:rPr>
            </w:pPr>
          </w:p>
        </w:tc>
      </w:tr>
      <w:tr>
        <w:tblPrEx>
          <w:tblLayout w:type="fixed"/>
          <w:tblCellMar>
            <w:top w:w="0" w:type="dxa"/>
            <w:left w:w="108" w:type="dxa"/>
            <w:bottom w:w="0" w:type="dxa"/>
            <w:right w:w="108" w:type="dxa"/>
          </w:tblCellMar>
        </w:tblPrEx>
        <w:trPr>
          <w:cantSplit/>
          <w:jc w:val="center"/>
        </w:trPr>
        <w:tc>
          <w:tcPr>
            <w:tcW w:w="14665" w:type="dxa"/>
            <w:gridSpan w:val="6"/>
            <w:tcBorders>
              <w:top w:val="single" w:color="auto" w:sz="4" w:space="0"/>
              <w:left w:val="single" w:color="auto" w:sz="12" w:space="0"/>
              <w:bottom w:val="single" w:color="auto" w:sz="4" w:space="0"/>
              <w:right w:val="single" w:color="auto" w:sz="12" w:space="0"/>
            </w:tcBorders>
            <w:noWrap w:val="0"/>
            <w:vAlign w:val="center"/>
          </w:tcPr>
          <w:p>
            <w:pPr>
              <w:widowControl/>
              <w:snapToGrid w:val="0"/>
              <w:jc w:val="center"/>
              <w:rPr>
                <w:rFonts w:ascii="宋体" w:hAnsi="宋体" w:eastAsia="宋体"/>
                <w:b/>
                <w:color w:val="000000"/>
                <w:kern w:val="0"/>
                <w:sz w:val="18"/>
                <w:szCs w:val="18"/>
              </w:rPr>
            </w:pPr>
            <w:r>
              <w:rPr>
                <w:rFonts w:ascii="宋体" w:hAnsi="宋体" w:eastAsia="宋体"/>
                <w:b/>
                <w:color w:val="000000"/>
                <w:kern w:val="0"/>
                <w:sz w:val="18"/>
                <w:szCs w:val="18"/>
              </w:rPr>
              <w:t>起重吊装方面</w:t>
            </w:r>
          </w:p>
        </w:tc>
      </w:tr>
      <w:tr>
        <w:tblPrEx>
          <w:tblLayout w:type="fixed"/>
          <w:tblCellMar>
            <w:top w:w="0" w:type="dxa"/>
            <w:left w:w="108" w:type="dxa"/>
            <w:bottom w:w="0" w:type="dxa"/>
            <w:right w:w="108" w:type="dxa"/>
          </w:tblCellMar>
        </w:tblPrEx>
        <w:trPr>
          <w:cantSplit/>
          <w:jc w:val="center"/>
        </w:trPr>
        <w:tc>
          <w:tcPr>
            <w:tcW w:w="1668" w:type="dxa"/>
            <w:tcBorders>
              <w:top w:val="nil"/>
              <w:left w:val="single" w:color="auto" w:sz="12" w:space="0"/>
              <w:bottom w:val="single" w:color="auto" w:sz="4" w:space="0"/>
              <w:right w:val="single" w:color="auto" w:sz="4" w:space="0"/>
            </w:tcBorders>
            <w:noWrap w:val="0"/>
            <w:vAlign w:val="center"/>
          </w:tcPr>
          <w:p>
            <w:pPr>
              <w:widowControl/>
              <w:snapToGrid w:val="0"/>
              <w:jc w:val="center"/>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eastAsia="zh-CN"/>
              </w:rPr>
              <w:t>2023</w:t>
            </w:r>
            <w:r>
              <w:rPr>
                <w:rFonts w:ascii="宋体" w:hAnsi="宋体" w:eastAsia="宋体"/>
                <w:color w:val="000000"/>
                <w:kern w:val="0"/>
                <w:sz w:val="18"/>
                <w:szCs w:val="18"/>
              </w:rPr>
              <w:t>.004.03.02</w:t>
            </w:r>
            <w:r>
              <w:rPr>
                <w:rFonts w:hint="eastAsia" w:ascii="宋体" w:hAnsi="宋体"/>
                <w:color w:val="000000"/>
                <w:kern w:val="0"/>
                <w:sz w:val="18"/>
                <w:szCs w:val="18"/>
                <w:lang w:val="en-US" w:eastAsia="zh-CN"/>
              </w:rPr>
              <w:t>7</w:t>
            </w:r>
          </w:p>
        </w:tc>
        <w:tc>
          <w:tcPr>
            <w:tcW w:w="1002" w:type="dxa"/>
            <w:vMerge w:val="restart"/>
            <w:tcBorders>
              <w:top w:val="nil"/>
              <w:left w:val="single" w:color="auto" w:sz="4" w:space="0"/>
              <w:right w:val="single" w:color="auto" w:sz="4" w:space="0"/>
            </w:tcBorders>
            <w:noWrap w:val="0"/>
            <w:vAlign w:val="center"/>
          </w:tcPr>
          <w:p>
            <w:pPr>
              <w:widowControl/>
              <w:snapToGrid w:val="0"/>
              <w:jc w:val="center"/>
              <w:rPr>
                <w:rFonts w:ascii="宋体" w:hAnsi="宋体" w:eastAsia="宋体"/>
                <w:color w:val="000000"/>
                <w:kern w:val="0"/>
                <w:sz w:val="18"/>
                <w:szCs w:val="18"/>
              </w:rPr>
            </w:pPr>
            <w:r>
              <w:rPr>
                <w:rFonts w:ascii="宋体" w:hAnsi="宋体" w:eastAsia="宋体"/>
                <w:color w:val="000000"/>
                <w:kern w:val="0"/>
                <w:sz w:val="18"/>
                <w:szCs w:val="18"/>
              </w:rPr>
              <w:t>设备设施及物料类</w:t>
            </w:r>
          </w:p>
        </w:tc>
        <w:tc>
          <w:tcPr>
            <w:tcW w:w="994" w:type="dxa"/>
            <w:vMerge w:val="restart"/>
            <w:tcBorders>
              <w:top w:val="nil"/>
              <w:left w:val="single" w:color="auto" w:sz="4" w:space="0"/>
              <w:right w:val="single" w:color="auto" w:sz="4" w:space="0"/>
            </w:tcBorders>
            <w:noWrap w:val="0"/>
            <w:vAlign w:val="center"/>
          </w:tcPr>
          <w:p>
            <w:pPr>
              <w:widowControl/>
              <w:snapToGrid w:val="0"/>
              <w:jc w:val="center"/>
              <w:rPr>
                <w:rFonts w:ascii="宋体" w:hAnsi="宋体" w:eastAsia="宋体"/>
                <w:color w:val="000000"/>
                <w:kern w:val="0"/>
                <w:sz w:val="18"/>
                <w:szCs w:val="18"/>
              </w:rPr>
            </w:pPr>
            <w:r>
              <w:rPr>
                <w:rFonts w:ascii="宋体" w:hAnsi="宋体" w:eastAsia="宋体"/>
                <w:color w:val="000000"/>
                <w:kern w:val="0"/>
                <w:sz w:val="18"/>
                <w:szCs w:val="18"/>
              </w:rPr>
              <w:t>特种设备类</w:t>
            </w:r>
          </w:p>
        </w:tc>
        <w:tc>
          <w:tcPr>
            <w:tcW w:w="4725"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群塔、同轨两台及以上龙门吊作业时，起重设备之间的安全距离不满足规范要求。</w:t>
            </w:r>
          </w:p>
        </w:tc>
        <w:tc>
          <w:tcPr>
            <w:tcW w:w="5692"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JGJ 276-2012《建筑施工起重吊装工程安全技术规范》；《北京市房屋建筑和市政基础设施工程重大生产安全事故隐患判定导则》第6.5.1条</w:t>
            </w:r>
          </w:p>
        </w:tc>
        <w:tc>
          <w:tcPr>
            <w:tcW w:w="584" w:type="dxa"/>
            <w:tcBorders>
              <w:top w:val="nil"/>
              <w:left w:val="nil"/>
              <w:bottom w:val="single" w:color="auto" w:sz="4" w:space="0"/>
              <w:right w:val="single" w:color="auto" w:sz="12" w:space="0"/>
            </w:tcBorders>
            <w:noWrap w:val="0"/>
            <w:vAlign w:val="center"/>
          </w:tcPr>
          <w:p>
            <w:pPr>
              <w:widowControl/>
              <w:snapToGrid w:val="0"/>
              <w:jc w:val="center"/>
              <w:rPr>
                <w:rFonts w:ascii="宋体" w:hAnsi="宋体" w:eastAsia="宋体"/>
                <w:b/>
                <w:bCs/>
                <w:color w:val="000000"/>
                <w:kern w:val="0"/>
                <w:sz w:val="18"/>
                <w:szCs w:val="18"/>
              </w:rPr>
            </w:pPr>
          </w:p>
        </w:tc>
      </w:tr>
      <w:tr>
        <w:tblPrEx>
          <w:tblLayout w:type="fixed"/>
          <w:tblCellMar>
            <w:top w:w="0" w:type="dxa"/>
            <w:left w:w="108" w:type="dxa"/>
            <w:bottom w:w="0" w:type="dxa"/>
            <w:right w:w="108" w:type="dxa"/>
          </w:tblCellMar>
        </w:tblPrEx>
        <w:trPr>
          <w:cantSplit/>
          <w:jc w:val="center"/>
        </w:trPr>
        <w:tc>
          <w:tcPr>
            <w:tcW w:w="1668" w:type="dxa"/>
            <w:tcBorders>
              <w:top w:val="nil"/>
              <w:left w:val="single" w:color="auto" w:sz="12" w:space="0"/>
              <w:bottom w:val="single" w:color="auto" w:sz="4" w:space="0"/>
              <w:right w:val="single" w:color="auto" w:sz="4" w:space="0"/>
            </w:tcBorders>
            <w:noWrap w:val="0"/>
            <w:vAlign w:val="center"/>
          </w:tcPr>
          <w:p>
            <w:pPr>
              <w:widowControl/>
              <w:snapToGrid w:val="0"/>
              <w:jc w:val="center"/>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eastAsia="zh-CN"/>
              </w:rPr>
              <w:t>2023</w:t>
            </w:r>
            <w:r>
              <w:rPr>
                <w:rFonts w:ascii="宋体" w:hAnsi="宋体" w:eastAsia="宋体"/>
                <w:color w:val="000000"/>
                <w:kern w:val="0"/>
                <w:sz w:val="18"/>
                <w:szCs w:val="18"/>
              </w:rPr>
              <w:t>.004.03.02</w:t>
            </w:r>
            <w:r>
              <w:rPr>
                <w:rFonts w:hint="eastAsia" w:ascii="宋体" w:hAnsi="宋体"/>
                <w:color w:val="000000"/>
                <w:kern w:val="0"/>
                <w:sz w:val="18"/>
                <w:szCs w:val="18"/>
                <w:lang w:val="en-US" w:eastAsia="zh-CN"/>
              </w:rPr>
              <w:t>8</w:t>
            </w:r>
          </w:p>
        </w:tc>
        <w:tc>
          <w:tcPr>
            <w:tcW w:w="1002" w:type="dxa"/>
            <w:vMerge w:val="continue"/>
            <w:tcBorders>
              <w:left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p>
        </w:tc>
        <w:tc>
          <w:tcPr>
            <w:tcW w:w="994" w:type="dxa"/>
            <w:vMerge w:val="continue"/>
            <w:tcBorders>
              <w:left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p>
        </w:tc>
        <w:tc>
          <w:tcPr>
            <w:tcW w:w="4725"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车站预留口、暗挖竖井进行吊装作业时未设置隔离或吊装作业区内有人作业。</w:t>
            </w:r>
          </w:p>
        </w:tc>
        <w:tc>
          <w:tcPr>
            <w:tcW w:w="5692"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JGJ 276-2012《建筑施工起重吊装工程安全技术规范》；《北京市房屋建筑和市政基础设施工程重大生产安全事故隐患判定导则》第6.5.2条</w:t>
            </w:r>
          </w:p>
        </w:tc>
        <w:tc>
          <w:tcPr>
            <w:tcW w:w="584" w:type="dxa"/>
            <w:tcBorders>
              <w:top w:val="nil"/>
              <w:left w:val="nil"/>
              <w:bottom w:val="single" w:color="auto" w:sz="4" w:space="0"/>
              <w:right w:val="single" w:color="auto" w:sz="12" w:space="0"/>
            </w:tcBorders>
            <w:noWrap w:val="0"/>
            <w:vAlign w:val="center"/>
          </w:tcPr>
          <w:p>
            <w:pPr>
              <w:widowControl/>
              <w:snapToGrid w:val="0"/>
              <w:jc w:val="center"/>
              <w:rPr>
                <w:rFonts w:ascii="宋体" w:hAnsi="宋体" w:eastAsia="宋体"/>
                <w:b/>
                <w:bCs/>
                <w:color w:val="000000"/>
                <w:kern w:val="0"/>
                <w:sz w:val="18"/>
                <w:szCs w:val="18"/>
              </w:rPr>
            </w:pPr>
          </w:p>
        </w:tc>
      </w:tr>
      <w:tr>
        <w:tblPrEx>
          <w:tblLayout w:type="fixed"/>
          <w:tblCellMar>
            <w:top w:w="0" w:type="dxa"/>
            <w:left w:w="108" w:type="dxa"/>
            <w:bottom w:w="0" w:type="dxa"/>
            <w:right w:w="108" w:type="dxa"/>
          </w:tblCellMar>
        </w:tblPrEx>
        <w:trPr>
          <w:cantSplit/>
          <w:jc w:val="center"/>
        </w:trPr>
        <w:tc>
          <w:tcPr>
            <w:tcW w:w="1668" w:type="dxa"/>
            <w:tcBorders>
              <w:top w:val="nil"/>
              <w:left w:val="single" w:color="auto" w:sz="12" w:space="0"/>
              <w:bottom w:val="single" w:color="auto" w:sz="4" w:space="0"/>
              <w:right w:val="single" w:color="auto" w:sz="4" w:space="0"/>
            </w:tcBorders>
            <w:noWrap w:val="0"/>
            <w:vAlign w:val="center"/>
          </w:tcPr>
          <w:p>
            <w:pPr>
              <w:widowControl/>
              <w:snapToGrid w:val="0"/>
              <w:jc w:val="center"/>
              <w:rPr>
                <w:rFonts w:hint="eastAsia" w:ascii="宋体" w:hAnsi="宋体"/>
                <w:color w:val="000000"/>
                <w:kern w:val="0"/>
                <w:sz w:val="18"/>
                <w:szCs w:val="18"/>
                <w:lang w:eastAsia="zh-CN"/>
              </w:rPr>
            </w:pPr>
            <w:r>
              <w:rPr>
                <w:rFonts w:hint="eastAsia" w:ascii="宋体" w:hAnsi="宋体"/>
                <w:color w:val="000000"/>
                <w:kern w:val="0"/>
                <w:sz w:val="18"/>
                <w:szCs w:val="18"/>
                <w:lang w:eastAsia="zh-CN"/>
              </w:rPr>
              <w:t>2023</w:t>
            </w:r>
            <w:r>
              <w:rPr>
                <w:rFonts w:ascii="宋体" w:hAnsi="宋体" w:eastAsia="宋体"/>
                <w:color w:val="000000"/>
                <w:kern w:val="0"/>
                <w:sz w:val="18"/>
                <w:szCs w:val="18"/>
              </w:rPr>
              <w:t>.004.03.0</w:t>
            </w:r>
            <w:r>
              <w:rPr>
                <w:rFonts w:hint="eastAsia" w:ascii="宋体" w:hAnsi="宋体"/>
                <w:color w:val="000000"/>
                <w:kern w:val="0"/>
                <w:sz w:val="18"/>
                <w:szCs w:val="18"/>
                <w:lang w:val="en-US" w:eastAsia="zh-CN"/>
              </w:rPr>
              <w:t>29</w:t>
            </w:r>
          </w:p>
        </w:tc>
        <w:tc>
          <w:tcPr>
            <w:tcW w:w="1002" w:type="dxa"/>
            <w:vMerge w:val="continue"/>
            <w:tcBorders>
              <w:left w:val="single" w:color="auto" w:sz="4" w:space="0"/>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p>
        </w:tc>
        <w:tc>
          <w:tcPr>
            <w:tcW w:w="994" w:type="dxa"/>
            <w:vMerge w:val="continue"/>
            <w:tcBorders>
              <w:left w:val="single" w:color="auto" w:sz="4" w:space="0"/>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p>
        </w:tc>
        <w:tc>
          <w:tcPr>
            <w:tcW w:w="4725"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hint="eastAsia" w:ascii="宋体" w:hAnsi="宋体" w:eastAsia="宋体"/>
                <w:color w:val="000000"/>
                <w:kern w:val="0"/>
                <w:sz w:val="18"/>
                <w:szCs w:val="18"/>
              </w:rPr>
              <w:t>建筑起重机械的安全装置不齐全、失效或者被违规拆除、破坏</w:t>
            </w:r>
          </w:p>
        </w:tc>
        <w:tc>
          <w:tcPr>
            <w:tcW w:w="5692"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hint="eastAsia" w:ascii="宋体" w:hAnsi="宋体" w:eastAsia="宋体"/>
                <w:color w:val="000000"/>
                <w:kern w:val="0"/>
                <w:sz w:val="18"/>
                <w:szCs w:val="18"/>
              </w:rPr>
              <w:t>《房屋市政工程生产安全重大事故隐患判定标准（2022版）》</w:t>
            </w:r>
            <w:r>
              <w:rPr>
                <w:rFonts w:hint="eastAsia" w:ascii="宋体" w:hAnsi="宋体"/>
                <w:color w:val="000000"/>
                <w:kern w:val="0"/>
                <w:sz w:val="18"/>
                <w:szCs w:val="18"/>
                <w:lang w:eastAsia="zh-CN"/>
              </w:rPr>
              <w:t>第四条</w:t>
            </w:r>
          </w:p>
        </w:tc>
        <w:tc>
          <w:tcPr>
            <w:tcW w:w="584" w:type="dxa"/>
            <w:tcBorders>
              <w:top w:val="nil"/>
              <w:left w:val="nil"/>
              <w:bottom w:val="single" w:color="auto" w:sz="4" w:space="0"/>
              <w:right w:val="single" w:color="auto" w:sz="12" w:space="0"/>
            </w:tcBorders>
            <w:noWrap w:val="0"/>
            <w:vAlign w:val="center"/>
          </w:tcPr>
          <w:p>
            <w:pPr>
              <w:widowControl/>
              <w:snapToGrid w:val="0"/>
              <w:jc w:val="center"/>
              <w:rPr>
                <w:rFonts w:ascii="宋体" w:hAnsi="宋体" w:eastAsia="宋体"/>
                <w:b/>
                <w:bCs/>
                <w:color w:val="000000"/>
                <w:kern w:val="0"/>
                <w:sz w:val="18"/>
                <w:szCs w:val="18"/>
              </w:rPr>
            </w:pPr>
            <w:r>
              <w:rPr>
                <w:rFonts w:ascii="宋体" w:hAnsi="宋体" w:eastAsia="宋体" w:cs="Segoe UI Symbol"/>
                <w:color w:val="000000"/>
                <w:kern w:val="0"/>
                <w:sz w:val="18"/>
                <w:szCs w:val="18"/>
              </w:rPr>
              <w:t>★</w:t>
            </w:r>
          </w:p>
        </w:tc>
      </w:tr>
      <w:tr>
        <w:tblPrEx>
          <w:tblLayout w:type="fixed"/>
          <w:tblCellMar>
            <w:top w:w="0" w:type="dxa"/>
            <w:left w:w="108" w:type="dxa"/>
            <w:bottom w:w="0" w:type="dxa"/>
            <w:right w:w="108" w:type="dxa"/>
          </w:tblCellMar>
        </w:tblPrEx>
        <w:trPr>
          <w:cantSplit/>
          <w:jc w:val="center"/>
        </w:trPr>
        <w:tc>
          <w:tcPr>
            <w:tcW w:w="14665" w:type="dxa"/>
            <w:gridSpan w:val="6"/>
            <w:tcBorders>
              <w:top w:val="single" w:color="auto" w:sz="4" w:space="0"/>
              <w:left w:val="single" w:color="auto" w:sz="12" w:space="0"/>
              <w:bottom w:val="single" w:color="auto" w:sz="4" w:space="0"/>
              <w:right w:val="single" w:color="auto" w:sz="12" w:space="0"/>
            </w:tcBorders>
            <w:noWrap w:val="0"/>
            <w:vAlign w:val="center"/>
          </w:tcPr>
          <w:p>
            <w:pPr>
              <w:widowControl/>
              <w:snapToGrid w:val="0"/>
              <w:jc w:val="center"/>
              <w:rPr>
                <w:rFonts w:ascii="宋体" w:hAnsi="宋体" w:eastAsia="宋体"/>
                <w:b/>
                <w:color w:val="000000"/>
                <w:kern w:val="0"/>
                <w:sz w:val="18"/>
                <w:szCs w:val="18"/>
              </w:rPr>
            </w:pPr>
            <w:r>
              <w:rPr>
                <w:rFonts w:ascii="宋体" w:hAnsi="宋体" w:eastAsia="宋体"/>
                <w:b/>
                <w:color w:val="000000"/>
                <w:kern w:val="0"/>
                <w:sz w:val="18"/>
                <w:szCs w:val="18"/>
              </w:rPr>
              <w:t>临时用电方面</w:t>
            </w:r>
          </w:p>
        </w:tc>
      </w:tr>
      <w:tr>
        <w:tblPrEx>
          <w:tblLayout w:type="fixed"/>
          <w:tblCellMar>
            <w:top w:w="0" w:type="dxa"/>
            <w:left w:w="108" w:type="dxa"/>
            <w:bottom w:w="0" w:type="dxa"/>
            <w:right w:w="108" w:type="dxa"/>
          </w:tblCellMar>
        </w:tblPrEx>
        <w:trPr>
          <w:cantSplit/>
          <w:jc w:val="center"/>
        </w:trPr>
        <w:tc>
          <w:tcPr>
            <w:tcW w:w="1668" w:type="dxa"/>
            <w:tcBorders>
              <w:top w:val="nil"/>
              <w:left w:val="single" w:color="auto" w:sz="12" w:space="0"/>
              <w:bottom w:val="single" w:color="auto" w:sz="4" w:space="0"/>
              <w:right w:val="single" w:color="auto" w:sz="4" w:space="0"/>
            </w:tcBorders>
            <w:noWrap w:val="0"/>
            <w:vAlign w:val="center"/>
          </w:tcPr>
          <w:p>
            <w:pPr>
              <w:widowControl/>
              <w:snapToGrid w:val="0"/>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eastAsia="zh-CN"/>
              </w:rPr>
              <w:t>2023</w:t>
            </w:r>
            <w:r>
              <w:rPr>
                <w:rFonts w:ascii="宋体" w:hAnsi="宋体" w:eastAsia="宋体"/>
                <w:color w:val="000000"/>
                <w:kern w:val="0"/>
                <w:sz w:val="18"/>
                <w:szCs w:val="18"/>
              </w:rPr>
              <w:t>.004.03.0</w:t>
            </w:r>
            <w:r>
              <w:rPr>
                <w:rFonts w:hint="eastAsia" w:ascii="宋体" w:hAnsi="宋体"/>
                <w:color w:val="000000"/>
                <w:kern w:val="0"/>
                <w:sz w:val="18"/>
                <w:szCs w:val="18"/>
                <w:lang w:val="en-US" w:eastAsia="zh-CN"/>
              </w:rPr>
              <w:t>30</w:t>
            </w:r>
          </w:p>
        </w:tc>
        <w:tc>
          <w:tcPr>
            <w:tcW w:w="1002" w:type="dxa"/>
            <w:tcBorders>
              <w:top w:val="nil"/>
              <w:left w:val="nil"/>
              <w:bottom w:val="single" w:color="auto" w:sz="4" w:space="0"/>
              <w:right w:val="single" w:color="auto" w:sz="4" w:space="0"/>
            </w:tcBorders>
            <w:noWrap w:val="0"/>
            <w:vAlign w:val="center"/>
          </w:tcPr>
          <w:p>
            <w:pPr>
              <w:widowControl/>
              <w:snapToGrid w:val="0"/>
              <w:jc w:val="center"/>
              <w:rPr>
                <w:rFonts w:ascii="宋体" w:hAnsi="宋体" w:eastAsia="宋体"/>
                <w:color w:val="000000"/>
                <w:kern w:val="0"/>
                <w:sz w:val="18"/>
                <w:szCs w:val="18"/>
              </w:rPr>
            </w:pPr>
            <w:r>
              <w:rPr>
                <w:rFonts w:ascii="宋体" w:hAnsi="宋体" w:eastAsia="宋体"/>
                <w:color w:val="000000"/>
                <w:kern w:val="0"/>
                <w:sz w:val="18"/>
                <w:szCs w:val="18"/>
              </w:rPr>
              <w:t>设备设施及物料类</w:t>
            </w:r>
          </w:p>
        </w:tc>
        <w:tc>
          <w:tcPr>
            <w:tcW w:w="994" w:type="dxa"/>
            <w:tcBorders>
              <w:top w:val="nil"/>
              <w:left w:val="nil"/>
              <w:bottom w:val="single" w:color="auto" w:sz="4" w:space="0"/>
              <w:right w:val="single" w:color="auto" w:sz="4" w:space="0"/>
            </w:tcBorders>
            <w:noWrap w:val="0"/>
            <w:vAlign w:val="center"/>
          </w:tcPr>
          <w:p>
            <w:pPr>
              <w:widowControl/>
              <w:snapToGrid w:val="0"/>
              <w:jc w:val="center"/>
              <w:rPr>
                <w:rFonts w:ascii="宋体" w:hAnsi="宋体" w:eastAsia="宋体"/>
                <w:color w:val="000000"/>
                <w:kern w:val="0"/>
                <w:sz w:val="18"/>
                <w:szCs w:val="18"/>
              </w:rPr>
            </w:pPr>
            <w:r>
              <w:rPr>
                <w:rFonts w:ascii="宋体" w:hAnsi="宋体" w:eastAsia="宋体"/>
                <w:color w:val="000000"/>
                <w:kern w:val="0"/>
                <w:sz w:val="18"/>
                <w:szCs w:val="18"/>
              </w:rPr>
              <w:t>工艺及生产设备设施类</w:t>
            </w:r>
          </w:p>
        </w:tc>
        <w:tc>
          <w:tcPr>
            <w:tcW w:w="4725"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施工现场临时用电未采用TN-S接零保护系统。</w:t>
            </w:r>
          </w:p>
        </w:tc>
        <w:tc>
          <w:tcPr>
            <w:tcW w:w="5692"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JGJ 46-2005《施工现场临时用电安全技术规范》；《北京市房屋建筑和市政基础设施工程重大生产安全事故隐患判定导则》第6.6.1条</w:t>
            </w:r>
          </w:p>
        </w:tc>
        <w:tc>
          <w:tcPr>
            <w:tcW w:w="584" w:type="dxa"/>
            <w:tcBorders>
              <w:top w:val="nil"/>
              <w:left w:val="nil"/>
              <w:bottom w:val="single" w:color="auto" w:sz="4" w:space="0"/>
              <w:right w:val="single" w:color="auto" w:sz="12" w:space="0"/>
            </w:tcBorders>
            <w:noWrap w:val="0"/>
            <w:vAlign w:val="center"/>
          </w:tcPr>
          <w:p>
            <w:pPr>
              <w:widowControl/>
              <w:snapToGrid w:val="0"/>
              <w:jc w:val="center"/>
              <w:rPr>
                <w:rFonts w:ascii="宋体" w:hAnsi="宋体" w:eastAsia="宋体"/>
                <w:b/>
                <w:bCs/>
                <w:color w:val="000000"/>
                <w:kern w:val="0"/>
                <w:sz w:val="18"/>
                <w:szCs w:val="18"/>
              </w:rPr>
            </w:pPr>
          </w:p>
        </w:tc>
      </w:tr>
      <w:tr>
        <w:tblPrEx>
          <w:tblLayout w:type="fixed"/>
          <w:tblCellMar>
            <w:top w:w="0" w:type="dxa"/>
            <w:left w:w="108" w:type="dxa"/>
            <w:bottom w:w="0" w:type="dxa"/>
            <w:right w:w="108" w:type="dxa"/>
          </w:tblCellMar>
        </w:tblPrEx>
        <w:trPr>
          <w:cantSplit/>
          <w:jc w:val="center"/>
        </w:trPr>
        <w:tc>
          <w:tcPr>
            <w:tcW w:w="1668" w:type="dxa"/>
            <w:tcBorders>
              <w:top w:val="nil"/>
              <w:left w:val="single" w:color="auto" w:sz="12" w:space="0"/>
              <w:bottom w:val="single" w:color="auto" w:sz="4" w:space="0"/>
              <w:right w:val="single" w:color="auto" w:sz="4" w:space="0"/>
            </w:tcBorders>
            <w:noWrap w:val="0"/>
            <w:vAlign w:val="center"/>
          </w:tcPr>
          <w:p>
            <w:pPr>
              <w:widowControl/>
              <w:snapToGrid w:val="0"/>
              <w:jc w:val="center"/>
              <w:rPr>
                <w:rFonts w:hint="default" w:ascii="宋体" w:hAnsi="宋体"/>
                <w:color w:val="000000"/>
                <w:kern w:val="0"/>
                <w:sz w:val="18"/>
                <w:szCs w:val="18"/>
                <w:lang w:val="en-US" w:eastAsia="zh-CN"/>
              </w:rPr>
            </w:pPr>
            <w:r>
              <w:rPr>
                <w:rFonts w:hint="eastAsia" w:ascii="宋体" w:hAnsi="宋体"/>
                <w:color w:val="000000"/>
                <w:kern w:val="0"/>
                <w:sz w:val="18"/>
                <w:szCs w:val="18"/>
                <w:lang w:eastAsia="zh-CN"/>
              </w:rPr>
              <w:t>2023</w:t>
            </w:r>
            <w:r>
              <w:rPr>
                <w:rFonts w:ascii="宋体" w:hAnsi="宋体" w:eastAsia="宋体"/>
                <w:color w:val="000000"/>
                <w:kern w:val="0"/>
                <w:sz w:val="18"/>
                <w:szCs w:val="18"/>
              </w:rPr>
              <w:t>.004.03.0</w:t>
            </w:r>
            <w:r>
              <w:rPr>
                <w:rFonts w:hint="eastAsia" w:ascii="宋体" w:hAnsi="宋体"/>
                <w:color w:val="000000"/>
                <w:kern w:val="0"/>
                <w:sz w:val="18"/>
                <w:szCs w:val="18"/>
                <w:lang w:val="en-US" w:eastAsia="zh-CN"/>
              </w:rPr>
              <w:t>31</w:t>
            </w:r>
          </w:p>
        </w:tc>
        <w:tc>
          <w:tcPr>
            <w:tcW w:w="1002" w:type="dxa"/>
            <w:tcBorders>
              <w:top w:val="nil"/>
              <w:left w:val="nil"/>
              <w:bottom w:val="single" w:color="auto" w:sz="4" w:space="0"/>
              <w:right w:val="single" w:color="auto" w:sz="4" w:space="0"/>
            </w:tcBorders>
            <w:noWrap w:val="0"/>
            <w:vAlign w:val="center"/>
          </w:tcPr>
          <w:p>
            <w:pPr>
              <w:widowControl/>
              <w:snapToGrid w:val="0"/>
              <w:jc w:val="center"/>
              <w:rPr>
                <w:rFonts w:ascii="宋体" w:hAnsi="宋体" w:eastAsia="宋体"/>
                <w:color w:val="000000"/>
                <w:kern w:val="0"/>
                <w:sz w:val="18"/>
                <w:szCs w:val="18"/>
              </w:rPr>
            </w:pPr>
          </w:p>
        </w:tc>
        <w:tc>
          <w:tcPr>
            <w:tcW w:w="994" w:type="dxa"/>
            <w:tcBorders>
              <w:top w:val="nil"/>
              <w:left w:val="nil"/>
              <w:bottom w:val="single" w:color="auto" w:sz="4" w:space="0"/>
              <w:right w:val="single" w:color="auto" w:sz="4" w:space="0"/>
            </w:tcBorders>
            <w:noWrap w:val="0"/>
            <w:vAlign w:val="center"/>
          </w:tcPr>
          <w:p>
            <w:pPr>
              <w:widowControl/>
              <w:snapToGrid w:val="0"/>
              <w:jc w:val="center"/>
              <w:rPr>
                <w:rFonts w:ascii="宋体" w:hAnsi="宋体" w:eastAsia="宋体"/>
                <w:color w:val="000000"/>
                <w:kern w:val="0"/>
                <w:sz w:val="18"/>
                <w:szCs w:val="18"/>
              </w:rPr>
            </w:pPr>
          </w:p>
        </w:tc>
        <w:tc>
          <w:tcPr>
            <w:tcW w:w="4725"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hint="eastAsia" w:ascii="宋体" w:hAnsi="宋体" w:eastAsia="宋体"/>
                <w:color w:val="000000"/>
                <w:kern w:val="0"/>
                <w:sz w:val="18"/>
                <w:szCs w:val="18"/>
              </w:rPr>
              <w:t>特殊作业环境（隧道、人防工程，高温、有导电灰尘、比较潮湿等作业环境）照明未按规定使用安全电压的</w:t>
            </w:r>
          </w:p>
        </w:tc>
        <w:tc>
          <w:tcPr>
            <w:tcW w:w="5692"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hint="eastAsia" w:ascii="宋体" w:hAnsi="宋体" w:eastAsia="宋体"/>
                <w:color w:val="000000"/>
                <w:kern w:val="0"/>
                <w:sz w:val="18"/>
                <w:szCs w:val="18"/>
              </w:rPr>
              <w:t>《房屋市政工程生产安全重大事故隐患判定标准（2022版）》</w:t>
            </w:r>
            <w:r>
              <w:rPr>
                <w:rFonts w:hint="eastAsia" w:ascii="宋体" w:hAnsi="宋体"/>
                <w:color w:val="000000"/>
                <w:kern w:val="0"/>
                <w:sz w:val="18"/>
                <w:szCs w:val="18"/>
                <w:lang w:eastAsia="zh-CN"/>
              </w:rPr>
              <w:t>第四条</w:t>
            </w:r>
          </w:p>
        </w:tc>
        <w:tc>
          <w:tcPr>
            <w:tcW w:w="584" w:type="dxa"/>
            <w:tcBorders>
              <w:top w:val="nil"/>
              <w:left w:val="nil"/>
              <w:bottom w:val="single" w:color="auto" w:sz="4" w:space="0"/>
              <w:right w:val="single" w:color="auto" w:sz="12" w:space="0"/>
            </w:tcBorders>
            <w:noWrap w:val="0"/>
            <w:vAlign w:val="center"/>
          </w:tcPr>
          <w:p>
            <w:pPr>
              <w:widowControl/>
              <w:snapToGrid w:val="0"/>
              <w:jc w:val="center"/>
              <w:rPr>
                <w:rFonts w:ascii="宋体" w:hAnsi="宋体" w:eastAsia="宋体"/>
                <w:b/>
                <w:bCs/>
                <w:color w:val="000000"/>
                <w:kern w:val="0"/>
                <w:sz w:val="18"/>
                <w:szCs w:val="18"/>
              </w:rPr>
            </w:pPr>
            <w:r>
              <w:rPr>
                <w:rFonts w:ascii="宋体" w:hAnsi="宋体" w:eastAsia="宋体" w:cs="Segoe UI Symbol"/>
                <w:color w:val="000000"/>
                <w:kern w:val="0"/>
                <w:sz w:val="18"/>
                <w:szCs w:val="18"/>
              </w:rPr>
              <w:t>★</w:t>
            </w:r>
          </w:p>
        </w:tc>
      </w:tr>
      <w:tr>
        <w:tblPrEx>
          <w:tblLayout w:type="fixed"/>
          <w:tblCellMar>
            <w:top w:w="0" w:type="dxa"/>
            <w:left w:w="108" w:type="dxa"/>
            <w:bottom w:w="0" w:type="dxa"/>
            <w:right w:w="108" w:type="dxa"/>
          </w:tblCellMar>
        </w:tblPrEx>
        <w:trPr>
          <w:cantSplit/>
          <w:jc w:val="center"/>
        </w:trPr>
        <w:tc>
          <w:tcPr>
            <w:tcW w:w="1668" w:type="dxa"/>
            <w:tcBorders>
              <w:top w:val="nil"/>
              <w:left w:val="single" w:color="auto" w:sz="12" w:space="0"/>
              <w:bottom w:val="single" w:color="auto" w:sz="4" w:space="0"/>
              <w:right w:val="single" w:color="auto" w:sz="4" w:space="0"/>
            </w:tcBorders>
            <w:noWrap w:val="0"/>
            <w:vAlign w:val="center"/>
          </w:tcPr>
          <w:p>
            <w:pPr>
              <w:widowControl/>
              <w:snapToGrid w:val="0"/>
              <w:jc w:val="center"/>
              <w:rPr>
                <w:rFonts w:hint="default" w:ascii="宋体" w:hAnsi="宋体" w:eastAsia="宋体"/>
                <w:color w:val="000000"/>
                <w:kern w:val="0"/>
                <w:sz w:val="18"/>
                <w:szCs w:val="18"/>
                <w:lang w:val="en-US"/>
              </w:rPr>
            </w:pPr>
            <w:r>
              <w:rPr>
                <w:rFonts w:hint="eastAsia" w:ascii="宋体" w:hAnsi="宋体"/>
                <w:color w:val="000000"/>
                <w:kern w:val="0"/>
                <w:sz w:val="18"/>
                <w:szCs w:val="18"/>
                <w:lang w:eastAsia="zh-CN"/>
              </w:rPr>
              <w:t>2023</w:t>
            </w:r>
            <w:r>
              <w:rPr>
                <w:rFonts w:ascii="宋体" w:hAnsi="宋体" w:eastAsia="宋体"/>
                <w:color w:val="000000"/>
                <w:kern w:val="0"/>
                <w:sz w:val="18"/>
                <w:szCs w:val="18"/>
              </w:rPr>
              <w:t>.004.03.0</w:t>
            </w:r>
            <w:r>
              <w:rPr>
                <w:rFonts w:hint="eastAsia" w:ascii="宋体" w:hAnsi="宋体"/>
                <w:color w:val="000000"/>
                <w:kern w:val="0"/>
                <w:sz w:val="18"/>
                <w:szCs w:val="18"/>
                <w:lang w:val="en-US" w:eastAsia="zh-CN"/>
              </w:rPr>
              <w:t>32</w:t>
            </w:r>
          </w:p>
        </w:tc>
        <w:tc>
          <w:tcPr>
            <w:tcW w:w="1002"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eastAsia="宋体"/>
                <w:color w:val="000000"/>
                <w:kern w:val="0"/>
                <w:sz w:val="18"/>
                <w:szCs w:val="18"/>
              </w:rPr>
            </w:pPr>
            <w:r>
              <w:rPr>
                <w:rFonts w:ascii="宋体" w:hAnsi="宋体" w:eastAsia="宋体"/>
                <w:color w:val="000000"/>
                <w:kern w:val="0"/>
                <w:sz w:val="18"/>
                <w:szCs w:val="18"/>
              </w:rPr>
              <w:t>基础资料类</w:t>
            </w:r>
          </w:p>
        </w:tc>
        <w:tc>
          <w:tcPr>
            <w:tcW w:w="994"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eastAsia="宋体"/>
                <w:color w:val="000000"/>
                <w:kern w:val="0"/>
                <w:sz w:val="18"/>
                <w:szCs w:val="18"/>
              </w:rPr>
            </w:pPr>
            <w:r>
              <w:rPr>
                <w:rFonts w:ascii="宋体" w:hAnsi="宋体" w:eastAsia="宋体"/>
                <w:color w:val="000000"/>
                <w:kern w:val="0"/>
                <w:sz w:val="18"/>
                <w:szCs w:val="18"/>
              </w:rPr>
              <w:t>记录档案类</w:t>
            </w:r>
          </w:p>
        </w:tc>
        <w:tc>
          <w:tcPr>
            <w:tcW w:w="4725"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未编制施工现场临时用电施工组织设计。</w:t>
            </w:r>
          </w:p>
        </w:tc>
        <w:tc>
          <w:tcPr>
            <w:tcW w:w="5692"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JGJ 46-2005《施工现场临时用电安全技术规范》；《北京市房屋建筑和市政基础设施工程重大生产安全事故隐患判定导则》第6.6.2条</w:t>
            </w:r>
          </w:p>
        </w:tc>
        <w:tc>
          <w:tcPr>
            <w:tcW w:w="584" w:type="dxa"/>
            <w:tcBorders>
              <w:top w:val="nil"/>
              <w:left w:val="nil"/>
              <w:bottom w:val="single" w:color="auto" w:sz="4" w:space="0"/>
              <w:right w:val="single" w:color="auto" w:sz="12" w:space="0"/>
            </w:tcBorders>
            <w:noWrap w:val="0"/>
            <w:vAlign w:val="center"/>
          </w:tcPr>
          <w:p>
            <w:pPr>
              <w:widowControl/>
              <w:snapToGrid w:val="0"/>
              <w:jc w:val="center"/>
              <w:rPr>
                <w:rFonts w:ascii="宋体" w:hAnsi="宋体" w:eastAsia="宋体"/>
                <w:b/>
                <w:bCs/>
                <w:color w:val="000000"/>
                <w:kern w:val="0"/>
                <w:sz w:val="18"/>
                <w:szCs w:val="18"/>
              </w:rPr>
            </w:pPr>
          </w:p>
        </w:tc>
      </w:tr>
      <w:tr>
        <w:tblPrEx>
          <w:tblLayout w:type="fixed"/>
          <w:tblCellMar>
            <w:top w:w="0" w:type="dxa"/>
            <w:left w:w="108" w:type="dxa"/>
            <w:bottom w:w="0" w:type="dxa"/>
            <w:right w:w="108" w:type="dxa"/>
          </w:tblCellMar>
        </w:tblPrEx>
        <w:trPr>
          <w:cantSplit/>
          <w:jc w:val="center"/>
        </w:trPr>
        <w:tc>
          <w:tcPr>
            <w:tcW w:w="1668" w:type="dxa"/>
            <w:tcBorders>
              <w:top w:val="nil"/>
              <w:left w:val="single" w:color="auto" w:sz="12" w:space="0"/>
              <w:bottom w:val="single" w:color="auto" w:sz="4" w:space="0"/>
              <w:right w:val="single" w:color="auto" w:sz="4" w:space="0"/>
            </w:tcBorders>
            <w:noWrap w:val="0"/>
            <w:vAlign w:val="center"/>
          </w:tcPr>
          <w:p>
            <w:pPr>
              <w:widowControl/>
              <w:snapToGrid w:val="0"/>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eastAsia="zh-CN"/>
              </w:rPr>
              <w:t>2023</w:t>
            </w:r>
            <w:r>
              <w:rPr>
                <w:rFonts w:ascii="宋体" w:hAnsi="宋体" w:eastAsia="宋体"/>
                <w:color w:val="000000"/>
                <w:kern w:val="0"/>
                <w:sz w:val="18"/>
                <w:szCs w:val="18"/>
              </w:rPr>
              <w:t>.004.03.0</w:t>
            </w:r>
            <w:r>
              <w:rPr>
                <w:rFonts w:hint="eastAsia" w:ascii="宋体" w:hAnsi="宋体"/>
                <w:color w:val="000000"/>
                <w:kern w:val="0"/>
                <w:sz w:val="18"/>
                <w:szCs w:val="18"/>
                <w:lang w:val="en-US" w:eastAsia="zh-CN"/>
              </w:rPr>
              <w:t>33</w:t>
            </w:r>
          </w:p>
        </w:tc>
        <w:tc>
          <w:tcPr>
            <w:tcW w:w="1002"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p>
        </w:tc>
        <w:tc>
          <w:tcPr>
            <w:tcW w:w="994"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p>
        </w:tc>
        <w:tc>
          <w:tcPr>
            <w:tcW w:w="4725"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临时用电施工组织设计未对盾构施工用电进行专项说明。</w:t>
            </w:r>
          </w:p>
        </w:tc>
        <w:tc>
          <w:tcPr>
            <w:tcW w:w="5692"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JGJ 46-2005《施工现场临时用电安全技术规范》；《北京市房屋建筑和市政基础设施工程重大生产安全事故隐患判定导则》第6.6.3条</w:t>
            </w:r>
          </w:p>
        </w:tc>
        <w:tc>
          <w:tcPr>
            <w:tcW w:w="584" w:type="dxa"/>
            <w:tcBorders>
              <w:top w:val="nil"/>
              <w:left w:val="nil"/>
              <w:bottom w:val="single" w:color="auto" w:sz="4" w:space="0"/>
              <w:right w:val="single" w:color="auto" w:sz="12" w:space="0"/>
            </w:tcBorders>
            <w:noWrap w:val="0"/>
            <w:vAlign w:val="center"/>
          </w:tcPr>
          <w:p>
            <w:pPr>
              <w:widowControl/>
              <w:snapToGrid w:val="0"/>
              <w:jc w:val="center"/>
              <w:rPr>
                <w:rFonts w:ascii="宋体" w:hAnsi="宋体" w:eastAsia="宋体"/>
                <w:b/>
                <w:bCs/>
                <w:color w:val="000000"/>
                <w:kern w:val="0"/>
                <w:sz w:val="18"/>
                <w:szCs w:val="18"/>
              </w:rPr>
            </w:pPr>
          </w:p>
        </w:tc>
      </w:tr>
      <w:tr>
        <w:tblPrEx>
          <w:tblLayout w:type="fixed"/>
          <w:tblCellMar>
            <w:top w:w="0" w:type="dxa"/>
            <w:left w:w="108" w:type="dxa"/>
            <w:bottom w:w="0" w:type="dxa"/>
            <w:right w:w="108" w:type="dxa"/>
          </w:tblCellMar>
        </w:tblPrEx>
        <w:trPr>
          <w:cantSplit/>
          <w:jc w:val="center"/>
        </w:trPr>
        <w:tc>
          <w:tcPr>
            <w:tcW w:w="14665" w:type="dxa"/>
            <w:gridSpan w:val="6"/>
            <w:tcBorders>
              <w:top w:val="single" w:color="auto" w:sz="4" w:space="0"/>
              <w:left w:val="single" w:color="auto" w:sz="12" w:space="0"/>
              <w:bottom w:val="single" w:color="auto" w:sz="4" w:space="0"/>
              <w:right w:val="single" w:color="auto" w:sz="12" w:space="0"/>
            </w:tcBorders>
            <w:noWrap w:val="0"/>
            <w:vAlign w:val="center"/>
          </w:tcPr>
          <w:p>
            <w:pPr>
              <w:widowControl/>
              <w:snapToGrid w:val="0"/>
              <w:jc w:val="center"/>
              <w:rPr>
                <w:rFonts w:ascii="宋体" w:hAnsi="宋体" w:eastAsia="宋体"/>
                <w:b/>
                <w:color w:val="000000"/>
                <w:kern w:val="0"/>
                <w:sz w:val="18"/>
                <w:szCs w:val="18"/>
              </w:rPr>
            </w:pPr>
            <w:r>
              <w:rPr>
                <w:rFonts w:ascii="宋体" w:hAnsi="宋体" w:eastAsia="宋体"/>
                <w:b/>
                <w:color w:val="000000"/>
                <w:kern w:val="0"/>
                <w:sz w:val="18"/>
                <w:szCs w:val="18"/>
              </w:rPr>
              <w:t>消防安全方面</w:t>
            </w:r>
          </w:p>
        </w:tc>
      </w:tr>
      <w:tr>
        <w:tblPrEx>
          <w:tblLayout w:type="fixed"/>
          <w:tblCellMar>
            <w:top w:w="0" w:type="dxa"/>
            <w:left w:w="108" w:type="dxa"/>
            <w:bottom w:w="0" w:type="dxa"/>
            <w:right w:w="108" w:type="dxa"/>
          </w:tblCellMar>
        </w:tblPrEx>
        <w:trPr>
          <w:cantSplit/>
          <w:jc w:val="center"/>
        </w:trPr>
        <w:tc>
          <w:tcPr>
            <w:tcW w:w="1668" w:type="dxa"/>
            <w:tcBorders>
              <w:top w:val="nil"/>
              <w:left w:val="single" w:color="auto" w:sz="12" w:space="0"/>
              <w:bottom w:val="single" w:color="auto" w:sz="4" w:space="0"/>
              <w:right w:val="single" w:color="auto" w:sz="4" w:space="0"/>
            </w:tcBorders>
            <w:noWrap w:val="0"/>
            <w:vAlign w:val="center"/>
          </w:tcPr>
          <w:p>
            <w:pPr>
              <w:widowControl/>
              <w:snapToGrid w:val="0"/>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eastAsia="zh-CN"/>
              </w:rPr>
              <w:t>2023</w:t>
            </w:r>
            <w:r>
              <w:rPr>
                <w:rFonts w:ascii="宋体" w:hAnsi="宋体" w:eastAsia="宋体"/>
                <w:color w:val="000000"/>
                <w:kern w:val="0"/>
                <w:sz w:val="18"/>
                <w:szCs w:val="18"/>
              </w:rPr>
              <w:t>.004.03.0</w:t>
            </w:r>
            <w:r>
              <w:rPr>
                <w:rFonts w:hint="eastAsia" w:ascii="宋体" w:hAnsi="宋体"/>
                <w:color w:val="000000"/>
                <w:kern w:val="0"/>
                <w:sz w:val="18"/>
                <w:szCs w:val="18"/>
                <w:lang w:val="en-US" w:eastAsia="zh-CN"/>
              </w:rPr>
              <w:t>34</w:t>
            </w:r>
          </w:p>
        </w:tc>
        <w:tc>
          <w:tcPr>
            <w:tcW w:w="1002"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eastAsia="宋体"/>
                <w:color w:val="000000"/>
                <w:kern w:val="0"/>
                <w:sz w:val="18"/>
                <w:szCs w:val="18"/>
              </w:rPr>
            </w:pPr>
            <w:r>
              <w:rPr>
                <w:rFonts w:ascii="宋体" w:hAnsi="宋体" w:eastAsia="宋体"/>
                <w:color w:val="000000"/>
                <w:kern w:val="0"/>
                <w:sz w:val="18"/>
                <w:szCs w:val="18"/>
              </w:rPr>
              <w:t>设备设施及物料类</w:t>
            </w:r>
          </w:p>
        </w:tc>
        <w:tc>
          <w:tcPr>
            <w:tcW w:w="994"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eastAsia="宋体"/>
                <w:color w:val="000000"/>
                <w:kern w:val="0"/>
                <w:sz w:val="18"/>
                <w:szCs w:val="18"/>
              </w:rPr>
            </w:pPr>
            <w:r>
              <w:rPr>
                <w:rFonts w:ascii="宋体" w:hAnsi="宋体" w:eastAsia="宋体"/>
                <w:color w:val="000000"/>
                <w:kern w:val="0"/>
                <w:sz w:val="18"/>
                <w:szCs w:val="18"/>
              </w:rPr>
              <w:t>消防设施和消防产品类</w:t>
            </w:r>
          </w:p>
        </w:tc>
        <w:tc>
          <w:tcPr>
            <w:tcW w:w="4725"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宿舍、办公用房其建筑构件的燃烧性能等级未达到A级。</w:t>
            </w:r>
          </w:p>
        </w:tc>
        <w:tc>
          <w:tcPr>
            <w:tcW w:w="5692"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GB50720-2011《建设工程施工现场消防安全技术规范》；《北京市房屋建筑和市政基础设施工程重大生产安全事故隐患判定导则》第6.7.1条</w:t>
            </w:r>
          </w:p>
        </w:tc>
        <w:tc>
          <w:tcPr>
            <w:tcW w:w="584" w:type="dxa"/>
            <w:tcBorders>
              <w:top w:val="nil"/>
              <w:left w:val="nil"/>
              <w:bottom w:val="single" w:color="auto" w:sz="4" w:space="0"/>
              <w:right w:val="single" w:color="auto" w:sz="12" w:space="0"/>
            </w:tcBorders>
            <w:noWrap w:val="0"/>
            <w:vAlign w:val="center"/>
          </w:tcPr>
          <w:p>
            <w:pPr>
              <w:widowControl/>
              <w:snapToGrid w:val="0"/>
              <w:jc w:val="center"/>
              <w:rPr>
                <w:rFonts w:ascii="宋体" w:hAnsi="宋体" w:eastAsia="宋体"/>
                <w:b/>
                <w:bCs/>
                <w:color w:val="000000"/>
                <w:kern w:val="0"/>
                <w:sz w:val="18"/>
                <w:szCs w:val="18"/>
              </w:rPr>
            </w:pPr>
          </w:p>
        </w:tc>
      </w:tr>
      <w:tr>
        <w:tblPrEx>
          <w:tblLayout w:type="fixed"/>
          <w:tblCellMar>
            <w:top w:w="0" w:type="dxa"/>
            <w:left w:w="108" w:type="dxa"/>
            <w:bottom w:w="0" w:type="dxa"/>
            <w:right w:w="108" w:type="dxa"/>
          </w:tblCellMar>
        </w:tblPrEx>
        <w:trPr>
          <w:cantSplit/>
          <w:jc w:val="center"/>
        </w:trPr>
        <w:tc>
          <w:tcPr>
            <w:tcW w:w="1668" w:type="dxa"/>
            <w:tcBorders>
              <w:top w:val="nil"/>
              <w:left w:val="single" w:color="auto" w:sz="12" w:space="0"/>
              <w:bottom w:val="single" w:color="auto" w:sz="4" w:space="0"/>
              <w:right w:val="single" w:color="auto" w:sz="4" w:space="0"/>
            </w:tcBorders>
            <w:noWrap w:val="0"/>
            <w:vAlign w:val="center"/>
          </w:tcPr>
          <w:p>
            <w:pPr>
              <w:widowControl/>
              <w:snapToGrid w:val="0"/>
              <w:jc w:val="center"/>
              <w:rPr>
                <w:rFonts w:hint="default" w:ascii="宋体" w:hAnsi="宋体" w:eastAsia="宋体"/>
                <w:color w:val="000000"/>
                <w:kern w:val="0"/>
                <w:sz w:val="18"/>
                <w:szCs w:val="18"/>
                <w:lang w:val="en-US"/>
              </w:rPr>
            </w:pPr>
            <w:r>
              <w:rPr>
                <w:rFonts w:hint="eastAsia" w:ascii="宋体" w:hAnsi="宋体"/>
                <w:color w:val="000000"/>
                <w:kern w:val="0"/>
                <w:sz w:val="18"/>
                <w:szCs w:val="18"/>
                <w:lang w:eastAsia="zh-CN"/>
              </w:rPr>
              <w:t>2023</w:t>
            </w:r>
            <w:r>
              <w:rPr>
                <w:rFonts w:ascii="宋体" w:hAnsi="宋体" w:eastAsia="宋体"/>
                <w:color w:val="000000"/>
                <w:kern w:val="0"/>
                <w:sz w:val="18"/>
                <w:szCs w:val="18"/>
              </w:rPr>
              <w:t>.004.03.0</w:t>
            </w:r>
            <w:r>
              <w:rPr>
                <w:rFonts w:hint="eastAsia" w:ascii="宋体" w:hAnsi="宋体"/>
                <w:color w:val="000000"/>
                <w:kern w:val="0"/>
                <w:sz w:val="18"/>
                <w:szCs w:val="18"/>
                <w:lang w:val="en-US" w:eastAsia="zh-CN"/>
              </w:rPr>
              <w:t>35</w:t>
            </w:r>
          </w:p>
        </w:tc>
        <w:tc>
          <w:tcPr>
            <w:tcW w:w="1002"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p>
        </w:tc>
        <w:tc>
          <w:tcPr>
            <w:tcW w:w="994"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p>
        </w:tc>
        <w:tc>
          <w:tcPr>
            <w:tcW w:w="4725"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施工现场未经审批进行动火作业且未设置动火监护人、未清理现场可燃物且未配备消防器材。</w:t>
            </w:r>
          </w:p>
        </w:tc>
        <w:tc>
          <w:tcPr>
            <w:tcW w:w="5692"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GB50720-2011《建设工程施工现场消防安全技术规范》；《北京市房屋建筑和市政基础设施工程重大生产安全事故隐患判定导则》第6.7.2条</w:t>
            </w:r>
          </w:p>
        </w:tc>
        <w:tc>
          <w:tcPr>
            <w:tcW w:w="584" w:type="dxa"/>
            <w:tcBorders>
              <w:top w:val="nil"/>
              <w:left w:val="nil"/>
              <w:bottom w:val="single" w:color="auto" w:sz="4" w:space="0"/>
              <w:right w:val="single" w:color="auto" w:sz="12" w:space="0"/>
            </w:tcBorders>
            <w:noWrap w:val="0"/>
            <w:vAlign w:val="center"/>
          </w:tcPr>
          <w:p>
            <w:pPr>
              <w:widowControl/>
              <w:snapToGrid w:val="0"/>
              <w:jc w:val="center"/>
              <w:rPr>
                <w:rFonts w:ascii="宋体" w:hAnsi="宋体" w:eastAsia="宋体"/>
                <w:b/>
                <w:bCs/>
                <w:color w:val="000000"/>
                <w:kern w:val="0"/>
                <w:sz w:val="18"/>
                <w:szCs w:val="18"/>
              </w:rPr>
            </w:pPr>
          </w:p>
        </w:tc>
      </w:tr>
      <w:tr>
        <w:tblPrEx>
          <w:tblLayout w:type="fixed"/>
          <w:tblCellMar>
            <w:top w:w="0" w:type="dxa"/>
            <w:left w:w="108" w:type="dxa"/>
            <w:bottom w:w="0" w:type="dxa"/>
            <w:right w:w="108" w:type="dxa"/>
          </w:tblCellMar>
        </w:tblPrEx>
        <w:trPr>
          <w:cantSplit/>
          <w:jc w:val="center"/>
        </w:trPr>
        <w:tc>
          <w:tcPr>
            <w:tcW w:w="14665" w:type="dxa"/>
            <w:gridSpan w:val="6"/>
            <w:tcBorders>
              <w:top w:val="single" w:color="auto" w:sz="4" w:space="0"/>
              <w:left w:val="single" w:color="auto" w:sz="12" w:space="0"/>
              <w:bottom w:val="single" w:color="auto" w:sz="4" w:space="0"/>
              <w:right w:val="single" w:color="auto" w:sz="12" w:space="0"/>
            </w:tcBorders>
            <w:noWrap w:val="0"/>
            <w:vAlign w:val="center"/>
          </w:tcPr>
          <w:p>
            <w:pPr>
              <w:widowControl/>
              <w:snapToGrid w:val="0"/>
              <w:jc w:val="center"/>
              <w:rPr>
                <w:rFonts w:ascii="宋体" w:hAnsi="宋体" w:eastAsia="宋体"/>
                <w:b/>
                <w:color w:val="000000"/>
                <w:kern w:val="0"/>
                <w:sz w:val="18"/>
                <w:szCs w:val="18"/>
              </w:rPr>
            </w:pPr>
            <w:r>
              <w:rPr>
                <w:rFonts w:ascii="宋体" w:hAnsi="宋体" w:eastAsia="宋体"/>
                <w:b/>
                <w:color w:val="000000"/>
                <w:kern w:val="0"/>
                <w:sz w:val="18"/>
                <w:szCs w:val="18"/>
              </w:rPr>
              <w:t>安全防护方面</w:t>
            </w:r>
          </w:p>
        </w:tc>
      </w:tr>
      <w:tr>
        <w:tblPrEx>
          <w:tblLayout w:type="fixed"/>
          <w:tblCellMar>
            <w:top w:w="0" w:type="dxa"/>
            <w:left w:w="108" w:type="dxa"/>
            <w:bottom w:w="0" w:type="dxa"/>
            <w:right w:w="108" w:type="dxa"/>
          </w:tblCellMar>
        </w:tblPrEx>
        <w:trPr>
          <w:cantSplit/>
          <w:jc w:val="center"/>
        </w:trPr>
        <w:tc>
          <w:tcPr>
            <w:tcW w:w="1668" w:type="dxa"/>
            <w:tcBorders>
              <w:top w:val="nil"/>
              <w:left w:val="single" w:color="auto" w:sz="12" w:space="0"/>
              <w:bottom w:val="single" w:color="auto" w:sz="4" w:space="0"/>
              <w:right w:val="single" w:color="auto" w:sz="4" w:space="0"/>
            </w:tcBorders>
            <w:noWrap w:val="0"/>
            <w:vAlign w:val="center"/>
          </w:tcPr>
          <w:p>
            <w:pPr>
              <w:widowControl/>
              <w:snapToGrid w:val="0"/>
              <w:jc w:val="center"/>
              <w:rPr>
                <w:rFonts w:hint="default" w:ascii="宋体" w:hAnsi="宋体" w:eastAsia="宋体"/>
                <w:color w:val="000000"/>
                <w:kern w:val="0"/>
                <w:sz w:val="18"/>
                <w:szCs w:val="18"/>
                <w:lang w:val="en-US"/>
              </w:rPr>
            </w:pPr>
            <w:r>
              <w:rPr>
                <w:rFonts w:hint="eastAsia" w:ascii="宋体" w:hAnsi="宋体"/>
                <w:color w:val="000000"/>
                <w:kern w:val="0"/>
                <w:sz w:val="18"/>
                <w:szCs w:val="18"/>
                <w:lang w:eastAsia="zh-CN"/>
              </w:rPr>
              <w:t>2023</w:t>
            </w:r>
            <w:r>
              <w:rPr>
                <w:rFonts w:ascii="宋体" w:hAnsi="宋体" w:eastAsia="宋体"/>
                <w:color w:val="000000"/>
                <w:kern w:val="0"/>
                <w:sz w:val="18"/>
                <w:szCs w:val="18"/>
              </w:rPr>
              <w:t>.004.03.0</w:t>
            </w:r>
            <w:r>
              <w:rPr>
                <w:rFonts w:hint="eastAsia" w:ascii="宋体" w:hAnsi="宋体"/>
                <w:color w:val="000000"/>
                <w:kern w:val="0"/>
                <w:sz w:val="18"/>
                <w:szCs w:val="18"/>
                <w:lang w:val="en-US" w:eastAsia="zh-CN"/>
              </w:rPr>
              <w:t>36</w:t>
            </w:r>
          </w:p>
        </w:tc>
        <w:tc>
          <w:tcPr>
            <w:tcW w:w="1002" w:type="dxa"/>
            <w:tcBorders>
              <w:top w:val="nil"/>
              <w:left w:val="nil"/>
              <w:bottom w:val="single" w:color="auto" w:sz="4" w:space="0"/>
              <w:right w:val="single" w:color="auto" w:sz="4" w:space="0"/>
            </w:tcBorders>
            <w:noWrap w:val="0"/>
            <w:vAlign w:val="center"/>
          </w:tcPr>
          <w:p>
            <w:pPr>
              <w:widowControl/>
              <w:snapToGrid w:val="0"/>
              <w:jc w:val="center"/>
              <w:rPr>
                <w:rFonts w:ascii="宋体" w:hAnsi="宋体" w:eastAsia="宋体"/>
                <w:color w:val="000000"/>
                <w:kern w:val="0"/>
                <w:sz w:val="18"/>
                <w:szCs w:val="18"/>
              </w:rPr>
            </w:pPr>
            <w:r>
              <w:rPr>
                <w:rFonts w:ascii="宋体" w:hAnsi="宋体" w:eastAsia="宋体"/>
                <w:color w:val="000000"/>
                <w:kern w:val="0"/>
                <w:sz w:val="18"/>
                <w:szCs w:val="18"/>
              </w:rPr>
              <w:t>场所环境类</w:t>
            </w:r>
          </w:p>
        </w:tc>
        <w:tc>
          <w:tcPr>
            <w:tcW w:w="994" w:type="dxa"/>
            <w:tcBorders>
              <w:top w:val="nil"/>
              <w:left w:val="nil"/>
              <w:bottom w:val="single" w:color="auto" w:sz="4" w:space="0"/>
              <w:right w:val="single" w:color="auto" w:sz="4" w:space="0"/>
            </w:tcBorders>
            <w:noWrap w:val="0"/>
            <w:vAlign w:val="center"/>
          </w:tcPr>
          <w:p>
            <w:pPr>
              <w:widowControl/>
              <w:snapToGrid w:val="0"/>
              <w:jc w:val="center"/>
              <w:rPr>
                <w:rFonts w:ascii="宋体" w:hAnsi="宋体" w:eastAsia="宋体"/>
                <w:color w:val="000000"/>
                <w:kern w:val="0"/>
                <w:sz w:val="18"/>
                <w:szCs w:val="18"/>
              </w:rPr>
            </w:pPr>
            <w:r>
              <w:rPr>
                <w:rFonts w:ascii="宋体" w:hAnsi="宋体" w:eastAsia="宋体"/>
                <w:color w:val="000000"/>
                <w:kern w:val="0"/>
                <w:sz w:val="18"/>
                <w:szCs w:val="18"/>
              </w:rPr>
              <w:t>建（构）筑物类</w:t>
            </w:r>
          </w:p>
        </w:tc>
        <w:tc>
          <w:tcPr>
            <w:tcW w:w="4725"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深基坑、暗挖竖井及横通道口、高架车站结构顶面施工区域内未设置临边防护设施。</w:t>
            </w:r>
          </w:p>
        </w:tc>
        <w:tc>
          <w:tcPr>
            <w:tcW w:w="5692"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《北京市房屋建筑和市政基础设施工程重大生产安全事故隐患判定导则》第6.7.2条</w:t>
            </w:r>
          </w:p>
        </w:tc>
        <w:tc>
          <w:tcPr>
            <w:tcW w:w="584" w:type="dxa"/>
            <w:tcBorders>
              <w:top w:val="nil"/>
              <w:left w:val="nil"/>
              <w:bottom w:val="single" w:color="auto" w:sz="4" w:space="0"/>
              <w:right w:val="single" w:color="auto" w:sz="12" w:space="0"/>
            </w:tcBorders>
            <w:noWrap w:val="0"/>
            <w:vAlign w:val="center"/>
          </w:tcPr>
          <w:p>
            <w:pPr>
              <w:widowControl/>
              <w:snapToGrid w:val="0"/>
              <w:jc w:val="center"/>
              <w:rPr>
                <w:rFonts w:ascii="宋体" w:hAnsi="宋体" w:eastAsia="宋体"/>
                <w:b/>
                <w:bCs/>
                <w:color w:val="000000"/>
                <w:kern w:val="0"/>
                <w:sz w:val="18"/>
                <w:szCs w:val="18"/>
              </w:rPr>
            </w:pPr>
          </w:p>
        </w:tc>
      </w:tr>
      <w:tr>
        <w:tblPrEx>
          <w:tblLayout w:type="fixed"/>
          <w:tblCellMar>
            <w:top w:w="0" w:type="dxa"/>
            <w:left w:w="108" w:type="dxa"/>
            <w:bottom w:w="0" w:type="dxa"/>
            <w:right w:w="108" w:type="dxa"/>
          </w:tblCellMar>
        </w:tblPrEx>
        <w:trPr>
          <w:cantSplit/>
          <w:jc w:val="center"/>
        </w:trPr>
        <w:tc>
          <w:tcPr>
            <w:tcW w:w="14665" w:type="dxa"/>
            <w:gridSpan w:val="6"/>
            <w:tcBorders>
              <w:top w:val="single" w:color="auto" w:sz="4" w:space="0"/>
              <w:left w:val="single" w:color="auto" w:sz="12" w:space="0"/>
              <w:bottom w:val="single" w:color="auto" w:sz="4" w:space="0"/>
              <w:right w:val="single" w:color="auto" w:sz="12" w:space="0"/>
            </w:tcBorders>
            <w:noWrap w:val="0"/>
            <w:vAlign w:val="center"/>
          </w:tcPr>
          <w:p>
            <w:pPr>
              <w:widowControl/>
              <w:snapToGrid w:val="0"/>
              <w:jc w:val="center"/>
              <w:rPr>
                <w:rFonts w:ascii="宋体" w:hAnsi="宋体" w:eastAsia="宋体"/>
                <w:b/>
                <w:color w:val="000000"/>
                <w:kern w:val="0"/>
                <w:sz w:val="18"/>
                <w:szCs w:val="18"/>
              </w:rPr>
            </w:pPr>
            <w:r>
              <w:rPr>
                <w:rFonts w:ascii="宋体" w:hAnsi="宋体" w:eastAsia="宋体"/>
                <w:b/>
                <w:color w:val="000000"/>
                <w:kern w:val="0"/>
                <w:sz w:val="18"/>
                <w:szCs w:val="18"/>
              </w:rPr>
              <w:t>防汛方面</w:t>
            </w:r>
          </w:p>
        </w:tc>
      </w:tr>
      <w:tr>
        <w:tblPrEx>
          <w:tblLayout w:type="fixed"/>
          <w:tblCellMar>
            <w:top w:w="0" w:type="dxa"/>
            <w:left w:w="108" w:type="dxa"/>
            <w:bottom w:w="0" w:type="dxa"/>
            <w:right w:w="108" w:type="dxa"/>
          </w:tblCellMar>
        </w:tblPrEx>
        <w:trPr>
          <w:cantSplit/>
          <w:jc w:val="center"/>
        </w:trPr>
        <w:tc>
          <w:tcPr>
            <w:tcW w:w="1668" w:type="dxa"/>
            <w:tcBorders>
              <w:top w:val="nil"/>
              <w:left w:val="single" w:color="auto" w:sz="12" w:space="0"/>
              <w:bottom w:val="single" w:color="auto" w:sz="4" w:space="0"/>
              <w:right w:val="single" w:color="auto" w:sz="4" w:space="0"/>
            </w:tcBorders>
            <w:noWrap w:val="0"/>
            <w:vAlign w:val="center"/>
          </w:tcPr>
          <w:p>
            <w:pPr>
              <w:widowControl/>
              <w:snapToGrid w:val="0"/>
              <w:jc w:val="center"/>
              <w:rPr>
                <w:rFonts w:hint="default" w:ascii="宋体" w:hAnsi="宋体" w:eastAsia="宋体"/>
                <w:color w:val="000000"/>
                <w:kern w:val="0"/>
                <w:sz w:val="18"/>
                <w:szCs w:val="18"/>
                <w:lang w:val="en-US"/>
              </w:rPr>
            </w:pPr>
            <w:r>
              <w:rPr>
                <w:rFonts w:hint="eastAsia" w:ascii="宋体" w:hAnsi="宋体"/>
                <w:color w:val="000000"/>
                <w:kern w:val="0"/>
                <w:sz w:val="18"/>
                <w:szCs w:val="18"/>
                <w:lang w:eastAsia="zh-CN"/>
              </w:rPr>
              <w:t>2023</w:t>
            </w:r>
            <w:r>
              <w:rPr>
                <w:rFonts w:ascii="宋体" w:hAnsi="宋体" w:eastAsia="宋体"/>
                <w:color w:val="000000"/>
                <w:kern w:val="0"/>
                <w:sz w:val="18"/>
                <w:szCs w:val="18"/>
              </w:rPr>
              <w:t>.004.03.0</w:t>
            </w:r>
            <w:r>
              <w:rPr>
                <w:rFonts w:hint="eastAsia" w:ascii="宋体" w:hAnsi="宋体"/>
                <w:color w:val="000000"/>
                <w:kern w:val="0"/>
                <w:sz w:val="18"/>
                <w:szCs w:val="18"/>
                <w:lang w:val="en-US" w:eastAsia="zh-CN"/>
              </w:rPr>
              <w:t>37</w:t>
            </w:r>
          </w:p>
        </w:tc>
        <w:tc>
          <w:tcPr>
            <w:tcW w:w="1002" w:type="dxa"/>
            <w:tcBorders>
              <w:top w:val="nil"/>
              <w:left w:val="nil"/>
              <w:bottom w:val="single" w:color="auto" w:sz="4" w:space="0"/>
              <w:right w:val="single" w:color="auto" w:sz="4" w:space="0"/>
            </w:tcBorders>
            <w:noWrap w:val="0"/>
            <w:vAlign w:val="center"/>
          </w:tcPr>
          <w:p>
            <w:pPr>
              <w:widowControl/>
              <w:snapToGrid w:val="0"/>
              <w:jc w:val="center"/>
              <w:rPr>
                <w:rFonts w:ascii="宋体" w:hAnsi="宋体" w:eastAsia="宋体"/>
                <w:color w:val="000000"/>
                <w:kern w:val="0"/>
                <w:sz w:val="18"/>
                <w:szCs w:val="18"/>
              </w:rPr>
            </w:pPr>
            <w:r>
              <w:rPr>
                <w:rFonts w:ascii="宋体" w:hAnsi="宋体" w:eastAsia="宋体"/>
                <w:color w:val="000000"/>
                <w:kern w:val="0"/>
                <w:sz w:val="18"/>
                <w:szCs w:val="18"/>
              </w:rPr>
              <w:t>基础资料类</w:t>
            </w:r>
          </w:p>
        </w:tc>
        <w:tc>
          <w:tcPr>
            <w:tcW w:w="994" w:type="dxa"/>
            <w:tcBorders>
              <w:top w:val="nil"/>
              <w:left w:val="nil"/>
              <w:bottom w:val="single" w:color="auto" w:sz="4" w:space="0"/>
              <w:right w:val="single" w:color="auto" w:sz="4" w:space="0"/>
            </w:tcBorders>
            <w:noWrap w:val="0"/>
            <w:vAlign w:val="center"/>
          </w:tcPr>
          <w:p>
            <w:pPr>
              <w:widowControl/>
              <w:snapToGrid w:val="0"/>
              <w:jc w:val="center"/>
              <w:rPr>
                <w:rFonts w:ascii="宋体" w:hAnsi="宋体" w:eastAsia="宋体"/>
                <w:color w:val="000000"/>
                <w:kern w:val="0"/>
                <w:sz w:val="18"/>
                <w:szCs w:val="18"/>
              </w:rPr>
            </w:pPr>
            <w:r>
              <w:rPr>
                <w:rFonts w:ascii="宋体" w:hAnsi="宋体" w:eastAsia="宋体"/>
                <w:color w:val="000000"/>
                <w:kern w:val="0"/>
                <w:sz w:val="18"/>
                <w:szCs w:val="18"/>
              </w:rPr>
              <w:t>应急救援类</w:t>
            </w:r>
          </w:p>
        </w:tc>
        <w:tc>
          <w:tcPr>
            <w:tcW w:w="4725"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与既有线接驳处施工未编制应急预案。</w:t>
            </w:r>
          </w:p>
        </w:tc>
        <w:tc>
          <w:tcPr>
            <w:tcW w:w="5692"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《城市轨道交通建设工程质量安全事故应急预案管理办法》建质【2014】34号；《北京市房屋建筑和市政基础设施工程重大生产安全事故隐患判定导则》第6.9.1条</w:t>
            </w:r>
          </w:p>
        </w:tc>
        <w:tc>
          <w:tcPr>
            <w:tcW w:w="584" w:type="dxa"/>
            <w:tcBorders>
              <w:top w:val="nil"/>
              <w:left w:val="nil"/>
              <w:bottom w:val="single" w:color="auto" w:sz="4" w:space="0"/>
              <w:right w:val="single" w:color="auto" w:sz="12" w:space="0"/>
            </w:tcBorders>
            <w:noWrap w:val="0"/>
            <w:vAlign w:val="center"/>
          </w:tcPr>
          <w:p>
            <w:pPr>
              <w:widowControl/>
              <w:snapToGrid w:val="0"/>
              <w:jc w:val="center"/>
              <w:rPr>
                <w:rFonts w:ascii="宋体" w:hAnsi="宋体" w:eastAsia="宋体"/>
                <w:b/>
                <w:bCs/>
                <w:color w:val="000000"/>
                <w:kern w:val="0"/>
                <w:sz w:val="18"/>
                <w:szCs w:val="18"/>
              </w:rPr>
            </w:pPr>
          </w:p>
        </w:tc>
      </w:tr>
      <w:tr>
        <w:tblPrEx>
          <w:tblLayout w:type="fixed"/>
          <w:tblCellMar>
            <w:top w:w="0" w:type="dxa"/>
            <w:left w:w="108" w:type="dxa"/>
            <w:bottom w:w="0" w:type="dxa"/>
            <w:right w:w="108" w:type="dxa"/>
          </w:tblCellMar>
        </w:tblPrEx>
        <w:trPr>
          <w:cantSplit/>
          <w:jc w:val="center"/>
        </w:trPr>
        <w:tc>
          <w:tcPr>
            <w:tcW w:w="1668" w:type="dxa"/>
            <w:tcBorders>
              <w:top w:val="nil"/>
              <w:left w:val="single" w:color="auto" w:sz="12" w:space="0"/>
              <w:bottom w:val="single" w:color="auto" w:sz="4" w:space="0"/>
              <w:right w:val="single" w:color="auto" w:sz="4" w:space="0"/>
            </w:tcBorders>
            <w:noWrap w:val="0"/>
            <w:vAlign w:val="center"/>
          </w:tcPr>
          <w:p>
            <w:pPr>
              <w:widowControl/>
              <w:snapToGrid w:val="0"/>
              <w:jc w:val="center"/>
              <w:rPr>
                <w:rFonts w:hint="default" w:ascii="宋体" w:hAnsi="宋体" w:eastAsia="宋体"/>
                <w:color w:val="000000"/>
                <w:kern w:val="0"/>
                <w:sz w:val="18"/>
                <w:szCs w:val="18"/>
                <w:lang w:val="en-US"/>
              </w:rPr>
            </w:pPr>
            <w:r>
              <w:rPr>
                <w:rFonts w:hint="eastAsia" w:ascii="宋体" w:hAnsi="宋体"/>
                <w:color w:val="000000"/>
                <w:kern w:val="0"/>
                <w:sz w:val="18"/>
                <w:szCs w:val="18"/>
                <w:lang w:eastAsia="zh-CN"/>
              </w:rPr>
              <w:t>2023</w:t>
            </w:r>
            <w:r>
              <w:rPr>
                <w:rFonts w:ascii="宋体" w:hAnsi="宋体" w:eastAsia="宋体"/>
                <w:color w:val="000000"/>
                <w:kern w:val="0"/>
                <w:sz w:val="18"/>
                <w:szCs w:val="18"/>
              </w:rPr>
              <w:t>.004.03.0</w:t>
            </w:r>
            <w:r>
              <w:rPr>
                <w:rFonts w:hint="eastAsia" w:ascii="宋体" w:hAnsi="宋体"/>
                <w:color w:val="000000"/>
                <w:kern w:val="0"/>
                <w:sz w:val="18"/>
                <w:szCs w:val="18"/>
                <w:lang w:val="en-US" w:eastAsia="zh-CN"/>
              </w:rPr>
              <w:t>38</w:t>
            </w:r>
          </w:p>
        </w:tc>
        <w:tc>
          <w:tcPr>
            <w:tcW w:w="1002" w:type="dxa"/>
            <w:tcBorders>
              <w:top w:val="nil"/>
              <w:left w:val="nil"/>
              <w:bottom w:val="single" w:color="auto" w:sz="4" w:space="0"/>
              <w:right w:val="single" w:color="auto" w:sz="4" w:space="0"/>
            </w:tcBorders>
            <w:noWrap w:val="0"/>
            <w:vAlign w:val="center"/>
          </w:tcPr>
          <w:p>
            <w:pPr>
              <w:widowControl/>
              <w:snapToGrid w:val="0"/>
              <w:jc w:val="center"/>
              <w:rPr>
                <w:rFonts w:ascii="宋体" w:hAnsi="宋体" w:eastAsia="宋体"/>
                <w:color w:val="000000"/>
                <w:kern w:val="0"/>
                <w:sz w:val="18"/>
                <w:szCs w:val="18"/>
              </w:rPr>
            </w:pPr>
            <w:r>
              <w:rPr>
                <w:rFonts w:ascii="宋体" w:hAnsi="宋体" w:eastAsia="宋体"/>
                <w:color w:val="000000"/>
                <w:kern w:val="0"/>
                <w:sz w:val="18"/>
                <w:szCs w:val="18"/>
              </w:rPr>
              <w:t>场所环境类</w:t>
            </w:r>
          </w:p>
        </w:tc>
        <w:tc>
          <w:tcPr>
            <w:tcW w:w="994" w:type="dxa"/>
            <w:tcBorders>
              <w:top w:val="nil"/>
              <w:left w:val="nil"/>
              <w:bottom w:val="single" w:color="auto" w:sz="4" w:space="0"/>
              <w:right w:val="single" w:color="auto" w:sz="4" w:space="0"/>
            </w:tcBorders>
            <w:noWrap w:val="0"/>
            <w:vAlign w:val="center"/>
          </w:tcPr>
          <w:p>
            <w:pPr>
              <w:widowControl/>
              <w:snapToGrid w:val="0"/>
              <w:jc w:val="center"/>
              <w:rPr>
                <w:rFonts w:ascii="宋体" w:hAnsi="宋体" w:eastAsia="宋体"/>
                <w:color w:val="000000"/>
                <w:kern w:val="0"/>
                <w:sz w:val="18"/>
                <w:szCs w:val="18"/>
              </w:rPr>
            </w:pPr>
            <w:r>
              <w:rPr>
                <w:rFonts w:ascii="宋体" w:hAnsi="宋体" w:eastAsia="宋体"/>
                <w:color w:val="000000"/>
                <w:kern w:val="0"/>
                <w:sz w:val="18"/>
                <w:szCs w:val="18"/>
              </w:rPr>
              <w:t>平面布局类</w:t>
            </w:r>
          </w:p>
        </w:tc>
        <w:tc>
          <w:tcPr>
            <w:tcW w:w="4725"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汛期未对已排查出的与工程连通的废弃管线进行封堵。</w:t>
            </w:r>
          </w:p>
        </w:tc>
        <w:tc>
          <w:tcPr>
            <w:tcW w:w="5692" w:type="dxa"/>
            <w:tcBorders>
              <w:top w:val="nil"/>
              <w:left w:val="nil"/>
              <w:bottom w:val="single" w:color="auto" w:sz="4" w:space="0"/>
              <w:right w:val="single" w:color="auto" w:sz="4"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GB50652-2011《城市轨道交通地下工程建设风险管理规范》；《北京市房屋建筑和市政基础设施工程重大生产安全事故隐患判定导则》第6.9.2条</w:t>
            </w:r>
          </w:p>
        </w:tc>
        <w:tc>
          <w:tcPr>
            <w:tcW w:w="584" w:type="dxa"/>
            <w:tcBorders>
              <w:top w:val="nil"/>
              <w:left w:val="nil"/>
              <w:bottom w:val="single" w:color="auto" w:sz="4" w:space="0"/>
              <w:right w:val="single" w:color="auto" w:sz="12" w:space="0"/>
            </w:tcBorders>
            <w:noWrap w:val="0"/>
            <w:vAlign w:val="center"/>
          </w:tcPr>
          <w:p>
            <w:pPr>
              <w:widowControl/>
              <w:snapToGrid w:val="0"/>
              <w:jc w:val="center"/>
              <w:rPr>
                <w:rFonts w:ascii="宋体" w:hAnsi="宋体" w:eastAsia="宋体"/>
                <w:b/>
                <w:bCs/>
                <w:color w:val="000000"/>
                <w:kern w:val="0"/>
                <w:sz w:val="18"/>
                <w:szCs w:val="18"/>
              </w:rPr>
            </w:pPr>
          </w:p>
        </w:tc>
      </w:tr>
      <w:tr>
        <w:tblPrEx>
          <w:tblLayout w:type="fixed"/>
          <w:tblCellMar>
            <w:top w:w="0" w:type="dxa"/>
            <w:left w:w="108" w:type="dxa"/>
            <w:bottom w:w="0" w:type="dxa"/>
            <w:right w:w="108" w:type="dxa"/>
          </w:tblCellMar>
        </w:tblPrEx>
        <w:trPr>
          <w:cantSplit/>
          <w:jc w:val="center"/>
        </w:trPr>
        <w:tc>
          <w:tcPr>
            <w:tcW w:w="14665" w:type="dxa"/>
            <w:gridSpan w:val="6"/>
            <w:tcBorders>
              <w:top w:val="nil"/>
              <w:left w:val="single" w:color="auto" w:sz="12" w:space="0"/>
              <w:bottom w:val="single" w:color="auto" w:sz="12" w:space="0"/>
              <w:right w:val="single" w:color="auto" w:sz="12" w:space="0"/>
            </w:tcBorders>
            <w:noWrap w:val="0"/>
            <w:vAlign w:val="center"/>
          </w:tcPr>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注：</w:t>
            </w:r>
          </w:p>
          <w:p>
            <w:pPr>
              <w:widowControl/>
              <w:snapToGrid w:val="0"/>
              <w:jc w:val="left"/>
              <w:rPr>
                <w:rFonts w:ascii="宋体" w:hAnsi="宋体" w:eastAsia="宋体"/>
                <w:color w:val="000000"/>
                <w:kern w:val="0"/>
                <w:sz w:val="18"/>
                <w:szCs w:val="18"/>
              </w:rPr>
            </w:pPr>
            <w:r>
              <w:rPr>
                <w:rFonts w:ascii="宋体" w:hAnsi="宋体" w:eastAsia="宋体"/>
                <w:color w:val="000000"/>
                <w:kern w:val="0"/>
                <w:sz w:val="18"/>
                <w:szCs w:val="18"/>
              </w:rPr>
              <w:t>（一）本目录将事故隐患分为两类，即“一类”和“二类”。其中，“一类”属于大类，按照人、物、管理、环境分四种；“二类”属于具体的事故隐患类型，每一种类型对应实际的隐患内容，并对应有相应的法律、法规、标准、规范依据。</w:t>
            </w:r>
          </w:p>
          <w:p>
            <w:pPr>
              <w:widowControl/>
              <w:snapToGrid w:val="0"/>
              <w:jc w:val="left"/>
              <w:rPr>
                <w:rFonts w:ascii="宋体" w:hAnsi="宋体" w:eastAsia="宋体"/>
                <w:b/>
                <w:bCs/>
                <w:color w:val="000000"/>
                <w:kern w:val="0"/>
                <w:sz w:val="18"/>
                <w:szCs w:val="18"/>
              </w:rPr>
            </w:pPr>
            <w:r>
              <w:rPr>
                <w:rFonts w:ascii="宋体" w:hAnsi="宋体" w:eastAsia="宋体"/>
                <w:color w:val="000000"/>
                <w:kern w:val="0"/>
                <w:sz w:val="18"/>
                <w:szCs w:val="18"/>
              </w:rPr>
              <w:t>（二）依据《北京市生产安全事故隐患排查治理办法》，生产安全事故隐患（以下简称事故隐患</w:t>
            </w:r>
            <w:r>
              <w:rPr>
                <w:rFonts w:hint="eastAsia" w:ascii="宋体" w:hAnsi="宋体" w:eastAsia="宋体"/>
                <w:color w:val="000000"/>
                <w:kern w:val="0"/>
                <w:sz w:val="18"/>
                <w:szCs w:val="18"/>
              </w:rPr>
              <w:t>）</w:t>
            </w:r>
            <w:r>
              <w:rPr>
                <w:rFonts w:ascii="宋体" w:hAnsi="宋体" w:eastAsia="宋体"/>
                <w:color w:val="000000"/>
                <w:kern w:val="0"/>
                <w:sz w:val="18"/>
                <w:szCs w:val="18"/>
              </w:rPr>
              <w:t>是指生产经营单位在生产经营活动中存在的可能导致生产安全事故发生的物的危险状态、人的不安全行为和管理上的缺陷。一般事故隐患，是指危害和整改难度较小，发现后能够立即整改排除的隐患。重大事故隐患在备注中加“</w:t>
            </w:r>
            <w:r>
              <w:rPr>
                <w:rFonts w:ascii="宋体" w:hAnsi="宋体" w:eastAsia="宋体" w:cs="Segoe UI Symbol"/>
                <w:color w:val="000000"/>
                <w:kern w:val="0"/>
                <w:sz w:val="18"/>
                <w:szCs w:val="18"/>
              </w:rPr>
              <w:t>★</w:t>
            </w:r>
            <w:r>
              <w:rPr>
                <w:rFonts w:ascii="宋体" w:hAnsi="宋体" w:eastAsia="宋体"/>
                <w:color w:val="000000"/>
                <w:kern w:val="0"/>
                <w:sz w:val="18"/>
                <w:szCs w:val="18"/>
              </w:rPr>
              <w:t>”表示，是指危害和整改难度较大，应当全部或者局部停产停业，并经过一定时间整改治理方能排除的隐患，或者因外部因素影响致使生产经营单位自身难以排除的隐患。</w:t>
            </w:r>
          </w:p>
        </w:tc>
      </w:tr>
    </w:tbl>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Segoe UI Symbol">
    <w:panose1 w:val="020B0502040204020203"/>
    <w:charset w:val="00"/>
    <w:family w:val="swiss"/>
    <w:pitch w:val="default"/>
    <w:sig w:usb0="8000006F" w:usb1="1200FBEF" w:usb2="0004C000" w:usb3="00000000" w:csb0="00000001" w:csb1="4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5N2U1YWIyNTM5MDA2NTJkMzQ4OGMyY2Q3NjE2NzUifQ=="/>
  </w:docVars>
  <w:rsids>
    <w:rsidRoot w:val="2AF207B7"/>
    <w:rsid w:val="2AF207B7"/>
    <w:rsid w:val="4EE1530D"/>
    <w:rsid w:val="76C413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semiHidden/>
    <w:unhideWhenUsed/>
    <w:qFormat/>
    <w:uiPriority w:val="99"/>
    <w:pPr>
      <w:spacing w:after="120" w:afterLines="0" w:afterAutospacing="0"/>
      <w:ind w:left="420" w:leftChars="200"/>
    </w:pPr>
  </w:style>
  <w:style w:type="paragraph" w:styleId="4">
    <w:name w:val="Normal Indent"/>
    <w:basedOn w:val="1"/>
    <w:qFormat/>
    <w:uiPriority w:val="99"/>
    <w:pPr>
      <w:ind w:firstLine="420" w:firstLineChars="200"/>
    </w:pPr>
    <w:rPr>
      <w:rFonts w:eastAsia="宋体"/>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2023-04-29T11:50:00Z</dcterms:created>
  <dc:creator>zz202</dc:creator>
  <cp:lastModifiedBy>V</cp:lastModifiedBy>
  <dcterms:modified xsi:type="dcterms:W3CDTF">2023-05-06T11:34:26Z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A1D892E9B4D644B2BA1805BB783BF78F</vt:lpwstr>
  </property>
</Properties>
</file>